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75B53">
      <w:pPr>
        <w:pStyle w:val="11"/>
        <w:rPr>
          <w:rFonts w:ascii="宋体" w:hAnsi="宋体" w:eastAsia="宋体" w:cs="宋体"/>
          <w:color w:val="auto"/>
          <w:highlight w:val="none"/>
        </w:rPr>
      </w:pPr>
      <w:bookmarkStart w:id="0" w:name="_Toc281574833"/>
    </w:p>
    <w:p w14:paraId="71E0B04F">
      <w:pPr>
        <w:snapToGrid w:val="0"/>
        <w:spacing w:line="360" w:lineRule="auto"/>
        <w:jc w:val="both"/>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博爱县党建引领基层高效能治理平台</w:t>
      </w:r>
      <w:r>
        <w:rPr>
          <w:rFonts w:hint="eastAsia" w:ascii="宋体" w:hAnsi="宋体" w:eastAsia="宋体" w:cs="宋体"/>
          <w:b/>
          <w:color w:val="auto"/>
          <w:sz w:val="44"/>
          <w:szCs w:val="44"/>
          <w:highlight w:val="none"/>
          <w:lang w:eastAsia="zh-CN"/>
        </w:rPr>
        <w:t>采购项目</w:t>
      </w:r>
    </w:p>
    <w:p w14:paraId="17229D02">
      <w:pPr>
        <w:pStyle w:val="20"/>
        <w:rPr>
          <w:rFonts w:hint="eastAsia" w:ascii="宋体" w:hAnsi="宋体" w:eastAsia="宋体" w:cs="宋体"/>
          <w:b/>
          <w:color w:val="auto"/>
          <w:sz w:val="44"/>
          <w:szCs w:val="44"/>
          <w:highlight w:val="none"/>
          <w:lang w:eastAsia="zh-CN"/>
        </w:rPr>
      </w:pPr>
    </w:p>
    <w:p w14:paraId="075FC54B">
      <w:pPr>
        <w:rPr>
          <w:rFonts w:hint="eastAsia" w:ascii="宋体" w:hAnsi="宋体" w:eastAsia="宋体" w:cs="宋体"/>
          <w:b/>
          <w:color w:val="auto"/>
          <w:sz w:val="44"/>
          <w:szCs w:val="44"/>
          <w:highlight w:val="none"/>
          <w:lang w:eastAsia="zh-CN"/>
        </w:rPr>
      </w:pPr>
    </w:p>
    <w:p w14:paraId="4B02E77B">
      <w:pPr>
        <w:pStyle w:val="20"/>
        <w:rPr>
          <w:rFonts w:hint="eastAsia" w:ascii="宋体" w:hAnsi="宋体" w:eastAsia="宋体" w:cs="宋体"/>
          <w:b/>
          <w:color w:val="auto"/>
          <w:sz w:val="44"/>
          <w:szCs w:val="44"/>
          <w:highlight w:val="none"/>
          <w:lang w:eastAsia="zh-CN"/>
        </w:rPr>
      </w:pPr>
    </w:p>
    <w:p w14:paraId="4ADA4FF5">
      <w:pPr>
        <w:rPr>
          <w:rFonts w:hint="eastAsia"/>
          <w:color w:val="auto"/>
        </w:rPr>
      </w:pPr>
    </w:p>
    <w:p w14:paraId="4B9DF2F6">
      <w:pPr>
        <w:snapToGrid w:val="0"/>
        <w:spacing w:line="360" w:lineRule="auto"/>
        <w:jc w:val="center"/>
        <w:rPr>
          <w:rFonts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招标文件</w:t>
      </w:r>
    </w:p>
    <w:p w14:paraId="065CB03C">
      <w:pPr>
        <w:snapToGrid w:val="0"/>
        <w:spacing w:line="360" w:lineRule="auto"/>
        <w:ind w:firstLine="2313" w:firstLineChars="800"/>
        <w:rPr>
          <w:rFonts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采购编号：博政采购〔202</w:t>
      </w:r>
      <w:r>
        <w:rPr>
          <w:rFonts w:hint="eastAsia" w:ascii="宋体" w:hAnsi="宋体" w:eastAsia="宋体" w:cs="宋体"/>
          <w:b/>
          <w:color w:val="auto"/>
          <w:spacing w:val="-6"/>
          <w:sz w:val="30"/>
          <w:szCs w:val="30"/>
          <w:highlight w:val="none"/>
          <w:lang w:val="en-US" w:eastAsia="zh-CN"/>
        </w:rPr>
        <w:t>5</w:t>
      </w:r>
      <w:r>
        <w:rPr>
          <w:rFonts w:hint="eastAsia" w:ascii="宋体" w:hAnsi="宋体" w:eastAsia="宋体" w:cs="宋体"/>
          <w:b/>
          <w:color w:val="auto"/>
          <w:spacing w:val="-6"/>
          <w:sz w:val="30"/>
          <w:szCs w:val="30"/>
          <w:highlight w:val="none"/>
        </w:rPr>
        <w:t>〕</w:t>
      </w:r>
      <w:r>
        <w:rPr>
          <w:rFonts w:hint="eastAsia" w:ascii="宋体" w:hAnsi="宋体" w:cs="宋体"/>
          <w:b/>
          <w:color w:val="auto"/>
          <w:spacing w:val="-6"/>
          <w:sz w:val="30"/>
          <w:szCs w:val="30"/>
          <w:highlight w:val="none"/>
          <w:lang w:val="en-US" w:eastAsia="zh-CN"/>
        </w:rPr>
        <w:t>110号</w:t>
      </w:r>
    </w:p>
    <w:p w14:paraId="0B83CFD1">
      <w:pPr>
        <w:snapToGrid w:val="0"/>
        <w:spacing w:line="360" w:lineRule="auto"/>
        <w:ind w:firstLine="2157" w:firstLineChars="746"/>
        <w:rPr>
          <w:rFonts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项目编号：</w:t>
      </w:r>
      <w:r>
        <w:rPr>
          <w:rFonts w:hint="eastAsia" w:ascii="宋体" w:hAnsi="宋体" w:eastAsia="宋体" w:cs="宋体"/>
          <w:b/>
          <w:color w:val="auto"/>
          <w:spacing w:val="-6"/>
          <w:sz w:val="30"/>
          <w:szCs w:val="30"/>
          <w:highlight w:val="none"/>
          <w:lang w:val="en-US" w:eastAsia="zh-CN"/>
        </w:rPr>
        <w:t>博财招标采购-2025-22</w:t>
      </w:r>
    </w:p>
    <w:p w14:paraId="579064E4">
      <w:pPr>
        <w:snapToGrid w:val="0"/>
        <w:spacing w:line="360" w:lineRule="auto"/>
        <w:jc w:val="center"/>
        <w:rPr>
          <w:rFonts w:ascii="宋体" w:hAnsi="宋体" w:eastAsia="宋体" w:cs="宋体"/>
          <w:b/>
          <w:color w:val="auto"/>
          <w:spacing w:val="-6"/>
          <w:sz w:val="32"/>
          <w:szCs w:val="32"/>
          <w:highlight w:val="none"/>
        </w:rPr>
      </w:pPr>
      <w:bookmarkStart w:id="305" w:name="_GoBack"/>
      <w:bookmarkEnd w:id="305"/>
    </w:p>
    <w:p w14:paraId="64756DCB">
      <w:pPr>
        <w:snapToGrid w:val="0"/>
        <w:spacing w:line="360" w:lineRule="auto"/>
        <w:rPr>
          <w:rFonts w:ascii="宋体" w:hAnsi="宋体" w:eastAsia="宋体" w:cs="宋体"/>
          <w:b/>
          <w:bCs/>
          <w:color w:val="auto"/>
          <w:sz w:val="32"/>
          <w:szCs w:val="32"/>
          <w:highlight w:val="none"/>
        </w:rPr>
      </w:pPr>
    </w:p>
    <w:p w14:paraId="172A6A86">
      <w:pPr>
        <w:pStyle w:val="20"/>
        <w:ind w:firstLine="643"/>
        <w:rPr>
          <w:rFonts w:ascii="宋体" w:hAnsi="宋体" w:eastAsia="宋体" w:cs="宋体"/>
          <w:b/>
          <w:bCs/>
          <w:color w:val="auto"/>
          <w:sz w:val="32"/>
          <w:szCs w:val="32"/>
          <w:highlight w:val="none"/>
        </w:rPr>
      </w:pPr>
    </w:p>
    <w:p w14:paraId="163B15C2">
      <w:pPr>
        <w:rPr>
          <w:color w:val="auto"/>
          <w:highlight w:val="none"/>
        </w:rPr>
      </w:pPr>
    </w:p>
    <w:p w14:paraId="10E9C3B9">
      <w:pPr>
        <w:snapToGrid w:val="0"/>
        <w:spacing w:line="360" w:lineRule="auto"/>
        <w:ind w:firstLine="2249" w:firstLineChars="700"/>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 购 人：</w:t>
      </w:r>
      <w:r>
        <w:rPr>
          <w:rFonts w:hint="eastAsia" w:ascii="宋体" w:hAnsi="宋体" w:cs="宋体"/>
          <w:b/>
          <w:bCs/>
          <w:color w:val="auto"/>
          <w:sz w:val="32"/>
          <w:szCs w:val="32"/>
          <w:highlight w:val="none"/>
          <w:lang w:eastAsia="zh-CN"/>
        </w:rPr>
        <w:t>博爱县行政审批和政务信息管理局</w:t>
      </w:r>
    </w:p>
    <w:p w14:paraId="7FB4D350">
      <w:pPr>
        <w:snapToGrid w:val="0"/>
        <w:spacing w:line="360" w:lineRule="auto"/>
        <w:ind w:firstLine="643" w:firstLineChars="2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河南众成工程管理有限公司</w:t>
      </w:r>
    </w:p>
    <w:p w14:paraId="50821C98">
      <w:pPr>
        <w:snapToGrid w:val="0"/>
        <w:spacing w:line="360" w:lineRule="auto"/>
        <w:ind w:firstLine="2249" w:firstLineChars="700"/>
        <w:rPr>
          <w:rFonts w:ascii="宋体" w:hAnsi="宋体" w:eastAsia="宋体" w:cs="宋体"/>
          <w:b/>
          <w:bCs/>
          <w:color w:val="auto"/>
          <w:sz w:val="32"/>
          <w:szCs w:val="32"/>
          <w:highlight w:val="none"/>
        </w:rPr>
        <w:sectPr>
          <w:footerReference r:id="rId4" w:type="first"/>
          <w:footerReference r:id="rId3" w:type="default"/>
          <w:pgSz w:w="11907" w:h="16840"/>
          <w:pgMar w:top="1417" w:right="1474" w:bottom="1417" w:left="1474" w:header="567" w:footer="998" w:gutter="0"/>
          <w:pgNumType w:fmt="numberInDash" w:start="1"/>
          <w:cols w:space="720" w:num="1"/>
          <w:docGrid w:type="lines" w:linePitch="380" w:charSpace="0"/>
        </w:sectPr>
      </w:pPr>
      <w:r>
        <w:rPr>
          <w:rFonts w:hint="eastAsia" w:ascii="宋体" w:hAnsi="宋体" w:eastAsia="宋体" w:cs="宋体"/>
          <w:b/>
          <w:bCs/>
          <w:color w:val="auto"/>
          <w:sz w:val="32"/>
          <w:szCs w:val="32"/>
          <w:highlight w:val="none"/>
        </w:rPr>
        <w:t>日    期：二〇二</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rPr>
        <w:t>月</w:t>
      </w:r>
    </w:p>
    <w:p w14:paraId="5077C3FF">
      <w:pPr>
        <w:jc w:val="center"/>
        <w:rPr>
          <w:rFonts w:ascii="宋体" w:hAnsi="宋体" w:eastAsia="宋体" w:cs="宋体"/>
          <w:b/>
          <w:bCs/>
          <w:color w:val="auto"/>
          <w:sz w:val="32"/>
          <w:szCs w:val="32"/>
          <w:highlight w:val="none"/>
        </w:rPr>
      </w:pPr>
    </w:p>
    <w:p w14:paraId="28DD4E22">
      <w:pPr>
        <w:jc w:val="center"/>
        <w:outlineLvl w:val="0"/>
        <w:rPr>
          <w:rFonts w:ascii="宋体" w:hAnsi="宋体" w:eastAsia="宋体" w:cs="宋体"/>
          <w:b/>
          <w:bCs/>
          <w:color w:val="auto"/>
          <w:sz w:val="44"/>
          <w:szCs w:val="44"/>
          <w:highlight w:val="none"/>
        </w:rPr>
      </w:pPr>
      <w:bookmarkStart w:id="1" w:name="_Toc25319"/>
      <w:r>
        <w:rPr>
          <w:rFonts w:hint="eastAsia" w:ascii="宋体" w:hAnsi="宋体" w:eastAsia="宋体" w:cs="宋体"/>
          <w:b/>
          <w:bCs/>
          <w:color w:val="auto"/>
          <w:sz w:val="44"/>
          <w:szCs w:val="44"/>
          <w:highlight w:val="none"/>
        </w:rPr>
        <w:t>目     录</w:t>
      </w:r>
      <w:bookmarkEnd w:id="1"/>
    </w:p>
    <w:p w14:paraId="18FF042D">
      <w:pPr>
        <w:jc w:val="center"/>
        <w:rPr>
          <w:color w:val="auto"/>
          <w:highlight w:val="none"/>
        </w:rPr>
      </w:pPr>
    </w:p>
    <w:p w14:paraId="4BAB8449">
      <w:pPr>
        <w:pStyle w:val="28"/>
        <w:tabs>
          <w:tab w:val="right" w:leader="dot" w:pos="9880"/>
        </w:tabs>
        <w:rPr>
          <w:color w:val="auto"/>
          <w:highlight w:val="none"/>
        </w:rPr>
      </w:pPr>
      <w:r>
        <w:rPr>
          <w:rFonts w:ascii="宋体" w:hAnsi="宋体" w:eastAsia="宋体" w:cs="宋体"/>
          <w:bCs/>
          <w:color w:val="auto"/>
          <w:highlight w:val="none"/>
        </w:rPr>
        <w:fldChar w:fldCharType="begin"/>
      </w:r>
      <w:r>
        <w:rPr>
          <w:rFonts w:ascii="宋体" w:hAnsi="宋体" w:eastAsia="宋体" w:cs="宋体"/>
          <w:bCs/>
          <w:color w:val="auto"/>
          <w:highlight w:val="none"/>
        </w:rPr>
        <w:instrText xml:space="preserve">TOC \o "1-1" \h \u </w:instrText>
      </w:r>
      <w:r>
        <w:rPr>
          <w:rFonts w:ascii="宋体" w:hAnsi="宋体" w:eastAsia="宋体" w:cs="宋体"/>
          <w:bCs/>
          <w:color w:val="auto"/>
          <w:highlight w:val="none"/>
        </w:rPr>
        <w:fldChar w:fldCharType="separate"/>
      </w:r>
      <w:r>
        <w:rPr>
          <w:color w:val="auto"/>
          <w:highlight w:val="none"/>
        </w:rPr>
        <w:fldChar w:fldCharType="begin"/>
      </w:r>
      <w:r>
        <w:rPr>
          <w:color w:val="auto"/>
          <w:highlight w:val="none"/>
        </w:rPr>
        <w:instrText xml:space="preserve"> HYPERLINK \l "_Toc25319" </w:instrText>
      </w:r>
      <w:r>
        <w:rPr>
          <w:color w:val="auto"/>
          <w:highlight w:val="none"/>
        </w:rPr>
        <w:fldChar w:fldCharType="separate"/>
      </w:r>
      <w:r>
        <w:rPr>
          <w:rFonts w:hint="eastAsia" w:ascii="宋体" w:hAnsi="宋体" w:eastAsia="宋体" w:cs="宋体"/>
          <w:bCs/>
          <w:color w:val="auto"/>
          <w:szCs w:val="44"/>
          <w:highlight w:val="none"/>
        </w:rPr>
        <w:t>目     录</w:t>
      </w:r>
      <w:r>
        <w:rPr>
          <w:color w:val="auto"/>
          <w:highlight w:val="none"/>
        </w:rPr>
        <w:tab/>
      </w:r>
      <w:r>
        <w:rPr>
          <w:color w:val="auto"/>
          <w:highlight w:val="none"/>
        </w:rPr>
        <w:fldChar w:fldCharType="begin"/>
      </w:r>
      <w:r>
        <w:rPr>
          <w:color w:val="auto"/>
          <w:highlight w:val="none"/>
        </w:rPr>
        <w:instrText xml:space="preserve"> PAGEREF _Toc25319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A037BE7">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"_Toc2173" </w:instrText>
      </w:r>
      <w:r>
        <w:rPr>
          <w:color w:val="auto"/>
          <w:highlight w:val="none"/>
        </w:rPr>
        <w:fldChar w:fldCharType="separate"/>
      </w:r>
      <w:r>
        <w:rPr>
          <w:rFonts w:hint="eastAsia"/>
          <w:color w:val="auto"/>
          <w:highlight w:val="none"/>
        </w:rPr>
        <w:t>重要事项提示</w:t>
      </w:r>
      <w:r>
        <w:rPr>
          <w:color w:val="auto"/>
          <w:highlight w:val="none"/>
        </w:rPr>
        <w:tab/>
      </w:r>
      <w:r>
        <w:rPr>
          <w:color w:val="auto"/>
          <w:highlight w:val="none"/>
        </w:rPr>
        <w:fldChar w:fldCharType="begin"/>
      </w:r>
      <w:r>
        <w:rPr>
          <w:color w:val="auto"/>
          <w:highlight w:val="none"/>
        </w:rPr>
        <w:instrText xml:space="preserve"> PAGEREF _Toc2173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0EFE2037">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"_Toc24751" </w:instrText>
      </w:r>
      <w:r>
        <w:rPr>
          <w:color w:val="auto"/>
          <w:highlight w:val="none"/>
        </w:rPr>
        <w:fldChar w:fldCharType="separate"/>
      </w:r>
      <w:r>
        <w:rPr>
          <w:rFonts w:hint="eastAsia"/>
          <w:color w:val="auto"/>
          <w:highlight w:val="none"/>
        </w:rPr>
        <w:t xml:space="preserve">第一章 </w:t>
      </w:r>
      <w:r>
        <w:rPr>
          <w:rFonts w:hint="eastAsia" w:ascii="宋体" w:hAnsi="宋体" w:eastAsia="宋体" w:cs="宋体"/>
          <w:bCs/>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_Toc24751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7D20EC24">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"_Toc27816" </w:instrText>
      </w:r>
      <w:r>
        <w:rPr>
          <w:color w:val="auto"/>
          <w:highlight w:val="none"/>
        </w:rPr>
        <w:fldChar w:fldCharType="separate"/>
      </w:r>
      <w:r>
        <w:rPr>
          <w:rFonts w:hint="eastAsia" w:ascii="宋体" w:hAnsi="宋体" w:eastAsia="宋体" w:cs="宋体"/>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_Toc27816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7420A498">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"_Toc31932" </w:instrText>
      </w:r>
      <w:r>
        <w:rPr>
          <w:color w:val="auto"/>
          <w:highlight w:val="none"/>
        </w:rPr>
        <w:fldChar w:fldCharType="separate"/>
      </w:r>
      <w:r>
        <w:rPr>
          <w:rFonts w:hint="eastAsia" w:ascii="宋体" w:hAnsi="宋体" w:eastAsia="宋体" w:cs="宋体"/>
          <w:color w:val="auto"/>
          <w:szCs w:val="30"/>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_Toc31932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689B390B">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"_Toc7029" </w:instrText>
      </w:r>
      <w:r>
        <w:rPr>
          <w:color w:val="auto"/>
          <w:highlight w:val="none"/>
        </w:rPr>
        <w:fldChar w:fldCharType="separate"/>
      </w:r>
      <w:r>
        <w:rPr>
          <w:rFonts w:hint="eastAsia" w:ascii="宋体" w:hAnsi="宋体" w:eastAsia="宋体" w:cs="宋体"/>
          <w:color w:val="auto"/>
          <w:szCs w:val="24"/>
          <w:highlight w:val="none"/>
        </w:rPr>
        <w:t>1. 总则</w:t>
      </w:r>
      <w:r>
        <w:rPr>
          <w:color w:val="auto"/>
          <w:highlight w:val="none"/>
        </w:rPr>
        <w:tab/>
      </w:r>
      <w:r>
        <w:rPr>
          <w:color w:val="auto"/>
          <w:highlight w:val="none"/>
        </w:rPr>
        <w:fldChar w:fldCharType="begin"/>
      </w:r>
      <w:r>
        <w:rPr>
          <w:color w:val="auto"/>
          <w:highlight w:val="none"/>
        </w:rPr>
        <w:instrText xml:space="preserve"> PAGEREF _Toc7029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331EAA26">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"_Toc20888" </w:instrText>
      </w:r>
      <w:r>
        <w:rPr>
          <w:color w:val="auto"/>
          <w:highlight w:val="none"/>
        </w:rPr>
        <w:fldChar w:fldCharType="separate"/>
      </w:r>
      <w:r>
        <w:rPr>
          <w:rFonts w:hint="eastAsia" w:ascii="宋体" w:hAnsi="宋体" w:eastAsia="宋体" w:cs="宋体"/>
          <w:color w:val="auto"/>
          <w:szCs w:val="24"/>
          <w:highlight w:val="none"/>
        </w:rPr>
        <w:t>2. 招标文件</w:t>
      </w:r>
      <w:r>
        <w:rPr>
          <w:color w:val="auto"/>
          <w:highlight w:val="none"/>
        </w:rPr>
        <w:tab/>
      </w:r>
      <w:r>
        <w:rPr>
          <w:color w:val="auto"/>
          <w:highlight w:val="none"/>
        </w:rPr>
        <w:fldChar w:fldCharType="begin"/>
      </w:r>
      <w:r>
        <w:rPr>
          <w:color w:val="auto"/>
          <w:highlight w:val="none"/>
        </w:rPr>
        <w:instrText xml:space="preserve"> PAGEREF _Toc20888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4046549E">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"_Toc15031" </w:instrText>
      </w:r>
      <w:r>
        <w:rPr>
          <w:color w:val="auto"/>
          <w:highlight w:val="none"/>
        </w:rPr>
        <w:fldChar w:fldCharType="separate"/>
      </w:r>
      <w:r>
        <w:rPr>
          <w:rFonts w:hint="eastAsia" w:ascii="宋体" w:hAnsi="宋体" w:eastAsia="宋体" w:cs="宋体"/>
          <w:color w:val="auto"/>
          <w:szCs w:val="24"/>
          <w:highlight w:val="none"/>
        </w:rPr>
        <w:t>3. 投标文件</w:t>
      </w:r>
      <w:r>
        <w:rPr>
          <w:color w:val="auto"/>
          <w:highlight w:val="none"/>
        </w:rPr>
        <w:tab/>
      </w:r>
      <w:r>
        <w:rPr>
          <w:color w:val="auto"/>
          <w:highlight w:val="none"/>
        </w:rPr>
        <w:fldChar w:fldCharType="begin"/>
      </w:r>
      <w:r>
        <w:rPr>
          <w:color w:val="auto"/>
          <w:highlight w:val="none"/>
        </w:rPr>
        <w:instrText xml:space="preserve"> PAGEREF _Toc15031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D21391D">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"_Toc21879" </w:instrText>
      </w:r>
      <w:r>
        <w:rPr>
          <w:color w:val="auto"/>
          <w:highlight w:val="none"/>
        </w:rPr>
        <w:fldChar w:fldCharType="separate"/>
      </w:r>
      <w:r>
        <w:rPr>
          <w:rFonts w:hint="eastAsia" w:ascii="宋体" w:hAnsi="宋体" w:eastAsia="宋体" w:cs="宋体"/>
          <w:color w:val="auto"/>
          <w:szCs w:val="24"/>
          <w:highlight w:val="none"/>
        </w:rPr>
        <w:t>4. 投标</w:t>
      </w:r>
      <w:r>
        <w:rPr>
          <w:color w:val="auto"/>
          <w:highlight w:val="none"/>
        </w:rPr>
        <w:tab/>
      </w:r>
      <w:r>
        <w:rPr>
          <w:color w:val="auto"/>
          <w:highlight w:val="none"/>
        </w:rPr>
        <w:fldChar w:fldCharType="begin"/>
      </w:r>
      <w:r>
        <w:rPr>
          <w:color w:val="auto"/>
          <w:highlight w:val="none"/>
        </w:rPr>
        <w:instrText xml:space="preserve"> PAGEREF _Toc21879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99ED69A">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"_Toc22737" </w:instrText>
      </w:r>
      <w:r>
        <w:rPr>
          <w:color w:val="auto"/>
          <w:highlight w:val="none"/>
        </w:rPr>
        <w:fldChar w:fldCharType="separate"/>
      </w:r>
      <w:r>
        <w:rPr>
          <w:rFonts w:hint="eastAsia" w:ascii="宋体" w:hAnsi="宋体" w:eastAsia="宋体" w:cs="宋体"/>
          <w:color w:val="auto"/>
          <w:szCs w:val="24"/>
          <w:highlight w:val="none"/>
        </w:rPr>
        <w:t>5. 开标</w:t>
      </w:r>
      <w:r>
        <w:rPr>
          <w:color w:val="auto"/>
          <w:highlight w:val="none"/>
        </w:rPr>
        <w:tab/>
      </w:r>
      <w:r>
        <w:rPr>
          <w:color w:val="auto"/>
          <w:highlight w:val="none"/>
        </w:rPr>
        <w:fldChar w:fldCharType="begin"/>
      </w:r>
      <w:r>
        <w:rPr>
          <w:color w:val="auto"/>
          <w:highlight w:val="none"/>
        </w:rPr>
        <w:instrText xml:space="preserve"> PAGEREF _Toc22737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9760C58">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"_Toc4643" </w:instrText>
      </w:r>
      <w:r>
        <w:rPr>
          <w:color w:val="auto"/>
          <w:highlight w:val="none"/>
        </w:rPr>
        <w:fldChar w:fldCharType="separate"/>
      </w:r>
      <w:r>
        <w:rPr>
          <w:rFonts w:hint="eastAsia" w:ascii="宋体" w:hAnsi="宋体" w:eastAsia="宋体" w:cs="宋体"/>
          <w:color w:val="auto"/>
          <w:szCs w:val="24"/>
          <w:highlight w:val="none"/>
        </w:rPr>
        <w:t>6. 评标</w:t>
      </w:r>
      <w:r>
        <w:rPr>
          <w:color w:val="auto"/>
          <w:highlight w:val="none"/>
        </w:rPr>
        <w:tab/>
      </w:r>
      <w:r>
        <w:rPr>
          <w:color w:val="auto"/>
          <w:highlight w:val="none"/>
        </w:rPr>
        <w:fldChar w:fldCharType="begin"/>
      </w:r>
      <w:r>
        <w:rPr>
          <w:color w:val="auto"/>
          <w:highlight w:val="none"/>
        </w:rPr>
        <w:instrText xml:space="preserve"> PAGEREF _Toc4643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363A0F2E">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"_Toc8566" </w:instrText>
      </w:r>
      <w:r>
        <w:rPr>
          <w:color w:val="auto"/>
          <w:highlight w:val="none"/>
        </w:rPr>
        <w:fldChar w:fldCharType="separate"/>
      </w:r>
      <w:r>
        <w:rPr>
          <w:rFonts w:hint="eastAsia" w:ascii="宋体" w:hAnsi="宋体" w:eastAsia="宋体" w:cs="宋体"/>
          <w:color w:val="auto"/>
          <w:szCs w:val="24"/>
          <w:highlight w:val="none"/>
        </w:rPr>
        <w:t>7. 合同授予</w:t>
      </w:r>
      <w:r>
        <w:rPr>
          <w:color w:val="auto"/>
          <w:highlight w:val="none"/>
        </w:rPr>
        <w:tab/>
      </w:r>
      <w:r>
        <w:rPr>
          <w:color w:val="auto"/>
          <w:highlight w:val="none"/>
        </w:rPr>
        <w:fldChar w:fldCharType="begin"/>
      </w:r>
      <w:r>
        <w:rPr>
          <w:color w:val="auto"/>
          <w:highlight w:val="none"/>
        </w:rPr>
        <w:instrText xml:space="preserve"> PAGEREF _Toc8566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7F746C04">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"_Toc29014" </w:instrText>
      </w:r>
      <w:r>
        <w:rPr>
          <w:color w:val="auto"/>
          <w:highlight w:val="none"/>
        </w:rPr>
        <w:fldChar w:fldCharType="separate"/>
      </w:r>
      <w:r>
        <w:rPr>
          <w:rFonts w:hint="eastAsia" w:ascii="宋体" w:hAnsi="宋体" w:eastAsia="宋体" w:cs="宋体"/>
          <w:color w:val="auto"/>
          <w:szCs w:val="24"/>
          <w:highlight w:val="none"/>
        </w:rPr>
        <w:t>8. 重新招标</w:t>
      </w:r>
      <w:r>
        <w:rPr>
          <w:color w:val="auto"/>
          <w:highlight w:val="none"/>
        </w:rPr>
        <w:tab/>
      </w:r>
      <w:r>
        <w:rPr>
          <w:color w:val="auto"/>
          <w:highlight w:val="none"/>
        </w:rPr>
        <w:fldChar w:fldCharType="begin"/>
      </w:r>
      <w:r>
        <w:rPr>
          <w:color w:val="auto"/>
          <w:highlight w:val="none"/>
        </w:rPr>
        <w:instrText xml:space="preserve"> PAGEREF _Toc29014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EE4ED8C">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"_Toc14622" </w:instrText>
      </w:r>
      <w:r>
        <w:rPr>
          <w:color w:val="auto"/>
          <w:highlight w:val="none"/>
        </w:rPr>
        <w:fldChar w:fldCharType="separate"/>
      </w:r>
      <w:r>
        <w:rPr>
          <w:rFonts w:hint="eastAsia" w:ascii="宋体" w:hAnsi="宋体" w:eastAsia="宋体" w:cs="宋体"/>
          <w:color w:val="auto"/>
          <w:szCs w:val="24"/>
          <w:highlight w:val="none"/>
        </w:rPr>
        <w:t>9. 纪律和监督</w:t>
      </w:r>
      <w:r>
        <w:rPr>
          <w:color w:val="auto"/>
          <w:highlight w:val="none"/>
        </w:rPr>
        <w:tab/>
      </w:r>
      <w:r>
        <w:rPr>
          <w:color w:val="auto"/>
          <w:highlight w:val="none"/>
        </w:rPr>
        <w:fldChar w:fldCharType="begin"/>
      </w:r>
      <w:r>
        <w:rPr>
          <w:color w:val="auto"/>
          <w:highlight w:val="none"/>
        </w:rPr>
        <w:instrText xml:space="preserve"> PAGEREF _Toc14622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96277FD">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"_Toc26812" </w:instrText>
      </w:r>
      <w:r>
        <w:rPr>
          <w:color w:val="auto"/>
          <w:highlight w:val="none"/>
        </w:rPr>
        <w:fldChar w:fldCharType="separate"/>
      </w:r>
      <w:r>
        <w:rPr>
          <w:rFonts w:hint="eastAsia" w:ascii="宋体" w:hAnsi="宋体" w:eastAsia="宋体" w:cs="宋体"/>
          <w:color w:val="auto"/>
          <w:szCs w:val="24"/>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_Toc26812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6B708FF3">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"_Toc32119" </w:instrText>
      </w:r>
      <w:r>
        <w:rPr>
          <w:color w:val="auto"/>
          <w:highlight w:val="none"/>
        </w:rPr>
        <w:fldChar w:fldCharType="separate"/>
      </w:r>
      <w:r>
        <w:rPr>
          <w:rFonts w:ascii="宋体" w:hAnsi="宋体" w:eastAsia="宋体" w:cs="宋体"/>
          <w:color w:val="auto"/>
          <w:szCs w:val="36"/>
          <w:highlight w:val="none"/>
        </w:rPr>
        <w:t xml:space="preserve">第三章 </w:t>
      </w:r>
      <w:r>
        <w:rPr>
          <w:rFonts w:hint="eastAsia" w:ascii="宋体" w:hAnsi="宋体" w:eastAsia="宋体" w:cs="宋体"/>
          <w:color w:val="auto"/>
          <w:szCs w:val="36"/>
          <w:highlight w:val="none"/>
        </w:rPr>
        <w:t>评标办法（综合评分法）</w:t>
      </w:r>
      <w:r>
        <w:rPr>
          <w:color w:val="auto"/>
          <w:highlight w:val="none"/>
        </w:rPr>
        <w:tab/>
      </w:r>
      <w:r>
        <w:rPr>
          <w:color w:val="auto"/>
          <w:highlight w:val="none"/>
        </w:rPr>
        <w:fldChar w:fldCharType="begin"/>
      </w:r>
      <w:r>
        <w:rPr>
          <w:color w:val="auto"/>
          <w:highlight w:val="none"/>
        </w:rPr>
        <w:instrText xml:space="preserve"> PAGEREF _Toc32119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498C5633">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"_Toc27443" </w:instrText>
      </w:r>
      <w:r>
        <w:rPr>
          <w:color w:val="auto"/>
          <w:highlight w:val="none"/>
        </w:rPr>
        <w:fldChar w:fldCharType="separate"/>
      </w:r>
      <w:r>
        <w:rPr>
          <w:rFonts w:ascii="宋体" w:hAnsi="宋体" w:eastAsia="宋体" w:cs="宋体"/>
          <w:color w:val="auto"/>
          <w:szCs w:val="36"/>
          <w:highlight w:val="none"/>
        </w:rPr>
        <w:t xml:space="preserve">第四章 </w:t>
      </w:r>
      <w:r>
        <w:rPr>
          <w:rFonts w:hint="eastAsia" w:ascii="宋体" w:hAnsi="宋体" w:eastAsia="宋体" w:cs="宋体"/>
          <w:color w:val="auto"/>
          <w:szCs w:val="36"/>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_Toc27443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74D9253F">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"_Toc6692" </w:instrText>
      </w:r>
      <w:r>
        <w:rPr>
          <w:color w:val="auto"/>
          <w:highlight w:val="none"/>
        </w:rPr>
        <w:fldChar w:fldCharType="separate"/>
      </w:r>
      <w:r>
        <w:rPr>
          <w:bCs/>
          <w:color w:val="auto"/>
          <w:szCs w:val="32"/>
          <w:highlight w:val="none"/>
        </w:rPr>
        <w:t xml:space="preserve">第五章 </w:t>
      </w:r>
      <w:r>
        <w:rPr>
          <w:rFonts w:hint="eastAsia"/>
          <w:bCs/>
          <w:color w:val="auto"/>
          <w:szCs w:val="32"/>
          <w:highlight w:val="none"/>
        </w:rPr>
        <w:t>采购内容及技术要求</w:t>
      </w:r>
      <w:r>
        <w:rPr>
          <w:color w:val="auto"/>
          <w:highlight w:val="none"/>
        </w:rPr>
        <w:tab/>
      </w:r>
      <w:r>
        <w:rPr>
          <w:color w:val="auto"/>
          <w:highlight w:val="none"/>
        </w:rPr>
        <w:fldChar w:fldCharType="begin"/>
      </w:r>
      <w:r>
        <w:rPr>
          <w:color w:val="auto"/>
          <w:highlight w:val="none"/>
        </w:rPr>
        <w:instrText xml:space="preserve"> PAGEREF _Toc6692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C85AC56">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"_Toc28947" </w:instrText>
      </w:r>
      <w:r>
        <w:rPr>
          <w:color w:val="auto"/>
          <w:highlight w:val="none"/>
        </w:rPr>
        <w:fldChar w:fldCharType="separate"/>
      </w:r>
      <w:r>
        <w:rPr>
          <w:rFonts w:hint="eastAsia"/>
          <w:color w:val="auto"/>
          <w:szCs w:val="32"/>
          <w:highlight w:val="none"/>
        </w:rPr>
        <w:t>第六章 质疑与投诉</w:t>
      </w:r>
      <w:r>
        <w:rPr>
          <w:color w:val="auto"/>
          <w:highlight w:val="none"/>
        </w:rPr>
        <w:tab/>
      </w:r>
      <w:r>
        <w:rPr>
          <w:color w:val="auto"/>
          <w:highlight w:val="none"/>
        </w:rPr>
        <w:fldChar w:fldCharType="begin"/>
      </w:r>
      <w:r>
        <w:rPr>
          <w:color w:val="auto"/>
          <w:highlight w:val="none"/>
        </w:rPr>
        <w:instrText xml:space="preserve"> PAGEREF _Toc28947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09F26D56">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"_Toc7285" </w:instrText>
      </w:r>
      <w:r>
        <w:rPr>
          <w:color w:val="auto"/>
          <w:highlight w:val="none"/>
        </w:rPr>
        <w:fldChar w:fldCharType="separate"/>
      </w:r>
      <w:r>
        <w:rPr>
          <w:rFonts w:ascii="宋体" w:hAnsi="宋体" w:eastAsia="宋体" w:cs="宋体"/>
          <w:bCs/>
          <w:color w:val="auto"/>
          <w:szCs w:val="32"/>
          <w:highlight w:val="none"/>
        </w:rPr>
        <w:t>第七章 履约验收</w:t>
      </w:r>
      <w:r>
        <w:rPr>
          <w:color w:val="auto"/>
          <w:highlight w:val="none"/>
        </w:rPr>
        <w:tab/>
      </w:r>
      <w:r>
        <w:rPr>
          <w:color w:val="auto"/>
          <w:highlight w:val="none"/>
        </w:rPr>
        <w:fldChar w:fldCharType="begin"/>
      </w:r>
      <w:r>
        <w:rPr>
          <w:color w:val="auto"/>
          <w:highlight w:val="none"/>
        </w:rPr>
        <w:instrText xml:space="preserve"> PAGEREF _Toc7285 \h </w:instrText>
      </w:r>
      <w:r>
        <w:rPr>
          <w:color w:val="auto"/>
          <w:highlight w:val="none"/>
        </w:rPr>
        <w:fldChar w:fldCharType="separate"/>
      </w:r>
      <w:r>
        <w:rPr>
          <w:color w:val="auto"/>
          <w:highlight w:val="none"/>
        </w:rPr>
        <w:t>- 45 -</w:t>
      </w:r>
      <w:r>
        <w:rPr>
          <w:color w:val="auto"/>
          <w:highlight w:val="none"/>
        </w:rPr>
        <w:fldChar w:fldCharType="end"/>
      </w:r>
      <w:r>
        <w:rPr>
          <w:color w:val="auto"/>
          <w:highlight w:val="none"/>
        </w:rPr>
        <w:fldChar w:fldCharType="end"/>
      </w:r>
    </w:p>
    <w:p w14:paraId="1D75B3D2">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"_Toc14191" </w:instrText>
      </w:r>
      <w:r>
        <w:rPr>
          <w:color w:val="auto"/>
          <w:highlight w:val="none"/>
        </w:rPr>
        <w:fldChar w:fldCharType="separate"/>
      </w:r>
      <w:r>
        <w:rPr>
          <w:rFonts w:hint="eastAsia" w:ascii="宋体" w:hAnsi="宋体" w:eastAsia="宋体" w:cs="宋体"/>
          <w:color w:val="auto"/>
          <w:szCs w:val="36"/>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_Toc14191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72DB1831">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"_Toc7574" </w:instrText>
      </w:r>
      <w:r>
        <w:rPr>
          <w:color w:val="auto"/>
          <w:highlight w:val="none"/>
        </w:rPr>
        <w:fldChar w:fldCharType="separate"/>
      </w:r>
      <w:r>
        <w:rPr>
          <w:rFonts w:hint="eastAsia" w:ascii="宋体" w:hAnsi="宋体" w:cs="宋体"/>
          <w:color w:val="auto"/>
          <w:szCs w:val="36"/>
          <w:highlight w:val="none"/>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_Toc7574 \h </w:instrText>
      </w:r>
      <w:r>
        <w:rPr>
          <w:color w:val="auto"/>
          <w:highlight w:val="none"/>
        </w:rPr>
        <w:fldChar w:fldCharType="separate"/>
      </w:r>
      <w:r>
        <w:rPr>
          <w:color w:val="auto"/>
          <w:highlight w:val="none"/>
        </w:rPr>
        <w:t>- 59 -</w:t>
      </w:r>
      <w:r>
        <w:rPr>
          <w:color w:val="auto"/>
          <w:highlight w:val="none"/>
        </w:rPr>
        <w:fldChar w:fldCharType="end"/>
      </w:r>
      <w:r>
        <w:rPr>
          <w:color w:val="auto"/>
          <w:highlight w:val="none"/>
        </w:rPr>
        <w:fldChar w:fldCharType="end"/>
      </w:r>
    </w:p>
    <w:p w14:paraId="01380E7F">
      <w:pPr>
        <w:pStyle w:val="28"/>
        <w:tabs>
          <w:tab w:val="right" w:leader="dot" w:pos="9880"/>
        </w:tabs>
        <w:rPr>
          <w:color w:val="auto"/>
          <w:highlight w:val="none"/>
        </w:rPr>
      </w:pPr>
      <w:r>
        <w:rPr>
          <w:color w:val="auto"/>
          <w:highlight w:val="none"/>
        </w:rPr>
        <w:fldChar w:fldCharType="begin"/>
      </w:r>
      <w:r>
        <w:rPr>
          <w:color w:val="auto"/>
          <w:highlight w:val="none"/>
        </w:rPr>
        <w:instrText xml:space="preserve"> HYPERLINK \l "_Toc30161" </w:instrText>
      </w:r>
      <w:r>
        <w:rPr>
          <w:color w:val="auto"/>
          <w:highlight w:val="none"/>
        </w:rPr>
        <w:fldChar w:fldCharType="separate"/>
      </w:r>
      <w:r>
        <w:rPr>
          <w:rFonts w:hint="eastAsia" w:ascii="宋体" w:hAnsi="宋体"/>
          <w:color w:val="auto"/>
          <w:szCs w:val="32"/>
          <w:highlight w:val="none"/>
        </w:rPr>
        <w:t>焦作市政府采购合同融资合作企业</w:t>
      </w:r>
      <w:r>
        <w:rPr>
          <w:color w:val="auto"/>
          <w:highlight w:val="none"/>
        </w:rPr>
        <w:tab/>
      </w:r>
      <w:r>
        <w:rPr>
          <w:color w:val="auto"/>
          <w:highlight w:val="none"/>
        </w:rPr>
        <w:fldChar w:fldCharType="begin"/>
      </w:r>
      <w:r>
        <w:rPr>
          <w:color w:val="auto"/>
          <w:highlight w:val="none"/>
        </w:rPr>
        <w:instrText xml:space="preserve"> PAGEREF _Toc30161 \h </w:instrText>
      </w:r>
      <w:r>
        <w:rPr>
          <w:color w:val="auto"/>
          <w:highlight w:val="none"/>
        </w:rPr>
        <w:fldChar w:fldCharType="separate"/>
      </w:r>
      <w:r>
        <w:rPr>
          <w:color w:val="auto"/>
          <w:highlight w:val="none"/>
        </w:rPr>
        <w:t>- 59 -</w:t>
      </w:r>
      <w:r>
        <w:rPr>
          <w:color w:val="auto"/>
          <w:highlight w:val="none"/>
        </w:rPr>
        <w:fldChar w:fldCharType="end"/>
      </w:r>
      <w:r>
        <w:rPr>
          <w:color w:val="auto"/>
          <w:highlight w:val="none"/>
        </w:rPr>
        <w:fldChar w:fldCharType="end"/>
      </w:r>
    </w:p>
    <w:p w14:paraId="5F35D2E3">
      <w:pPr>
        <w:pStyle w:val="18"/>
        <w:spacing w:line="360" w:lineRule="auto"/>
        <w:ind w:right="-63" w:rightChars="-30"/>
        <w:outlineLvl w:val="9"/>
        <w:rPr>
          <w:rFonts w:ascii="宋体" w:hAnsi="宋体" w:eastAsia="宋体" w:cs="宋体"/>
          <w:bCs/>
          <w:color w:val="auto"/>
          <w:highlight w:val="none"/>
        </w:rPr>
      </w:pPr>
      <w:r>
        <w:rPr>
          <w:rFonts w:ascii="宋体" w:hAnsi="宋体" w:eastAsia="宋体" w:cs="宋体"/>
          <w:bCs/>
          <w:color w:val="auto"/>
          <w:highlight w:val="none"/>
        </w:rPr>
        <w:fldChar w:fldCharType="end"/>
      </w:r>
    </w:p>
    <w:p w14:paraId="662FBAAF">
      <w:pPr>
        <w:pStyle w:val="18"/>
        <w:spacing w:line="360" w:lineRule="auto"/>
        <w:ind w:right="-63" w:rightChars="-30"/>
        <w:outlineLvl w:val="9"/>
        <w:rPr>
          <w:rFonts w:ascii="宋体" w:hAnsi="宋体" w:eastAsia="宋体" w:cs="宋体"/>
          <w:bCs/>
          <w:color w:val="auto"/>
          <w:highlight w:val="none"/>
        </w:rPr>
      </w:pPr>
    </w:p>
    <w:p w14:paraId="2772C0B2">
      <w:pPr>
        <w:pStyle w:val="18"/>
        <w:spacing w:line="360" w:lineRule="auto"/>
        <w:ind w:right="-63" w:rightChars="-30"/>
        <w:outlineLvl w:val="9"/>
        <w:rPr>
          <w:rFonts w:ascii="宋体" w:hAnsi="宋体" w:eastAsia="宋体" w:cs="宋体"/>
          <w:bCs/>
          <w:color w:val="auto"/>
          <w:highlight w:val="none"/>
        </w:rPr>
      </w:pPr>
    </w:p>
    <w:p w14:paraId="3FC66E32">
      <w:pPr>
        <w:pStyle w:val="4"/>
        <w:rPr>
          <w:rFonts w:ascii="宋体" w:hAnsi="宋体" w:cs="宋体"/>
          <w:color w:val="auto"/>
          <w:highlight w:val="none"/>
        </w:rPr>
      </w:pPr>
      <w:bookmarkStart w:id="2" w:name="_Toc27735"/>
      <w:bookmarkStart w:id="3" w:name="_Toc2173"/>
      <w:r>
        <w:rPr>
          <w:rFonts w:hint="eastAsia"/>
          <w:color w:val="auto"/>
          <w:highlight w:val="none"/>
        </w:rPr>
        <w:t>重要事项提示</w:t>
      </w:r>
      <w:bookmarkEnd w:id="2"/>
      <w:bookmarkEnd w:id="3"/>
    </w:p>
    <w:p w14:paraId="647A2F0D">
      <w:pPr>
        <w:spacing w:line="360" w:lineRule="auto"/>
        <w:rPr>
          <w:rFonts w:ascii="宋体" w:hAnsi="宋体" w:cs="宋体"/>
          <w:color w:val="auto"/>
          <w:sz w:val="24"/>
          <w:highlight w:val="none"/>
        </w:rPr>
      </w:pPr>
    </w:p>
    <w:p w14:paraId="71A4DD0C">
      <w:pPr>
        <w:spacing w:line="360" w:lineRule="auto"/>
        <w:rPr>
          <w:rFonts w:ascii="宋体" w:hAnsi="宋体" w:cs="宋体"/>
          <w:color w:val="auto"/>
          <w:sz w:val="24"/>
          <w:highlight w:val="none"/>
        </w:rPr>
      </w:pPr>
      <w:r>
        <w:rPr>
          <w:rFonts w:hint="eastAsia" w:ascii="宋体" w:hAnsi="宋体" w:cs="宋体"/>
          <w:color w:val="auto"/>
          <w:sz w:val="24"/>
          <w:highlight w:val="none"/>
        </w:rPr>
        <w:t>各潜在供应商：</w:t>
      </w:r>
    </w:p>
    <w:p w14:paraId="061594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以下环节是此采购文件中需要重点关注的环节，对以下内容的忽视，可能是影响贵公司中标的重要因素。请在编制相应文件参与政府采购时高度重视。</w:t>
      </w:r>
    </w:p>
    <w:p w14:paraId="4EEA73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1、采购文件应通过焦作市公共资源交易中心网站会员系统进行网上下载；未使用</w:t>
      </w:r>
      <w:r>
        <w:rPr>
          <w:rFonts w:hint="eastAsia" w:ascii="宋体" w:hAnsi="宋体"/>
          <w:bCs/>
          <w:color w:val="auto"/>
          <w:kern w:val="0"/>
          <w:sz w:val="24"/>
          <w:highlight w:val="none"/>
        </w:rPr>
        <w:t>企业 CA 密匙</w:t>
      </w:r>
      <w:r>
        <w:rPr>
          <w:rFonts w:hint="eastAsia" w:ascii="宋体" w:hAnsi="宋体" w:cs="宋体"/>
          <w:color w:val="auto"/>
          <w:sz w:val="24"/>
          <w:highlight w:val="none"/>
        </w:rPr>
        <w:t>登录焦作市公共资源交易中心网站会员系统进行网上下载文件的，投标视为无效；</w:t>
      </w:r>
    </w:p>
    <w:p w14:paraId="71275D0A">
      <w:pPr>
        <w:pStyle w:val="17"/>
        <w:spacing w:before="0" w:beforeAutospacing="0" w:after="0" w:afterAutospacing="0" w:line="360" w:lineRule="auto"/>
        <w:ind w:firstLine="480" w:firstLineChars="200"/>
        <w:jc w:val="both"/>
        <w:rPr>
          <w:color w:val="auto"/>
          <w:highlight w:val="none"/>
        </w:rPr>
      </w:pPr>
      <w:r>
        <w:rPr>
          <w:rFonts w:hint="eastAsia"/>
          <w:color w:val="auto"/>
          <w:highlight w:val="none"/>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 平台统一技术服务电话：400-998-0000，服务 QQ：4008503300，服务时间：周一至周日 8：00-17：30。</w:t>
      </w:r>
    </w:p>
    <w:p w14:paraId="5BE3013C">
      <w:pPr>
        <w:pStyle w:val="17"/>
        <w:spacing w:before="0" w:beforeAutospacing="0" w:after="0" w:afterAutospacing="0" w:line="360" w:lineRule="auto"/>
        <w:ind w:firstLine="480" w:firstLineChars="200"/>
        <w:jc w:val="both"/>
        <w:rPr>
          <w:color w:val="auto"/>
          <w:highlight w:val="none"/>
        </w:rPr>
      </w:pPr>
      <w:r>
        <w:rPr>
          <w:rFonts w:hint="eastAsia"/>
          <w:color w:val="auto"/>
          <w:highlight w:val="none"/>
        </w:rPr>
        <w:t>供应商无需到现场参加开标会议，无需到达现场提交原件资料。供应商应当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02C4FAA6">
      <w:pPr>
        <w:pStyle w:val="17"/>
        <w:numPr>
          <w:ilvl w:val="0"/>
          <w:numId w:val="1"/>
        </w:numPr>
        <w:spacing w:before="0" w:beforeAutospacing="0" w:after="0" w:afterAutospacing="0" w:line="360" w:lineRule="auto"/>
        <w:ind w:firstLine="480" w:firstLineChars="200"/>
        <w:jc w:val="both"/>
        <w:rPr>
          <w:color w:val="auto"/>
          <w:highlight w:val="none"/>
        </w:rPr>
      </w:pPr>
      <w:r>
        <w:rPr>
          <w:rFonts w:hint="eastAsia"/>
          <w:color w:val="auto"/>
          <w:highlight w:val="none"/>
        </w:rPr>
        <w:t>有下列情形之一的，将作为自动放弃、无效投标或废标处理：</w:t>
      </w:r>
    </w:p>
    <w:p w14:paraId="1643228F">
      <w:pPr>
        <w:pStyle w:val="17"/>
        <w:numPr>
          <w:ilvl w:val="0"/>
          <w:numId w:val="2"/>
        </w:numPr>
        <w:spacing w:before="0" w:beforeAutospacing="0" w:after="0" w:afterAutospacing="0" w:line="360" w:lineRule="auto"/>
        <w:ind w:left="-60" w:firstLine="480"/>
        <w:jc w:val="both"/>
        <w:rPr>
          <w:rFonts w:cs="Times New Roman"/>
          <w:color w:val="auto"/>
          <w:highlight w:val="none"/>
        </w:rPr>
      </w:pPr>
      <w:r>
        <w:rPr>
          <w:rFonts w:hint="eastAsia" w:cs="Times New Roman"/>
          <w:color w:val="auto"/>
          <w:highlight w:val="none"/>
        </w:rPr>
        <w:t>在投标文件中对同一采购项目有两个或多个报价，且未声明哪一个有效的；</w:t>
      </w:r>
    </w:p>
    <w:p w14:paraId="11A8EB43">
      <w:pPr>
        <w:pStyle w:val="17"/>
        <w:numPr>
          <w:ilvl w:val="0"/>
          <w:numId w:val="2"/>
        </w:numPr>
        <w:spacing w:before="0" w:beforeAutospacing="0" w:after="0" w:afterAutospacing="0" w:line="360" w:lineRule="auto"/>
        <w:ind w:left="-60" w:firstLine="480"/>
        <w:jc w:val="both"/>
        <w:rPr>
          <w:rFonts w:cs="Times New Roman"/>
          <w:color w:val="auto"/>
          <w:highlight w:val="none"/>
        </w:rPr>
      </w:pPr>
      <w:r>
        <w:rPr>
          <w:rFonts w:hint="eastAsia" w:cs="Times New Roman"/>
          <w:color w:val="auto"/>
          <w:highlight w:val="none"/>
        </w:rPr>
        <w:t>投标文件的关键内容（采购报价、</w:t>
      </w:r>
      <w:r>
        <w:rPr>
          <w:rFonts w:hint="eastAsia" w:cs="Times New Roman"/>
          <w:color w:val="auto"/>
          <w:highlight w:val="none"/>
          <w:lang w:val="en-US" w:eastAsia="zh-CN"/>
        </w:rPr>
        <w:t>合同履行期限</w:t>
      </w:r>
      <w:r>
        <w:rPr>
          <w:rFonts w:hint="eastAsia" w:cs="Times New Roman"/>
          <w:color w:val="auto"/>
          <w:highlight w:val="none"/>
        </w:rPr>
        <w:t>、质量标准等）未填写或填写字迹模糊、达不到采购要求的；</w:t>
      </w:r>
    </w:p>
    <w:p w14:paraId="0862589F">
      <w:pPr>
        <w:pStyle w:val="17"/>
        <w:numPr>
          <w:ilvl w:val="0"/>
          <w:numId w:val="2"/>
        </w:numPr>
        <w:spacing w:before="0" w:beforeAutospacing="0" w:after="0" w:afterAutospacing="0" w:line="360" w:lineRule="auto"/>
        <w:ind w:left="-60" w:firstLine="480"/>
        <w:jc w:val="both"/>
        <w:rPr>
          <w:rFonts w:cs="Times New Roman"/>
          <w:color w:val="auto"/>
          <w:highlight w:val="none"/>
        </w:rPr>
      </w:pPr>
      <w:r>
        <w:rPr>
          <w:rFonts w:hint="eastAsia" w:cs="Times New Roman"/>
          <w:color w:val="auto"/>
          <w:highlight w:val="none"/>
          <w:lang w:val="en-US" w:eastAsia="zh-CN"/>
        </w:rPr>
        <w:t>投标</w:t>
      </w:r>
      <w:r>
        <w:rPr>
          <w:rFonts w:hint="eastAsia" w:cs="Times New Roman"/>
          <w:color w:val="auto"/>
          <w:highlight w:val="none"/>
        </w:rPr>
        <w:t>报价超出控制价的；</w:t>
      </w:r>
    </w:p>
    <w:p w14:paraId="5C4B22CE">
      <w:pPr>
        <w:pStyle w:val="17"/>
        <w:numPr>
          <w:ilvl w:val="0"/>
          <w:numId w:val="2"/>
        </w:numPr>
        <w:spacing w:before="0" w:beforeAutospacing="0" w:after="0" w:afterAutospacing="0" w:line="360" w:lineRule="auto"/>
        <w:ind w:left="-60" w:firstLine="480"/>
        <w:jc w:val="both"/>
        <w:rPr>
          <w:rFonts w:cs="Times New Roman"/>
          <w:color w:val="auto"/>
          <w:highlight w:val="none"/>
        </w:rPr>
      </w:pPr>
      <w:r>
        <w:rPr>
          <w:rFonts w:hint="eastAsia" w:cs="Times New Roman"/>
          <w:color w:val="auto"/>
          <w:highlight w:val="none"/>
        </w:rPr>
        <w:t>投标文件中附有采购人不能接受的条件的；</w:t>
      </w:r>
    </w:p>
    <w:p w14:paraId="0552ECCF">
      <w:pPr>
        <w:pStyle w:val="17"/>
        <w:numPr>
          <w:ilvl w:val="0"/>
          <w:numId w:val="2"/>
        </w:numPr>
        <w:spacing w:before="0" w:beforeAutospacing="0" w:after="0" w:afterAutospacing="0" w:line="360" w:lineRule="auto"/>
        <w:ind w:left="-60" w:firstLine="480"/>
        <w:jc w:val="both"/>
        <w:rPr>
          <w:color w:val="auto"/>
          <w:highlight w:val="none"/>
        </w:rPr>
      </w:pPr>
      <w:r>
        <w:rPr>
          <w:rFonts w:hint="eastAsia" w:cs="Times New Roman"/>
          <w:color w:val="auto"/>
          <w:highlight w:val="none"/>
        </w:rPr>
        <w:t>投标文件有明显不符合采购文件其它要求和有关法律法规的；</w:t>
      </w:r>
    </w:p>
    <w:p w14:paraId="55EB8ABD">
      <w:pPr>
        <w:pStyle w:val="17"/>
        <w:numPr>
          <w:ilvl w:val="0"/>
          <w:numId w:val="2"/>
        </w:numPr>
        <w:spacing w:before="0" w:beforeAutospacing="0" w:after="0" w:afterAutospacing="0" w:line="360" w:lineRule="auto"/>
        <w:ind w:left="-60" w:firstLine="480"/>
        <w:jc w:val="both"/>
        <w:rPr>
          <w:color w:val="auto"/>
          <w:highlight w:val="none"/>
        </w:rPr>
      </w:pPr>
      <w:r>
        <w:rPr>
          <w:rFonts w:hint="eastAsia" w:cs="Times New Roman"/>
          <w:color w:val="auto"/>
          <w:highlight w:val="none"/>
        </w:rPr>
        <w:t>如因两个或两个以上供应商使用同一台计算</w:t>
      </w:r>
      <w:r>
        <w:rPr>
          <w:rFonts w:hint="eastAsia" w:cs="Times New Roman"/>
          <w:color w:val="auto"/>
          <w:highlight w:val="none"/>
          <w:lang w:val="en-US" w:eastAsia="zh-CN"/>
        </w:rPr>
        <w:t>机</w:t>
      </w:r>
      <w:r>
        <w:rPr>
          <w:rFonts w:hint="eastAsia" w:cs="Times New Roman"/>
          <w:color w:val="auto"/>
          <w:highlight w:val="none"/>
        </w:rPr>
        <w:t>或同一个IP上传投标文件，被不见面开标系统提示为“投标文件制作机器码一致”的，则视其投标无效。若经查实有《政府采购法实施条例》第七十四条情形，监管部门将依法做出处理；</w:t>
      </w:r>
    </w:p>
    <w:p w14:paraId="29754C71">
      <w:pPr>
        <w:pStyle w:val="17"/>
        <w:numPr>
          <w:ilvl w:val="0"/>
          <w:numId w:val="2"/>
        </w:numPr>
        <w:spacing w:before="0" w:beforeAutospacing="0" w:after="0" w:afterAutospacing="0" w:line="360" w:lineRule="auto"/>
        <w:ind w:left="-60" w:firstLine="480"/>
        <w:jc w:val="both"/>
        <w:rPr>
          <w:color w:val="auto"/>
          <w:highlight w:val="none"/>
        </w:rPr>
      </w:pPr>
      <w:r>
        <w:rPr>
          <w:rFonts w:hint="eastAsia"/>
          <w:color w:val="auto"/>
          <w:highlight w:val="none"/>
        </w:rPr>
        <w:t>在评标过程中，评标委员会发现投标单位的报价明显低于其它采购报价，使得其采购报价可能低于其个别成本的，应当要求该供应商作出书面说明并提供相关证明材料。供应商不能合理说明或者不能提供相关证明材料的，由评标委员会认定该供应商以低于成本报价竞标的。</w:t>
      </w:r>
    </w:p>
    <w:p w14:paraId="0DD3D623">
      <w:pPr>
        <w:rPr>
          <w:rFonts w:ascii="宋体" w:hAnsi="宋体" w:cs="宋体"/>
          <w:color w:val="auto"/>
          <w:sz w:val="32"/>
          <w:szCs w:val="32"/>
          <w:highlight w:val="none"/>
        </w:rPr>
      </w:pPr>
    </w:p>
    <w:p w14:paraId="278FE69A">
      <w:pPr>
        <w:rPr>
          <w:rFonts w:ascii="宋体" w:hAnsi="宋体" w:cs="宋体"/>
          <w:color w:val="auto"/>
          <w:sz w:val="32"/>
          <w:szCs w:val="32"/>
          <w:highlight w:val="none"/>
        </w:rPr>
      </w:pPr>
    </w:p>
    <w:p w14:paraId="5D8FC75F">
      <w:pPr>
        <w:rPr>
          <w:rFonts w:ascii="宋体" w:hAnsi="宋体" w:cs="宋体"/>
          <w:b/>
          <w:bCs/>
          <w:color w:val="auto"/>
          <w:sz w:val="32"/>
          <w:szCs w:val="32"/>
          <w:highlight w:val="none"/>
        </w:rPr>
      </w:pPr>
    </w:p>
    <w:p w14:paraId="3716FEBD">
      <w:pPr>
        <w:jc w:val="center"/>
        <w:rPr>
          <w:rFonts w:ascii="宋体" w:hAnsi="宋体" w:eastAsia="宋体" w:cs="宋体"/>
          <w:b/>
          <w:bCs/>
          <w:color w:val="auto"/>
          <w:sz w:val="32"/>
          <w:szCs w:val="32"/>
          <w:highlight w:val="none"/>
        </w:rPr>
      </w:pPr>
    </w:p>
    <w:p w14:paraId="157C9F64">
      <w:pPr>
        <w:pStyle w:val="18"/>
        <w:spacing w:line="360" w:lineRule="auto"/>
        <w:ind w:right="-63" w:rightChars="-30"/>
        <w:jc w:val="both"/>
        <w:outlineLvl w:val="9"/>
        <w:rPr>
          <w:rFonts w:ascii="宋体" w:hAnsi="宋体" w:eastAsia="宋体" w:cs="宋体"/>
          <w:bCs/>
          <w:color w:val="auto"/>
          <w:highlight w:val="none"/>
        </w:rPr>
      </w:pPr>
    </w:p>
    <w:p w14:paraId="36CB0C5E">
      <w:pPr>
        <w:rPr>
          <w:rFonts w:ascii="宋体" w:hAnsi="宋体" w:eastAsia="宋体" w:cs="宋体"/>
          <w:bCs/>
          <w:color w:val="auto"/>
          <w:highlight w:val="none"/>
        </w:rPr>
      </w:pPr>
    </w:p>
    <w:p w14:paraId="0135ED1E">
      <w:pPr>
        <w:pStyle w:val="10"/>
        <w:rPr>
          <w:rFonts w:ascii="宋体" w:hAnsi="宋体" w:eastAsia="宋体" w:cs="宋体"/>
          <w:bCs/>
          <w:color w:val="auto"/>
          <w:highlight w:val="none"/>
        </w:rPr>
      </w:pPr>
    </w:p>
    <w:p w14:paraId="45B4127E">
      <w:pPr>
        <w:pStyle w:val="11"/>
        <w:rPr>
          <w:rFonts w:ascii="宋体" w:hAnsi="宋体" w:eastAsia="宋体" w:cs="宋体"/>
          <w:bCs/>
          <w:color w:val="auto"/>
          <w:highlight w:val="none"/>
        </w:rPr>
      </w:pPr>
    </w:p>
    <w:p w14:paraId="7D45C2A0">
      <w:pPr>
        <w:pStyle w:val="10"/>
        <w:rPr>
          <w:rFonts w:ascii="宋体" w:hAnsi="宋体" w:eastAsia="宋体" w:cs="宋体"/>
          <w:bCs/>
          <w:color w:val="auto"/>
          <w:highlight w:val="none"/>
        </w:rPr>
      </w:pPr>
    </w:p>
    <w:p w14:paraId="2288EF2E">
      <w:pPr>
        <w:pStyle w:val="10"/>
        <w:rPr>
          <w:color w:val="auto"/>
          <w:highlight w:val="none"/>
        </w:rPr>
      </w:pPr>
    </w:p>
    <w:p w14:paraId="2D5F0C13">
      <w:pPr>
        <w:pStyle w:val="11"/>
        <w:rPr>
          <w:color w:val="auto"/>
          <w:highlight w:val="none"/>
        </w:rPr>
      </w:pPr>
    </w:p>
    <w:p w14:paraId="5BA95DA0">
      <w:pPr>
        <w:pStyle w:val="11"/>
        <w:rPr>
          <w:color w:val="auto"/>
          <w:highlight w:val="none"/>
        </w:rPr>
      </w:pPr>
    </w:p>
    <w:p w14:paraId="483AC7C6">
      <w:pPr>
        <w:pStyle w:val="10"/>
        <w:rPr>
          <w:color w:val="auto"/>
          <w:highlight w:val="none"/>
        </w:rPr>
      </w:pPr>
    </w:p>
    <w:p w14:paraId="1C5F7E86">
      <w:pPr>
        <w:pStyle w:val="26"/>
        <w:rPr>
          <w:rFonts w:hint="default"/>
          <w:color w:val="auto"/>
          <w:highlight w:val="none"/>
        </w:rPr>
      </w:pPr>
    </w:p>
    <w:p w14:paraId="657F3B61">
      <w:pPr>
        <w:pStyle w:val="18"/>
        <w:numPr>
          <w:ilvl w:val="0"/>
          <w:numId w:val="3"/>
        </w:numPr>
        <w:spacing w:line="360" w:lineRule="auto"/>
        <w:ind w:right="-63" w:rightChars="-30"/>
        <w:rPr>
          <w:color w:val="auto"/>
          <w:highlight w:val="none"/>
        </w:rPr>
      </w:pPr>
      <w:r>
        <w:rPr>
          <w:rFonts w:hint="eastAsia" w:ascii="宋体" w:hAnsi="宋体" w:eastAsia="宋体" w:cs="宋体"/>
          <w:bCs/>
          <w:color w:val="auto"/>
          <w:highlight w:val="none"/>
        </w:rPr>
        <w:t xml:space="preserve">  </w:t>
      </w:r>
      <w:bookmarkStart w:id="4" w:name="_Toc24751"/>
      <w:bookmarkStart w:id="5" w:name="_Toc23622"/>
      <w:r>
        <w:rPr>
          <w:rFonts w:hint="eastAsia" w:ascii="宋体" w:hAnsi="宋体" w:eastAsia="宋体" w:cs="宋体"/>
          <w:bCs/>
          <w:color w:val="auto"/>
          <w:highlight w:val="none"/>
        </w:rPr>
        <w:t>招标公告</w:t>
      </w:r>
      <w:bookmarkEnd w:id="4"/>
      <w:bookmarkEnd w:id="5"/>
    </w:p>
    <w:p w14:paraId="45323789">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博爱县党建引领基层高效能治理平台</w:t>
      </w:r>
      <w:r>
        <w:rPr>
          <w:rFonts w:hint="eastAsia" w:ascii="宋体" w:hAnsi="宋体" w:eastAsia="宋体" w:cs="宋体"/>
          <w:b/>
          <w:bCs/>
          <w:color w:val="auto"/>
          <w:sz w:val="32"/>
          <w:szCs w:val="32"/>
          <w:highlight w:val="none"/>
          <w:lang w:eastAsia="zh-CN"/>
        </w:rPr>
        <w:t>采购项目</w:t>
      </w:r>
    </w:p>
    <w:p w14:paraId="0321457D">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招标公告（不见面开标）</w:t>
      </w:r>
    </w:p>
    <w:tbl>
      <w:tblPr>
        <w:tblStyle w:val="21"/>
        <w:tblW w:w="9620"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0"/>
      </w:tblGrid>
      <w:tr w14:paraId="1533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trPr>
        <w:tc>
          <w:tcPr>
            <w:tcW w:w="9620" w:type="dxa"/>
            <w:vAlign w:val="top"/>
          </w:tcPr>
          <w:p w14:paraId="066E91DE">
            <w:pPr>
              <w:pStyle w:val="2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项目概况：</w:t>
            </w:r>
            <w:r>
              <w:rPr>
                <w:rFonts w:hint="eastAsia" w:ascii="宋体" w:hAnsi="宋体" w:cs="宋体"/>
                <w:color w:val="auto"/>
                <w:sz w:val="24"/>
                <w:highlight w:val="none"/>
                <w:lang w:eastAsia="zh-CN"/>
              </w:rPr>
              <w:t>博爱县党建引领基层高效能治理平台采购项目</w:t>
            </w:r>
            <w:r>
              <w:rPr>
                <w:rFonts w:hint="eastAsia" w:ascii="宋体" w:hAnsi="宋体" w:cs="宋体"/>
                <w:color w:val="auto"/>
                <w:sz w:val="24"/>
                <w:highlight w:val="none"/>
              </w:rPr>
              <w:t>的潜在供应商应在焦作市公共资源交易中心网站获取采购文件，并于</w:t>
            </w:r>
            <w:r>
              <w:rPr>
                <w:rFonts w:hint="eastAsia" w:ascii="宋体" w:hAnsi="宋体" w:cs="宋体"/>
                <w:b/>
                <w:bCs/>
                <w:color w:val="auto"/>
                <w:kern w:val="0"/>
                <w:sz w:val="24"/>
                <w:highlight w:val="none"/>
                <w:u w:val="single"/>
              </w:rPr>
              <w:t>202</w:t>
            </w:r>
            <w:r>
              <w:rPr>
                <w:rFonts w:hint="eastAsia" w:ascii="宋体" w:hAnsi="宋体" w:cs="宋体"/>
                <w:b/>
                <w:bCs/>
                <w:color w:val="auto"/>
                <w:kern w:val="0"/>
                <w:sz w:val="24"/>
                <w:highlight w:val="none"/>
                <w:u w:val="single"/>
                <w:lang w:val="en-US" w:eastAsia="zh-CN"/>
              </w:rPr>
              <w:t>5</w:t>
            </w:r>
            <w:r>
              <w:rPr>
                <w:rFonts w:hint="eastAsia" w:ascii="宋体" w:hAnsi="宋体" w:cs="宋体"/>
                <w:b/>
                <w:bCs/>
                <w:color w:val="auto"/>
                <w:kern w:val="0"/>
                <w:sz w:val="24"/>
                <w:highlight w:val="none"/>
                <w:u w:val="single"/>
              </w:rPr>
              <w:t>年</w:t>
            </w:r>
            <w:r>
              <w:rPr>
                <w:rFonts w:hint="eastAsia" w:ascii="宋体" w:hAnsi="宋体" w:cs="宋体"/>
                <w:b/>
                <w:bCs/>
                <w:color w:val="auto"/>
                <w:kern w:val="0"/>
                <w:sz w:val="24"/>
                <w:highlight w:val="none"/>
                <w:u w:val="single"/>
                <w:lang w:val="en-US" w:eastAsia="zh-CN"/>
              </w:rPr>
              <w:t>12</w:t>
            </w:r>
            <w:r>
              <w:rPr>
                <w:rFonts w:hint="eastAsia" w:ascii="宋体" w:hAnsi="宋体" w:cs="宋体"/>
                <w:b/>
                <w:bCs/>
                <w:color w:val="auto"/>
                <w:kern w:val="0"/>
                <w:sz w:val="24"/>
                <w:highlight w:val="none"/>
                <w:u w:val="single"/>
              </w:rPr>
              <w:t>月</w:t>
            </w:r>
            <w:r>
              <w:rPr>
                <w:rFonts w:hint="eastAsia" w:ascii="宋体" w:hAnsi="宋体" w:cs="宋体"/>
                <w:b/>
                <w:bCs/>
                <w:color w:val="auto"/>
                <w:kern w:val="0"/>
                <w:sz w:val="24"/>
                <w:highlight w:val="none"/>
                <w:u w:val="single"/>
                <w:lang w:val="en-US" w:eastAsia="zh-CN"/>
              </w:rPr>
              <w:t>8</w:t>
            </w:r>
            <w:r>
              <w:rPr>
                <w:rFonts w:hint="eastAsia" w:ascii="宋体" w:hAnsi="宋体" w:cs="宋体"/>
                <w:b/>
                <w:bCs/>
                <w:color w:val="auto"/>
                <w:kern w:val="0"/>
                <w:sz w:val="24"/>
                <w:highlight w:val="none"/>
                <w:u w:val="single"/>
              </w:rPr>
              <w:t>日上午</w:t>
            </w:r>
            <w:r>
              <w:rPr>
                <w:rFonts w:hint="eastAsia" w:ascii="宋体" w:hAnsi="宋体" w:cs="宋体"/>
                <w:b/>
                <w:bCs/>
                <w:color w:val="auto"/>
                <w:kern w:val="0"/>
                <w:sz w:val="24"/>
                <w:highlight w:val="none"/>
                <w:u w:val="single"/>
                <w:lang w:val="en-US" w:eastAsia="zh-CN"/>
              </w:rPr>
              <w:t>9</w:t>
            </w:r>
            <w:r>
              <w:rPr>
                <w:rFonts w:hint="eastAsia" w:ascii="宋体" w:hAnsi="宋体" w:cs="宋体"/>
                <w:b/>
                <w:bCs/>
                <w:color w:val="auto"/>
                <w:kern w:val="0"/>
                <w:sz w:val="24"/>
                <w:highlight w:val="none"/>
                <w:u w:val="single"/>
              </w:rPr>
              <w:t>点</w:t>
            </w:r>
            <w:r>
              <w:rPr>
                <w:rFonts w:hint="eastAsia" w:ascii="宋体" w:hAnsi="宋体" w:cs="宋体"/>
                <w:b/>
                <w:bCs/>
                <w:color w:val="auto"/>
                <w:kern w:val="0"/>
                <w:sz w:val="24"/>
                <w:highlight w:val="none"/>
                <w:u w:val="single"/>
                <w:lang w:val="en-US" w:eastAsia="zh-CN"/>
              </w:rPr>
              <w:t>00</w:t>
            </w:r>
            <w:r>
              <w:rPr>
                <w:rFonts w:hint="eastAsia" w:ascii="宋体" w:hAnsi="宋体" w:cs="宋体"/>
                <w:b/>
                <w:bCs/>
                <w:color w:val="auto"/>
                <w:kern w:val="0"/>
                <w:sz w:val="24"/>
                <w:highlight w:val="none"/>
                <w:u w:val="single"/>
              </w:rPr>
              <w:t>分</w:t>
            </w:r>
            <w:r>
              <w:rPr>
                <w:rFonts w:hint="eastAsia" w:ascii="宋体" w:hAnsi="宋体" w:cs="宋体"/>
                <w:b/>
                <w:bCs/>
                <w:color w:val="auto"/>
                <w:sz w:val="24"/>
                <w:highlight w:val="none"/>
                <w:u w:val="single"/>
              </w:rPr>
              <w:t>（北京时间）</w:t>
            </w:r>
            <w:r>
              <w:rPr>
                <w:rFonts w:hint="eastAsia" w:ascii="宋体" w:hAnsi="宋体" w:cs="宋体"/>
                <w:color w:val="auto"/>
                <w:sz w:val="24"/>
                <w:highlight w:val="none"/>
              </w:rPr>
              <w:t>前提交投标文件。</w:t>
            </w:r>
          </w:p>
        </w:tc>
      </w:tr>
    </w:tbl>
    <w:p w14:paraId="5DA13244">
      <w:pPr>
        <w:pStyle w:val="29"/>
        <w:spacing w:line="440" w:lineRule="exact"/>
        <w:ind w:left="0" w:firstLine="0"/>
        <w:rPr>
          <w:b/>
          <w:bCs/>
          <w:color w:val="auto"/>
          <w:sz w:val="24"/>
          <w:highlight w:val="none"/>
          <w:lang w:eastAsia="zh-CN"/>
        </w:rPr>
      </w:pPr>
      <w:r>
        <w:rPr>
          <w:rFonts w:hint="eastAsia"/>
          <w:b/>
          <w:bCs/>
          <w:color w:val="auto"/>
          <w:sz w:val="24"/>
          <w:highlight w:val="none"/>
          <w:lang w:eastAsia="zh-CN"/>
        </w:rPr>
        <w:t>一、项目基本情况</w:t>
      </w:r>
    </w:p>
    <w:p w14:paraId="2A8F887D">
      <w:pPr>
        <w:widowControl/>
        <w:spacing w:line="440" w:lineRule="exact"/>
        <w:ind w:firstLine="480" w:firstLineChars="200"/>
        <w:jc w:val="left"/>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项目编号：</w:t>
      </w:r>
      <w:r>
        <w:rPr>
          <w:rFonts w:hint="eastAsia" w:ascii="宋体" w:hAnsi="宋体" w:cs="宋体"/>
          <w:color w:val="auto"/>
          <w:sz w:val="24"/>
          <w:highlight w:val="none"/>
          <w:shd w:val="clear" w:color="auto" w:fill="FFFFFF"/>
          <w:lang w:val="en-US" w:eastAsia="zh-CN"/>
        </w:rPr>
        <w:t>博财招标采购-2025-22</w:t>
      </w:r>
    </w:p>
    <w:p w14:paraId="75B3CD63">
      <w:pPr>
        <w:widowControl/>
        <w:spacing w:line="440" w:lineRule="exact"/>
        <w:ind w:firstLine="480" w:firstLineChars="200"/>
        <w:jc w:val="left"/>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项目名称：</w:t>
      </w:r>
      <w:r>
        <w:rPr>
          <w:rFonts w:hint="eastAsia" w:ascii="宋体" w:hAnsi="宋体" w:cs="宋体"/>
          <w:color w:val="auto"/>
          <w:sz w:val="24"/>
          <w:highlight w:val="none"/>
          <w:shd w:val="clear" w:color="auto" w:fill="FFFFFF"/>
          <w:lang w:eastAsia="zh-CN"/>
        </w:rPr>
        <w:t>博爱县党建引领基层高效能治理平台采购项目</w:t>
      </w:r>
    </w:p>
    <w:p w14:paraId="3FE08CBD">
      <w:pPr>
        <w:widowControl/>
        <w:spacing w:line="440" w:lineRule="exact"/>
        <w:ind w:firstLine="480" w:firstLineChars="2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采购方式：公开招标</w:t>
      </w:r>
    </w:p>
    <w:p w14:paraId="5EF504C1">
      <w:pPr>
        <w:widowControl/>
        <w:spacing w:line="440" w:lineRule="exact"/>
        <w:ind w:firstLine="480" w:firstLineChars="2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预算金额：</w:t>
      </w:r>
      <w:r>
        <w:rPr>
          <w:rFonts w:hint="eastAsia" w:ascii="宋体" w:hAnsi="宋体" w:cs="宋体"/>
          <w:color w:val="auto"/>
          <w:sz w:val="24"/>
          <w:highlight w:val="none"/>
          <w:shd w:val="clear" w:color="auto" w:fill="FFFFFF"/>
          <w:lang w:val="en-US" w:eastAsia="zh-CN"/>
        </w:rPr>
        <w:t>3400000.00</w:t>
      </w:r>
      <w:r>
        <w:rPr>
          <w:rFonts w:hint="eastAsia" w:ascii="宋体" w:hAnsi="宋体" w:cs="宋体"/>
          <w:color w:val="auto"/>
          <w:sz w:val="24"/>
          <w:highlight w:val="none"/>
          <w:shd w:val="clear" w:color="auto" w:fill="FFFFFF"/>
        </w:rPr>
        <w:t>元</w:t>
      </w:r>
    </w:p>
    <w:p w14:paraId="7A55EC77">
      <w:pPr>
        <w:widowControl/>
        <w:spacing w:line="440" w:lineRule="exact"/>
        <w:ind w:firstLine="720" w:firstLineChars="3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最高限价：3400000.00</w:t>
      </w:r>
      <w:r>
        <w:rPr>
          <w:rFonts w:hint="eastAsia" w:ascii="宋体" w:hAnsi="宋体" w:cs="宋体"/>
          <w:color w:val="auto"/>
          <w:sz w:val="24"/>
          <w:highlight w:val="none"/>
          <w:shd w:val="clear" w:color="auto" w:fill="FFFFFF"/>
        </w:rPr>
        <w:t>元</w:t>
      </w:r>
    </w:p>
    <w:tbl>
      <w:tblPr>
        <w:tblStyle w:val="21"/>
        <w:tblW w:w="9398"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51"/>
        <w:gridCol w:w="2335"/>
        <w:gridCol w:w="1894"/>
        <w:gridCol w:w="1869"/>
      </w:tblGrid>
      <w:tr w14:paraId="314B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49" w:type="dxa"/>
            <w:vAlign w:val="center"/>
          </w:tcPr>
          <w:p w14:paraId="0916DB4B">
            <w:pPr>
              <w:widowControl/>
              <w:wordWrap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lang w:val="en-US" w:eastAsia="zh-CN"/>
              </w:rPr>
              <w:t>序号</w:t>
            </w:r>
          </w:p>
        </w:tc>
        <w:tc>
          <w:tcPr>
            <w:tcW w:w="2551" w:type="dxa"/>
            <w:vAlign w:val="center"/>
          </w:tcPr>
          <w:p w14:paraId="7BE16CCA">
            <w:pPr>
              <w:widowControl/>
              <w:wordWrap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lang w:val="en-US" w:eastAsia="zh-CN"/>
              </w:rPr>
              <w:t>包号</w:t>
            </w:r>
          </w:p>
        </w:tc>
        <w:tc>
          <w:tcPr>
            <w:tcW w:w="2335" w:type="dxa"/>
            <w:vAlign w:val="center"/>
          </w:tcPr>
          <w:p w14:paraId="554D04FE">
            <w:pPr>
              <w:widowControl/>
              <w:wordWrap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lang w:val="en-US" w:eastAsia="zh-CN"/>
              </w:rPr>
              <w:t>包名称</w:t>
            </w:r>
          </w:p>
        </w:tc>
        <w:tc>
          <w:tcPr>
            <w:tcW w:w="1894" w:type="dxa"/>
            <w:vAlign w:val="center"/>
          </w:tcPr>
          <w:p w14:paraId="0A389265">
            <w:pPr>
              <w:widowControl/>
              <w:wordWrap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lang w:val="en-US" w:eastAsia="zh-CN"/>
              </w:rPr>
              <w:t>包预算（元）</w:t>
            </w:r>
          </w:p>
        </w:tc>
        <w:tc>
          <w:tcPr>
            <w:tcW w:w="1869" w:type="dxa"/>
            <w:vAlign w:val="center"/>
          </w:tcPr>
          <w:p w14:paraId="39137BC5">
            <w:pPr>
              <w:widowControl/>
              <w:wordWrap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lang w:val="en-US" w:eastAsia="zh-CN"/>
              </w:rPr>
              <w:t>包最高限价（元）</w:t>
            </w:r>
          </w:p>
        </w:tc>
      </w:tr>
      <w:tr w14:paraId="1A0B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749" w:type="dxa"/>
            <w:vAlign w:val="center"/>
          </w:tcPr>
          <w:p w14:paraId="10E5853B">
            <w:pPr>
              <w:widowControl/>
              <w:wordWrap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lang w:val="en-US" w:eastAsia="zh-CN"/>
              </w:rPr>
              <w:t>1</w:t>
            </w:r>
          </w:p>
        </w:tc>
        <w:tc>
          <w:tcPr>
            <w:tcW w:w="2551" w:type="dxa"/>
            <w:vAlign w:val="center"/>
          </w:tcPr>
          <w:p w14:paraId="70A6D94B">
            <w:pPr>
              <w:widowControl/>
              <w:wordWrap w:val="0"/>
              <w:spacing w:before="0" w:beforeAutospacing="0" w:after="0" w:afterAutospacing="0" w:line="360" w:lineRule="auto"/>
              <w:ind w:left="0" w:leftChars="0" w:right="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博政采购〔202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110</w:t>
            </w:r>
            <w:r>
              <w:rPr>
                <w:rFonts w:hint="eastAsia" w:ascii="宋体" w:hAnsi="宋体" w:eastAsia="宋体" w:cs="宋体"/>
                <w:color w:val="auto"/>
                <w:sz w:val="24"/>
                <w:szCs w:val="24"/>
                <w:highlight w:val="none"/>
                <w:lang w:val="en-US" w:eastAsia="zh-CN"/>
              </w:rPr>
              <w:t>号</w:t>
            </w:r>
            <w:r>
              <w:rPr>
                <w:rFonts w:hint="eastAsia" w:ascii="宋体" w:hAnsi="宋体" w:cs="宋体"/>
                <w:color w:val="auto"/>
                <w:sz w:val="24"/>
                <w:szCs w:val="24"/>
                <w:highlight w:val="none"/>
                <w:lang w:val="en-US" w:eastAsia="zh-CN"/>
              </w:rPr>
              <w:t>-1</w:t>
            </w:r>
          </w:p>
        </w:tc>
        <w:tc>
          <w:tcPr>
            <w:tcW w:w="2335" w:type="dxa"/>
            <w:vAlign w:val="center"/>
          </w:tcPr>
          <w:p w14:paraId="1F5C7698">
            <w:pPr>
              <w:widowControl/>
              <w:wordWrap w:val="0"/>
              <w:spacing w:before="0" w:beforeAutospacing="0" w:after="0" w:afterAutospacing="0" w:line="360" w:lineRule="auto"/>
              <w:ind w:left="0" w:leftChars="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shd w:val="clear" w:color="auto" w:fill="FFFFFF"/>
                <w:lang w:eastAsia="zh-CN"/>
              </w:rPr>
              <w:t>博爱县党建引领基层高效能治理平台采购项目</w:t>
            </w:r>
          </w:p>
        </w:tc>
        <w:tc>
          <w:tcPr>
            <w:tcW w:w="1894" w:type="dxa"/>
            <w:vAlign w:val="center"/>
          </w:tcPr>
          <w:p w14:paraId="75B6D14D">
            <w:pPr>
              <w:widowControl/>
              <w:wordWrap w:val="0"/>
              <w:spacing w:before="0" w:beforeAutospacing="0" w:after="0" w:afterAutospacing="0" w:line="360" w:lineRule="auto"/>
              <w:ind w:left="0" w:leftChars="0" w:right="0"/>
              <w:jc w:val="center"/>
              <w:rPr>
                <w:rFonts w:hint="default" w:ascii="宋体" w:hAnsi="宋体" w:eastAsia="宋体" w:cs="宋体"/>
                <w:b w:val="0"/>
                <w:bCs w:val="0"/>
                <w:i w:val="0"/>
                <w:iCs w:val="0"/>
                <w:color w:val="auto"/>
                <w:kern w:val="0"/>
                <w:sz w:val="24"/>
                <w:szCs w:val="24"/>
                <w:highlight w:val="none"/>
                <w:lang w:val="en-US" w:eastAsia="zh-CN"/>
              </w:rPr>
            </w:pPr>
            <w:r>
              <w:rPr>
                <w:rFonts w:hint="eastAsia" w:ascii="宋体" w:hAnsi="宋体" w:cs="宋体"/>
                <w:color w:val="auto"/>
                <w:sz w:val="24"/>
                <w:highlight w:val="none"/>
                <w:shd w:val="clear" w:color="auto" w:fill="FFFFFF"/>
                <w:lang w:val="en-US" w:eastAsia="zh-CN"/>
              </w:rPr>
              <w:t>3400000.00</w:t>
            </w:r>
          </w:p>
        </w:tc>
        <w:tc>
          <w:tcPr>
            <w:tcW w:w="1869" w:type="dxa"/>
            <w:vAlign w:val="center"/>
          </w:tcPr>
          <w:p w14:paraId="06B2F441">
            <w:pPr>
              <w:widowControl/>
              <w:wordWrap w:val="0"/>
              <w:spacing w:before="0" w:beforeAutospacing="0" w:after="0" w:afterAutospacing="0" w:line="360" w:lineRule="auto"/>
              <w:ind w:left="0" w:leftChars="0" w:right="0"/>
              <w:jc w:val="center"/>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cs="宋体"/>
                <w:color w:val="auto"/>
                <w:sz w:val="24"/>
                <w:highlight w:val="none"/>
                <w:shd w:val="clear" w:color="auto" w:fill="FFFFFF"/>
                <w:lang w:val="en-US" w:eastAsia="zh-CN"/>
              </w:rPr>
              <w:t>3400000.00</w:t>
            </w:r>
          </w:p>
        </w:tc>
      </w:tr>
    </w:tbl>
    <w:p w14:paraId="2F513020">
      <w:pPr>
        <w:widowControl w:val="0"/>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采购需求 </w:t>
      </w:r>
    </w:p>
    <w:p w14:paraId="790EE0E8">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w:t>
      </w:r>
      <w:r>
        <w:rPr>
          <w:rFonts w:hint="eastAsia" w:ascii="宋体" w:hAnsi="宋体" w:cs="宋体"/>
          <w:color w:val="auto"/>
          <w:sz w:val="24"/>
          <w:highlight w:val="none"/>
          <w:shd w:val="clear" w:color="auto" w:fill="FFFFFF"/>
          <w:lang w:val="en-US" w:eastAsia="zh-CN"/>
        </w:rPr>
        <w:t>建设基层高效能治理驾驶舱、事件处置平台，具备视频汇聚、大模型分析、地图标注等基础能力，建设党建引领、六情管理、社会治理、无人机巡检、指挥调度等模块。（具体详见招标文件第五部分采购内容及技术要求）。</w:t>
      </w:r>
    </w:p>
    <w:p w14:paraId="6FC26E3C">
      <w:pPr>
        <w:widowControl w:val="0"/>
        <w:wordWrap/>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）质量要求：</w:t>
      </w:r>
      <w:r>
        <w:rPr>
          <w:rFonts w:hint="eastAsia" w:ascii="宋体" w:hAnsi="宋体" w:cs="宋体"/>
          <w:color w:val="auto"/>
          <w:sz w:val="24"/>
          <w:highlight w:val="none"/>
          <w:shd w:val="clear" w:color="auto" w:fill="FFFFFF"/>
        </w:rPr>
        <w:t>合格，符合国家及行业规范标准</w:t>
      </w:r>
      <w:r>
        <w:rPr>
          <w:rFonts w:hint="eastAsia" w:ascii="宋体" w:hAnsi="宋体" w:cs="宋体"/>
          <w:color w:val="auto"/>
          <w:sz w:val="24"/>
          <w:highlight w:val="none"/>
          <w:shd w:val="clear" w:color="auto" w:fill="FFFFFF"/>
          <w:lang w:eastAsia="zh-CN"/>
        </w:rPr>
        <w:t>。</w:t>
      </w:r>
    </w:p>
    <w:p w14:paraId="0403A4C2">
      <w:pPr>
        <w:widowControl w:val="0"/>
        <w:wordWrap/>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val="en-US" w:eastAsia="zh-CN"/>
        </w:rPr>
        <w:t xml:space="preserve">合同签订后30日历天。  </w:t>
      </w:r>
      <w:r>
        <w:rPr>
          <w:rFonts w:hint="eastAsia" w:ascii="宋体" w:hAnsi="宋体" w:cs="宋体"/>
          <w:color w:val="auto"/>
          <w:sz w:val="24"/>
          <w:szCs w:val="24"/>
          <w:highlight w:val="none"/>
          <w:lang w:val="en-US" w:eastAsia="zh-CN"/>
        </w:rPr>
        <w:t xml:space="preserve"> </w:t>
      </w:r>
    </w:p>
    <w:p w14:paraId="0656913D">
      <w:pPr>
        <w:widowControl w:val="0"/>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本项目是否接受联合体投标：否 </w:t>
      </w:r>
    </w:p>
    <w:p w14:paraId="0A2BE005">
      <w:pPr>
        <w:widowControl w:val="0"/>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是否接受进口产品：否 </w:t>
      </w:r>
    </w:p>
    <w:p w14:paraId="6B54B057">
      <w:pPr>
        <w:widowControl w:val="0"/>
        <w:wordWrap/>
        <w:adjustRightInd/>
        <w:snapToGrid/>
        <w:spacing w:line="360" w:lineRule="auto"/>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是否专门面向中小企业：</w:t>
      </w:r>
      <w:r>
        <w:rPr>
          <w:rFonts w:hint="eastAsia" w:ascii="宋体" w:hAnsi="宋体" w:cs="宋体"/>
          <w:color w:val="auto"/>
          <w:sz w:val="24"/>
          <w:szCs w:val="24"/>
          <w:highlight w:val="none"/>
          <w:lang w:val="en-US" w:eastAsia="zh-CN"/>
        </w:rPr>
        <w:t>否</w:t>
      </w:r>
    </w:p>
    <w:p w14:paraId="78B0A40B">
      <w:pPr>
        <w:adjustRightInd w:val="0"/>
        <w:snapToGrid w:val="0"/>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二、</w:t>
      </w:r>
      <w:r>
        <w:rPr>
          <w:rFonts w:hint="eastAsia" w:ascii="宋体" w:hAnsi="宋体" w:cs="宋体"/>
          <w:b/>
          <w:bCs/>
          <w:color w:val="auto"/>
          <w:kern w:val="0"/>
          <w:sz w:val="24"/>
          <w:highlight w:val="none"/>
        </w:rPr>
        <w:t>申请人资格要求：</w:t>
      </w:r>
    </w:p>
    <w:p w14:paraId="7161D937">
      <w:pPr>
        <w:widowControl/>
        <w:spacing w:line="440" w:lineRule="exact"/>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符合《中华人民共和国政府采购法》第二十二条之规定；</w:t>
      </w:r>
    </w:p>
    <w:p w14:paraId="0D6FE775">
      <w:pPr>
        <w:widowControl/>
        <w:spacing w:line="440" w:lineRule="exact"/>
        <w:ind w:firstLine="480" w:firstLineChars="2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w:t>
      </w:r>
      <w:r>
        <w:rPr>
          <w:rFonts w:hint="eastAsia" w:ascii="宋体" w:hAnsi="宋体" w:cs="宋体"/>
          <w:color w:val="auto"/>
          <w:sz w:val="24"/>
          <w:highlight w:val="none"/>
          <w:shd w:val="clear" w:color="auto" w:fill="FFFFFF"/>
          <w:lang w:eastAsia="zh-CN"/>
        </w:rPr>
        <w:t>.落实政府采购政策满足的资格要求：促进政府强制采购节能产品及环境标志产品优先采购，促进中小企业和监狱企业发展扶持政策</w:t>
      </w:r>
      <w:r>
        <w:rPr>
          <w:rFonts w:hint="eastAsia" w:ascii="宋体" w:hAnsi="宋体" w:cs="宋体"/>
          <w:color w:val="auto"/>
          <w:sz w:val="24"/>
          <w:highlight w:val="none"/>
          <w:shd w:val="clear" w:color="auto" w:fill="FFFFFF"/>
        </w:rPr>
        <w:t>。</w:t>
      </w:r>
    </w:p>
    <w:p w14:paraId="370CDF25">
      <w:pPr>
        <w:widowControl/>
        <w:spacing w:line="440" w:lineRule="exact"/>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本项目的特定资格要求：</w:t>
      </w:r>
    </w:p>
    <w:p w14:paraId="7E5EF9AF">
      <w:pPr>
        <w:widowControl/>
        <w:spacing w:line="440" w:lineRule="exact"/>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3.1.投标人须具有有效的营业执照，并具有实施完成本项目的经营实力和完善的售后服务体系；</w:t>
      </w:r>
    </w:p>
    <w:p w14:paraId="068AC194">
      <w:pPr>
        <w:widowControl/>
        <w:spacing w:line="440" w:lineRule="exact"/>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备注：信誉要求由采购代理机构开标当日提供查询结果)；</w:t>
      </w:r>
    </w:p>
    <w:p w14:paraId="5232BA5E">
      <w:pPr>
        <w:widowControl/>
        <w:spacing w:line="440" w:lineRule="exact"/>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3.3.本项目不接受联合体投标；</w:t>
      </w:r>
    </w:p>
    <w:p w14:paraId="080084C6">
      <w:pPr>
        <w:widowControl/>
        <w:spacing w:line="440" w:lineRule="exact"/>
        <w:ind w:firstLine="480" w:firstLineChars="200"/>
        <w:jc w:val="left"/>
        <w:rPr>
          <w:rFonts w:hint="eastAsia" w:eastAsia="宋体"/>
          <w:b/>
          <w:bCs/>
          <w:color w:val="auto"/>
          <w:highlight w:val="none"/>
          <w:lang w:eastAsia="zh-CN"/>
        </w:rPr>
      </w:pPr>
      <w:r>
        <w:rPr>
          <w:rFonts w:hint="eastAsia" w:ascii="宋体" w:hAnsi="宋体" w:cs="宋体"/>
          <w:color w:val="auto"/>
          <w:sz w:val="24"/>
          <w:highlight w:val="none"/>
          <w:shd w:val="clear" w:color="auto" w:fill="FFFFFF"/>
        </w:rPr>
        <w:t>3.4.资格审查方式：资格后审。</w:t>
      </w:r>
      <w:r>
        <w:rPr>
          <w:rFonts w:hint="eastAsia"/>
          <w:b/>
          <w:bCs/>
          <w:color w:val="auto"/>
          <w:highlight w:val="none"/>
          <w:lang w:val="en-US" w:eastAsia="zh-CN"/>
        </w:rPr>
        <w:t xml:space="preserve"> </w:t>
      </w:r>
    </w:p>
    <w:p w14:paraId="31372447">
      <w:pPr>
        <w:widowControl/>
        <w:spacing w:line="440" w:lineRule="exact"/>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三、</w:t>
      </w:r>
      <w:r>
        <w:rPr>
          <w:rFonts w:hint="eastAsia" w:ascii="宋体" w:hAnsi="宋体" w:cs="宋体"/>
          <w:b/>
          <w:bCs/>
          <w:color w:val="auto"/>
          <w:kern w:val="0"/>
          <w:sz w:val="24"/>
          <w:highlight w:val="none"/>
        </w:rPr>
        <w:t>获取采购文件</w:t>
      </w:r>
    </w:p>
    <w:p w14:paraId="0E3475AE">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1.时间：</w:t>
      </w:r>
      <w:r>
        <w:rPr>
          <w:rFonts w:hint="eastAsia" w:ascii="宋体" w:hAnsi="宋体" w:eastAsia="宋体" w:cs="宋体"/>
          <w:color w:val="auto"/>
          <w:highlight w:val="none"/>
          <w:u w:val="single"/>
          <w:lang w:val="en-US" w:eastAsia="zh-CN"/>
        </w:rPr>
        <w:t>202</w:t>
      </w:r>
      <w:r>
        <w:rPr>
          <w:rFonts w:hint="eastAsia" w:cs="宋体"/>
          <w:color w:val="auto"/>
          <w:highlight w:val="none"/>
          <w:u w:val="single"/>
          <w:lang w:val="en-US" w:eastAsia="zh-CN"/>
        </w:rPr>
        <w:t>5</w:t>
      </w:r>
      <w:r>
        <w:rPr>
          <w:rFonts w:hint="eastAsia" w:ascii="宋体" w:hAnsi="宋体" w:eastAsia="宋体" w:cs="宋体"/>
          <w:color w:val="auto"/>
          <w:highlight w:val="none"/>
          <w:u w:val="single"/>
          <w:lang w:val="en-US" w:eastAsia="zh-CN"/>
        </w:rPr>
        <w:t>年</w:t>
      </w:r>
      <w:r>
        <w:rPr>
          <w:rFonts w:hint="eastAsia" w:cs="宋体"/>
          <w:color w:val="auto"/>
          <w:highlight w:val="none"/>
          <w:u w:val="single"/>
          <w:lang w:val="en-US" w:eastAsia="zh-CN"/>
        </w:rPr>
        <w:t>11</w:t>
      </w:r>
      <w:r>
        <w:rPr>
          <w:rFonts w:hint="eastAsia" w:ascii="宋体" w:hAnsi="宋体" w:eastAsia="宋体" w:cs="宋体"/>
          <w:color w:val="auto"/>
          <w:highlight w:val="none"/>
          <w:u w:val="single"/>
          <w:lang w:val="en-US" w:eastAsia="zh-CN"/>
        </w:rPr>
        <w:t>月</w:t>
      </w:r>
      <w:r>
        <w:rPr>
          <w:rFonts w:hint="eastAsia" w:cs="宋体"/>
          <w:color w:val="auto"/>
          <w:highlight w:val="none"/>
          <w:u w:val="single"/>
          <w:lang w:val="en-US" w:eastAsia="zh-CN"/>
        </w:rPr>
        <w:t>17</w:t>
      </w:r>
      <w:r>
        <w:rPr>
          <w:rFonts w:hint="eastAsia" w:ascii="宋体" w:hAnsi="宋体" w:eastAsia="宋体" w:cs="宋体"/>
          <w:color w:val="auto"/>
          <w:highlight w:val="none"/>
          <w:u w:val="single"/>
          <w:lang w:val="en-US" w:eastAsia="zh-CN"/>
        </w:rPr>
        <w:t>日至202</w:t>
      </w:r>
      <w:r>
        <w:rPr>
          <w:rFonts w:hint="eastAsia" w:cs="宋体"/>
          <w:color w:val="auto"/>
          <w:highlight w:val="none"/>
          <w:u w:val="single"/>
          <w:lang w:val="en-US" w:eastAsia="zh-CN"/>
        </w:rPr>
        <w:t>5</w:t>
      </w:r>
      <w:r>
        <w:rPr>
          <w:rFonts w:hint="eastAsia" w:ascii="宋体" w:hAnsi="宋体" w:eastAsia="宋体" w:cs="宋体"/>
          <w:color w:val="auto"/>
          <w:highlight w:val="none"/>
          <w:u w:val="single"/>
          <w:lang w:val="en-US" w:eastAsia="zh-CN"/>
        </w:rPr>
        <w:t>年</w:t>
      </w:r>
      <w:r>
        <w:rPr>
          <w:rFonts w:hint="eastAsia" w:cs="宋体"/>
          <w:color w:val="auto"/>
          <w:highlight w:val="none"/>
          <w:u w:val="single"/>
          <w:lang w:val="en-US" w:eastAsia="zh-CN"/>
        </w:rPr>
        <w:t>11月21</w:t>
      </w:r>
      <w:r>
        <w:rPr>
          <w:rFonts w:hint="eastAsia" w:ascii="宋体" w:hAnsi="宋体" w:eastAsia="宋体" w:cs="宋体"/>
          <w:color w:val="auto"/>
          <w:highlight w:val="none"/>
          <w:u w:val="single"/>
          <w:lang w:val="en-US" w:eastAsia="zh-CN"/>
        </w:rPr>
        <w:t>日</w:t>
      </w:r>
      <w:r>
        <w:rPr>
          <w:rFonts w:hint="eastAsia" w:ascii="宋体" w:hAnsi="宋体" w:eastAsia="宋体" w:cs="宋体"/>
          <w:color w:val="auto"/>
          <w:highlight w:val="none"/>
          <w:lang w:val="en-US" w:eastAsia="zh-CN"/>
        </w:rPr>
        <w:t>每天上午</w:t>
      </w:r>
      <w:r>
        <w:rPr>
          <w:rFonts w:hint="eastAsia" w:cs="宋体"/>
          <w:color w:val="auto"/>
          <w:highlight w:val="none"/>
          <w:lang w:val="en-US" w:eastAsia="zh-CN"/>
        </w:rPr>
        <w:t>00</w:t>
      </w:r>
      <w:r>
        <w:rPr>
          <w:rFonts w:hint="eastAsia" w:ascii="宋体" w:hAnsi="宋体" w:eastAsia="宋体" w:cs="宋体"/>
          <w:color w:val="auto"/>
          <w:highlight w:val="none"/>
          <w:lang w:val="en-US" w:eastAsia="zh-CN"/>
        </w:rPr>
        <w:t>:00至</w:t>
      </w:r>
      <w:r>
        <w:rPr>
          <w:rFonts w:hint="eastAsia" w:cs="宋体"/>
          <w:color w:val="auto"/>
          <w:highlight w:val="none"/>
          <w:lang w:val="en-US" w:eastAsia="zh-CN"/>
        </w:rPr>
        <w:t>12</w:t>
      </w:r>
      <w:r>
        <w:rPr>
          <w:rFonts w:hint="eastAsia" w:ascii="宋体" w:hAnsi="宋体" w:eastAsia="宋体" w:cs="宋体"/>
          <w:color w:val="auto"/>
          <w:highlight w:val="none"/>
          <w:lang w:val="en-US" w:eastAsia="zh-CN"/>
        </w:rPr>
        <w:t>:</w:t>
      </w:r>
      <w:r>
        <w:rPr>
          <w:rFonts w:hint="eastAsia" w:cs="宋体"/>
          <w:color w:val="auto"/>
          <w:highlight w:val="none"/>
          <w:lang w:val="en-US" w:eastAsia="zh-CN"/>
        </w:rPr>
        <w:t>00</w:t>
      </w:r>
      <w:r>
        <w:rPr>
          <w:rFonts w:hint="eastAsia" w:ascii="宋体" w:hAnsi="宋体" w:eastAsia="宋体" w:cs="宋体"/>
          <w:color w:val="auto"/>
          <w:highlight w:val="none"/>
          <w:lang w:val="en-US" w:eastAsia="zh-CN"/>
        </w:rPr>
        <w:t>，下午12:00至23:</w:t>
      </w:r>
      <w:r>
        <w:rPr>
          <w:rFonts w:hint="eastAsia"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658A2E1A">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2.地点：焦作市公共资源交易中心网站交易平台。</w:t>
      </w:r>
    </w:p>
    <w:p w14:paraId="4EFADB7E">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3.方式：本项目采用电子开评标（不见面开标），凡有意参加投标者，请登陆焦作市公共资源交易中心网站交易平台“交易主体登录”栏目下载招标文件。</w:t>
      </w:r>
    </w:p>
    <w:p w14:paraId="531AB187">
      <w:pPr>
        <w:pStyle w:val="17"/>
        <w:shd w:val="clear" w:color="auto" w:fill="FFFFFF"/>
        <w:autoSpaceDE w:val="0"/>
        <w:spacing w:before="0" w:beforeAutospacing="0" w:after="0" w:afterAutospacing="0" w:line="440" w:lineRule="atLeast"/>
        <w:ind w:firstLine="480" w:firstLineChars="200"/>
        <w:rPr>
          <w:rFonts w:hint="eastAsia"/>
          <w:color w:val="auto"/>
          <w:highlight w:val="none"/>
        </w:rPr>
      </w:pPr>
      <w:r>
        <w:rPr>
          <w:rFonts w:hint="eastAsia" w:ascii="宋体" w:hAnsi="宋体" w:eastAsia="宋体" w:cs="宋体"/>
          <w:color w:val="auto"/>
          <w:highlight w:val="none"/>
          <w:lang w:val="en-US" w:eastAsia="zh-CN"/>
        </w:rPr>
        <w:t>4.售价： 0元。</w:t>
      </w:r>
    </w:p>
    <w:p w14:paraId="26207432">
      <w:pPr>
        <w:adjustRightInd w:val="0"/>
        <w:snapToGrid w:val="0"/>
        <w:spacing w:line="440" w:lineRule="exact"/>
        <w:rPr>
          <w:rFonts w:hint="eastAsia" w:ascii="宋体" w:hAnsi="宋体" w:eastAsia="宋体" w:cs="宋体"/>
          <w:b/>
          <w:bCs/>
          <w:color w:val="auto"/>
          <w:kern w:val="0"/>
          <w:sz w:val="24"/>
          <w:highlight w:val="none"/>
        </w:rPr>
      </w:pPr>
      <w:r>
        <w:rPr>
          <w:rFonts w:hint="eastAsia" w:ascii="宋体" w:hAnsi="宋体" w:cs="宋体"/>
          <w:b/>
          <w:color w:val="auto"/>
          <w:kern w:val="0"/>
          <w:sz w:val="24"/>
          <w:highlight w:val="none"/>
        </w:rPr>
        <w:t>四、</w:t>
      </w:r>
      <w:r>
        <w:rPr>
          <w:rFonts w:hint="eastAsia" w:ascii="宋体" w:hAnsi="宋体" w:eastAsia="宋体" w:cs="宋体"/>
          <w:b/>
          <w:bCs/>
          <w:color w:val="auto"/>
          <w:kern w:val="0"/>
          <w:sz w:val="24"/>
          <w:highlight w:val="none"/>
          <w:lang w:val="en-US" w:eastAsia="zh-CN"/>
        </w:rPr>
        <w:t>投标截止时间及地点：</w:t>
      </w:r>
    </w:p>
    <w:p w14:paraId="20077DA8">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1.时间：</w:t>
      </w:r>
      <w:r>
        <w:rPr>
          <w:rFonts w:hint="eastAsia" w:ascii="宋体" w:hAnsi="宋体" w:cs="宋体"/>
          <w:b/>
          <w:bCs/>
          <w:color w:val="auto"/>
          <w:kern w:val="0"/>
          <w:sz w:val="24"/>
          <w:highlight w:val="none"/>
          <w:u w:val="single"/>
        </w:rPr>
        <w:t>202</w:t>
      </w:r>
      <w:r>
        <w:rPr>
          <w:rFonts w:hint="eastAsia" w:cs="宋体"/>
          <w:b/>
          <w:bCs/>
          <w:color w:val="auto"/>
          <w:kern w:val="0"/>
          <w:sz w:val="24"/>
          <w:highlight w:val="none"/>
          <w:u w:val="single"/>
          <w:lang w:val="en-US" w:eastAsia="zh-CN"/>
        </w:rPr>
        <w:t>5</w:t>
      </w:r>
      <w:r>
        <w:rPr>
          <w:rFonts w:hint="eastAsia" w:ascii="宋体" w:hAnsi="宋体" w:cs="宋体"/>
          <w:b/>
          <w:bCs/>
          <w:color w:val="auto"/>
          <w:kern w:val="0"/>
          <w:sz w:val="24"/>
          <w:highlight w:val="none"/>
          <w:u w:val="single"/>
        </w:rPr>
        <w:t>年</w:t>
      </w:r>
      <w:r>
        <w:rPr>
          <w:rFonts w:hint="eastAsia" w:cs="宋体"/>
          <w:b/>
          <w:bCs/>
          <w:color w:val="auto"/>
          <w:kern w:val="0"/>
          <w:sz w:val="24"/>
          <w:highlight w:val="none"/>
          <w:u w:val="single"/>
          <w:lang w:val="en-US" w:eastAsia="zh-CN"/>
        </w:rPr>
        <w:t>12</w:t>
      </w:r>
      <w:r>
        <w:rPr>
          <w:rFonts w:hint="eastAsia" w:ascii="宋体" w:hAnsi="宋体" w:cs="宋体"/>
          <w:b/>
          <w:bCs/>
          <w:color w:val="auto"/>
          <w:kern w:val="0"/>
          <w:sz w:val="24"/>
          <w:highlight w:val="none"/>
          <w:u w:val="single"/>
        </w:rPr>
        <w:t>月</w:t>
      </w:r>
      <w:r>
        <w:rPr>
          <w:rFonts w:hint="eastAsia" w:cs="宋体"/>
          <w:b/>
          <w:bCs/>
          <w:color w:val="auto"/>
          <w:kern w:val="0"/>
          <w:sz w:val="24"/>
          <w:highlight w:val="none"/>
          <w:u w:val="single"/>
          <w:lang w:val="en-US" w:eastAsia="zh-CN"/>
        </w:rPr>
        <w:t>8</w:t>
      </w:r>
      <w:r>
        <w:rPr>
          <w:rFonts w:hint="eastAsia" w:ascii="宋体" w:hAnsi="宋体" w:cs="宋体"/>
          <w:b/>
          <w:bCs/>
          <w:color w:val="auto"/>
          <w:kern w:val="0"/>
          <w:sz w:val="24"/>
          <w:highlight w:val="none"/>
          <w:u w:val="single"/>
        </w:rPr>
        <w:t>日上午9点00分</w:t>
      </w:r>
      <w:r>
        <w:rPr>
          <w:rFonts w:hint="eastAsia" w:ascii="宋体" w:hAnsi="宋体" w:cs="宋体"/>
          <w:b/>
          <w:bCs/>
          <w:color w:val="auto"/>
          <w:sz w:val="24"/>
          <w:highlight w:val="none"/>
          <w:u w:val="single"/>
        </w:rPr>
        <w:t>（北京时间）</w:t>
      </w:r>
      <w:r>
        <w:rPr>
          <w:rFonts w:hint="eastAsia" w:cs="宋体"/>
          <w:color w:val="auto"/>
          <w:highlight w:val="none"/>
          <w:lang w:val="en-US" w:eastAsia="zh-CN"/>
        </w:rPr>
        <w:t>；</w:t>
      </w:r>
    </w:p>
    <w:p w14:paraId="0E2570E1">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2.地点：加密电子响应性文件须在响应性文件提交截止时间前通过“焦作市公共资源交易中心（https://ggzy.jiaozuo.gov.cn/）”网站-交易平台加密上传；</w:t>
      </w:r>
    </w:p>
    <w:p w14:paraId="3CA9A7D6">
      <w:pPr>
        <w:adjustRightInd w:val="0"/>
        <w:snapToGrid w:val="0"/>
        <w:spacing w:line="440" w:lineRule="exact"/>
        <w:rPr>
          <w:rFonts w:ascii="宋体" w:hAnsi="宋体" w:cs="宋体"/>
          <w:b/>
          <w:color w:val="auto"/>
          <w:kern w:val="0"/>
          <w:sz w:val="24"/>
          <w:highlight w:val="none"/>
        </w:rPr>
      </w:pPr>
      <w:r>
        <w:rPr>
          <w:rFonts w:hint="eastAsia" w:ascii="宋体" w:hAnsi="宋体" w:cs="宋体"/>
          <w:b/>
          <w:color w:val="auto"/>
          <w:kern w:val="0"/>
          <w:sz w:val="24"/>
          <w:highlight w:val="none"/>
        </w:rPr>
        <w:t>五、</w:t>
      </w:r>
      <w:r>
        <w:rPr>
          <w:rFonts w:hint="eastAsia" w:ascii="宋体" w:hAnsi="宋体" w:eastAsia="宋体" w:cs="宋体"/>
          <w:b/>
          <w:bCs/>
          <w:color w:val="auto"/>
          <w:kern w:val="0"/>
          <w:sz w:val="24"/>
          <w:highlight w:val="none"/>
          <w:lang w:val="en-US" w:eastAsia="zh-CN"/>
        </w:rPr>
        <w:t>开标时间及地点：</w:t>
      </w:r>
    </w:p>
    <w:p w14:paraId="5FB55D33">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1.时间：</w:t>
      </w:r>
      <w:r>
        <w:rPr>
          <w:rFonts w:hint="eastAsia" w:ascii="宋体" w:hAnsi="宋体" w:cs="宋体"/>
          <w:b/>
          <w:bCs/>
          <w:color w:val="auto"/>
          <w:kern w:val="0"/>
          <w:sz w:val="24"/>
          <w:highlight w:val="none"/>
          <w:u w:val="single"/>
        </w:rPr>
        <w:t>202</w:t>
      </w:r>
      <w:r>
        <w:rPr>
          <w:rFonts w:hint="eastAsia" w:cs="宋体"/>
          <w:b/>
          <w:bCs/>
          <w:color w:val="auto"/>
          <w:kern w:val="0"/>
          <w:sz w:val="24"/>
          <w:highlight w:val="none"/>
          <w:u w:val="single"/>
          <w:lang w:val="en-US" w:eastAsia="zh-CN"/>
        </w:rPr>
        <w:t>5</w:t>
      </w:r>
      <w:r>
        <w:rPr>
          <w:rFonts w:hint="eastAsia" w:ascii="宋体" w:hAnsi="宋体" w:cs="宋体"/>
          <w:b/>
          <w:bCs/>
          <w:color w:val="auto"/>
          <w:kern w:val="0"/>
          <w:sz w:val="24"/>
          <w:highlight w:val="none"/>
          <w:u w:val="single"/>
        </w:rPr>
        <w:t>年</w:t>
      </w:r>
      <w:r>
        <w:rPr>
          <w:rFonts w:hint="eastAsia" w:cs="宋体"/>
          <w:b/>
          <w:bCs/>
          <w:color w:val="auto"/>
          <w:kern w:val="0"/>
          <w:sz w:val="24"/>
          <w:highlight w:val="none"/>
          <w:u w:val="single"/>
          <w:lang w:val="en-US" w:eastAsia="zh-CN"/>
        </w:rPr>
        <w:t>12</w:t>
      </w:r>
      <w:r>
        <w:rPr>
          <w:rFonts w:hint="eastAsia" w:ascii="宋体" w:hAnsi="宋体" w:cs="宋体"/>
          <w:b/>
          <w:bCs/>
          <w:color w:val="auto"/>
          <w:kern w:val="0"/>
          <w:sz w:val="24"/>
          <w:highlight w:val="none"/>
          <w:u w:val="single"/>
        </w:rPr>
        <w:t>月</w:t>
      </w:r>
      <w:r>
        <w:rPr>
          <w:rFonts w:hint="eastAsia" w:cs="宋体"/>
          <w:b/>
          <w:bCs/>
          <w:color w:val="auto"/>
          <w:kern w:val="0"/>
          <w:sz w:val="24"/>
          <w:highlight w:val="none"/>
          <w:u w:val="single"/>
          <w:lang w:val="en-US" w:eastAsia="zh-CN"/>
        </w:rPr>
        <w:t>8</w:t>
      </w:r>
      <w:r>
        <w:rPr>
          <w:rFonts w:hint="eastAsia" w:ascii="宋体" w:hAnsi="宋体" w:cs="宋体"/>
          <w:b/>
          <w:bCs/>
          <w:color w:val="auto"/>
          <w:kern w:val="0"/>
          <w:sz w:val="24"/>
          <w:highlight w:val="none"/>
          <w:u w:val="single"/>
        </w:rPr>
        <w:t>日上午9点00分</w:t>
      </w:r>
      <w:r>
        <w:rPr>
          <w:rFonts w:hint="eastAsia" w:ascii="宋体" w:hAnsi="宋体" w:cs="宋体"/>
          <w:b/>
          <w:bCs/>
          <w:color w:val="auto"/>
          <w:sz w:val="24"/>
          <w:highlight w:val="none"/>
          <w:u w:val="single"/>
        </w:rPr>
        <w:t>（北京时间）</w:t>
      </w:r>
      <w:r>
        <w:rPr>
          <w:rFonts w:hint="eastAsia" w:cs="宋体"/>
          <w:color w:val="auto"/>
          <w:highlight w:val="none"/>
          <w:lang w:val="en-US" w:eastAsia="zh-CN"/>
        </w:rPr>
        <w:t>；</w:t>
      </w:r>
    </w:p>
    <w:p w14:paraId="1A1D0DCD">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2.地点：博爱县公共资源交易中心二楼不见面开标</w:t>
      </w:r>
      <w:r>
        <w:rPr>
          <w:rFonts w:hint="eastAsia" w:cs="宋体"/>
          <w:color w:val="auto"/>
          <w:highlight w:val="none"/>
          <w:lang w:val="en-US" w:eastAsia="zh-CN"/>
        </w:rPr>
        <w:t>二</w:t>
      </w:r>
      <w:r>
        <w:rPr>
          <w:rFonts w:hint="eastAsia" w:ascii="宋体" w:hAnsi="宋体" w:eastAsia="宋体" w:cs="宋体"/>
          <w:color w:val="auto"/>
          <w:highlight w:val="none"/>
          <w:lang w:val="en-US" w:eastAsia="zh-CN"/>
        </w:rPr>
        <w:t>室；</w:t>
      </w:r>
    </w:p>
    <w:p w14:paraId="2B606C05">
      <w:pPr>
        <w:adjustRightInd w:val="0"/>
        <w:snapToGrid w:val="0"/>
        <w:spacing w:line="440" w:lineRule="exact"/>
        <w:rPr>
          <w:rFonts w:hint="eastAsia" w:ascii="宋体" w:hAnsi="宋体" w:eastAsia="宋体" w:cs="宋体"/>
          <w:b/>
          <w:bCs/>
          <w:color w:val="auto"/>
          <w:sz w:val="24"/>
          <w:highlight w:val="none"/>
        </w:rPr>
      </w:pPr>
      <w:r>
        <w:rPr>
          <w:rFonts w:hint="eastAsia" w:ascii="宋体" w:hAnsi="宋体" w:cs="宋体"/>
          <w:b/>
          <w:bCs/>
          <w:color w:val="auto"/>
          <w:sz w:val="24"/>
          <w:highlight w:val="none"/>
        </w:rPr>
        <w:t>六、</w:t>
      </w:r>
      <w:r>
        <w:rPr>
          <w:rFonts w:hint="eastAsia" w:ascii="宋体" w:hAnsi="宋体" w:eastAsia="宋体" w:cs="宋体"/>
          <w:b/>
          <w:bCs/>
          <w:color w:val="auto"/>
          <w:sz w:val="24"/>
          <w:highlight w:val="none"/>
          <w:lang w:val="en-US" w:eastAsia="zh-CN"/>
        </w:rPr>
        <w:t>发布公告的媒介及招标公告期限：</w:t>
      </w:r>
    </w:p>
    <w:p w14:paraId="5DFB9788">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招标公告在《中国招标投标公共服务平台》、《河南省政府采购网》、《焦作市政府采购网》、《焦作市公共资源交易中心网》、《博爱县公共资源交易中心网》http://ggzy.boai.gov.cn/上发布，招标公告期限为五个工作日。</w:t>
      </w:r>
    </w:p>
    <w:p w14:paraId="6089C63F">
      <w:pPr>
        <w:adjustRightInd w:val="0"/>
        <w:snapToGrid w:val="0"/>
        <w:spacing w:line="440" w:lineRule="exact"/>
        <w:rPr>
          <w:rFonts w:ascii="宋体" w:hAnsi="宋体" w:cs="宋体"/>
          <w:b/>
          <w:bCs/>
          <w:color w:val="auto"/>
          <w:sz w:val="24"/>
          <w:highlight w:val="none"/>
        </w:rPr>
      </w:pPr>
      <w:r>
        <w:rPr>
          <w:rFonts w:hint="eastAsia" w:ascii="宋体" w:hAnsi="宋体" w:cs="宋体"/>
          <w:b/>
          <w:bCs/>
          <w:color w:val="auto"/>
          <w:sz w:val="24"/>
          <w:highlight w:val="none"/>
        </w:rPr>
        <w:t>七、其他补充事宜</w:t>
      </w:r>
    </w:p>
    <w:p w14:paraId="2AF921D6">
      <w:pPr>
        <w:pStyle w:val="17"/>
        <w:spacing w:beforeAutospacing="0" w:afterAutospacing="0" w:line="440" w:lineRule="exact"/>
        <w:ind w:firstLine="468" w:firstLineChars="195"/>
        <w:jc w:val="both"/>
        <w:rPr>
          <w:rFonts w:hint="eastAsia"/>
          <w:color w:val="auto"/>
          <w:highlight w:val="none"/>
          <w:lang w:val="en-US" w:eastAsia="zh-CN"/>
        </w:rPr>
      </w:pPr>
      <w:r>
        <w:rPr>
          <w:rFonts w:hint="eastAsia"/>
          <w:color w:val="auto"/>
          <w:highlight w:val="none"/>
          <w:lang w:val="en-US" w:eastAsia="zh-CN"/>
        </w:rPr>
        <w:t>1. 本项目采用“远程不见面”的开标方式，潜在供应商可提前在焦作市公共资源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响应文件，并在开标截止时间前登录不见面开标大厅（http://ggzy.jiaozuo.gov.cn/BidOpeningHall/bidhall/default/login）进行签到，按要求解密响应文件。因文件未及时上传导致投标失败的责任由供应商自行承担，具体要求详见招标文件。 平台统一技术服务电话：400-998-0000，服务 QQ：4008503300，服务时间：周一至周日 8：00-17：30。</w:t>
      </w:r>
    </w:p>
    <w:p w14:paraId="547EF9F9">
      <w:pPr>
        <w:pStyle w:val="17"/>
        <w:spacing w:beforeAutospacing="0" w:afterAutospacing="0" w:line="440" w:lineRule="exact"/>
        <w:ind w:firstLine="468" w:firstLineChars="195"/>
        <w:jc w:val="both"/>
        <w:rPr>
          <w:color w:val="auto"/>
          <w:highlight w:val="none"/>
        </w:rPr>
      </w:pPr>
      <w:r>
        <w:rPr>
          <w:rFonts w:hint="eastAsia"/>
          <w:color w:val="auto"/>
          <w:highlight w:val="none"/>
          <w:lang w:val="en-US" w:eastAsia="zh-CN"/>
        </w:rPr>
        <w:t>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5F7B7123">
      <w:pPr>
        <w:adjustRightInd w:val="0"/>
        <w:snapToGrid w:val="0"/>
        <w:spacing w:line="440" w:lineRule="exact"/>
        <w:rPr>
          <w:rFonts w:ascii="宋体" w:hAnsi="宋体" w:cs="宋体"/>
          <w:b/>
          <w:color w:val="auto"/>
          <w:kern w:val="0"/>
          <w:sz w:val="24"/>
          <w:highlight w:val="none"/>
        </w:rPr>
      </w:pPr>
      <w:r>
        <w:rPr>
          <w:rFonts w:hint="eastAsia" w:ascii="宋体" w:hAnsi="宋体" w:cs="宋体"/>
          <w:b/>
          <w:color w:val="auto"/>
          <w:kern w:val="0"/>
          <w:sz w:val="24"/>
          <w:highlight w:val="none"/>
        </w:rPr>
        <w:t>八、</w:t>
      </w:r>
      <w:r>
        <w:rPr>
          <w:rFonts w:hint="eastAsia" w:ascii="宋体" w:hAnsi="宋体" w:cs="宋体"/>
          <w:b/>
          <w:color w:val="auto"/>
          <w:sz w:val="24"/>
          <w:highlight w:val="none"/>
          <w:shd w:val="clear" w:color="auto" w:fill="FFFFFF"/>
        </w:rPr>
        <w:t>凡对本次采购提出询问，请按以下方式联系</w:t>
      </w:r>
    </w:p>
    <w:p w14:paraId="422A9105">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1.采购人信息：</w:t>
      </w:r>
    </w:p>
    <w:p w14:paraId="1D79B08F">
      <w:pPr>
        <w:widowControl/>
        <w:numPr>
          <w:ilvl w:val="0"/>
          <w:numId w:val="0"/>
        </w:numPr>
        <w:kinsoku w:val="0"/>
        <w:wordWrap/>
        <w:autoSpaceDE w:val="0"/>
        <w:autoSpaceDN w:val="0"/>
        <w:adjustRightInd w:val="0"/>
        <w:snapToGrid w:val="0"/>
        <w:spacing w:before="145" w:line="440" w:lineRule="exact"/>
        <w:ind w:firstLine="440" w:firstLineChars="200"/>
        <w:textAlignment w:val="baseline"/>
        <w:outlineLvl w:val="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采购人：</w:t>
      </w:r>
      <w:r>
        <w:rPr>
          <w:rFonts w:hint="eastAsia" w:ascii="宋体" w:hAnsi="宋体" w:cs="宋体"/>
          <w:color w:val="auto"/>
          <w:spacing w:val="-10"/>
          <w:sz w:val="24"/>
          <w:szCs w:val="24"/>
          <w:highlight w:val="none"/>
          <w:lang w:val="en-US" w:eastAsia="zh-CN"/>
        </w:rPr>
        <w:t>博爱县行政审批和政务信息管理局</w:t>
      </w:r>
      <w:r>
        <w:rPr>
          <w:rFonts w:hint="eastAsia" w:ascii="宋体" w:hAnsi="宋体" w:eastAsia="宋体" w:cs="宋体"/>
          <w:color w:val="auto"/>
          <w:spacing w:val="-10"/>
          <w:sz w:val="24"/>
          <w:szCs w:val="24"/>
          <w:highlight w:val="none"/>
          <w:lang w:val="en-US" w:eastAsia="zh-CN"/>
        </w:rPr>
        <w:t xml:space="preserve"> </w:t>
      </w:r>
    </w:p>
    <w:p w14:paraId="4D85FB1A">
      <w:pPr>
        <w:widowControl/>
        <w:numPr>
          <w:ilvl w:val="0"/>
          <w:numId w:val="0"/>
        </w:numPr>
        <w:kinsoku w:val="0"/>
        <w:wordWrap/>
        <w:autoSpaceDE w:val="0"/>
        <w:autoSpaceDN w:val="0"/>
        <w:adjustRightInd w:val="0"/>
        <w:snapToGrid w:val="0"/>
        <w:spacing w:before="145" w:line="440" w:lineRule="exact"/>
        <w:ind w:firstLine="440" w:firstLineChars="200"/>
        <w:textAlignment w:val="baseline"/>
        <w:outlineLvl w:val="0"/>
        <w:rPr>
          <w:rFonts w:ascii="宋体" w:hAnsi="宋体" w:cs="宋体"/>
          <w:color w:val="auto"/>
          <w:kern w:val="0"/>
          <w:sz w:val="24"/>
          <w:highlight w:val="none"/>
        </w:rPr>
      </w:pPr>
      <w:r>
        <w:rPr>
          <w:rFonts w:hint="eastAsia" w:ascii="宋体" w:hAnsi="宋体" w:eastAsia="宋体" w:cs="宋体"/>
          <w:color w:val="auto"/>
          <w:spacing w:val="-10"/>
          <w:sz w:val="24"/>
          <w:szCs w:val="24"/>
          <w:highlight w:val="none"/>
          <w:lang w:val="en-US" w:eastAsia="zh-CN"/>
        </w:rPr>
        <w:t>地  址：</w:t>
      </w:r>
      <w:r>
        <w:rPr>
          <w:rFonts w:hint="eastAsia" w:ascii="宋体" w:hAnsi="宋体" w:cs="宋体"/>
          <w:color w:val="auto"/>
          <w:spacing w:val="-10"/>
          <w:sz w:val="24"/>
          <w:szCs w:val="24"/>
          <w:highlight w:val="none"/>
          <w:lang w:val="en-US" w:eastAsia="zh-CN"/>
        </w:rPr>
        <w:t>博爱县发展大道188号机关综合办公楼主楼333室</w:t>
      </w:r>
      <w:r>
        <w:rPr>
          <w:rFonts w:hint="eastAsia" w:ascii="宋体" w:hAnsi="宋体" w:eastAsia="宋体" w:cs="宋体"/>
          <w:color w:val="auto"/>
          <w:spacing w:val="-10"/>
          <w:sz w:val="24"/>
          <w:szCs w:val="24"/>
          <w:highlight w:val="none"/>
          <w:lang w:val="en-US" w:eastAsia="zh-CN"/>
        </w:rPr>
        <w:t xml:space="preserve"> </w:t>
      </w:r>
    </w:p>
    <w:p w14:paraId="73D5A5D3">
      <w:pPr>
        <w:adjustRightInd w:val="0"/>
        <w:snapToGri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李女士</w:t>
      </w:r>
    </w:p>
    <w:p w14:paraId="7700E4B8">
      <w:pPr>
        <w:adjustRightInd w:val="0"/>
        <w:snapToGrid w:val="0"/>
        <w:spacing w:line="44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电话：</w:t>
      </w:r>
      <w:r>
        <w:rPr>
          <w:rFonts w:hint="eastAsia" w:ascii="宋体" w:hAnsi="宋体" w:cs="宋体"/>
          <w:color w:val="auto"/>
          <w:spacing w:val="6"/>
          <w:sz w:val="24"/>
          <w:highlight w:val="none"/>
          <w:lang w:val="en-US" w:eastAsia="zh-CN"/>
        </w:rPr>
        <w:t>13603892264</w:t>
      </w:r>
    </w:p>
    <w:p w14:paraId="5719EF5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w:t>
      </w:r>
    </w:p>
    <w:p w14:paraId="44051B33">
      <w:pPr>
        <w:widowControl/>
        <w:numPr>
          <w:ilvl w:val="0"/>
          <w:numId w:val="0"/>
        </w:numPr>
        <w:kinsoku w:val="0"/>
        <w:wordWrap/>
        <w:autoSpaceDE w:val="0"/>
        <w:autoSpaceDN w:val="0"/>
        <w:adjustRightInd w:val="0"/>
        <w:snapToGrid w:val="0"/>
        <w:spacing w:before="145" w:line="440" w:lineRule="exact"/>
        <w:ind w:firstLine="440" w:firstLineChars="200"/>
        <w:textAlignment w:val="baseline"/>
        <w:outlineLvl w:val="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名  称：</w:t>
      </w:r>
      <w:r>
        <w:rPr>
          <w:rFonts w:hint="eastAsia" w:ascii="宋体" w:hAnsi="宋体" w:cs="宋体"/>
          <w:color w:val="auto"/>
          <w:spacing w:val="-10"/>
          <w:sz w:val="24"/>
          <w:szCs w:val="24"/>
          <w:highlight w:val="none"/>
          <w:lang w:val="en-US" w:eastAsia="zh-CN"/>
        </w:rPr>
        <w:t>河南众成工程管理有限公司</w:t>
      </w:r>
    </w:p>
    <w:p w14:paraId="61D49FD6">
      <w:pPr>
        <w:widowControl/>
        <w:numPr>
          <w:ilvl w:val="0"/>
          <w:numId w:val="0"/>
        </w:numPr>
        <w:kinsoku w:val="0"/>
        <w:wordWrap/>
        <w:autoSpaceDE w:val="0"/>
        <w:autoSpaceDN w:val="0"/>
        <w:adjustRightInd w:val="0"/>
        <w:snapToGrid w:val="0"/>
        <w:spacing w:before="145" w:line="440" w:lineRule="exact"/>
        <w:ind w:firstLine="440" w:firstLineChars="200"/>
        <w:textAlignment w:val="baseline"/>
        <w:outlineLvl w:val="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地址：焦作市解放区孟州路京水岸步行街</w:t>
      </w:r>
    </w:p>
    <w:p w14:paraId="7F0F4414">
      <w:pPr>
        <w:widowControl/>
        <w:numPr>
          <w:ilvl w:val="0"/>
          <w:numId w:val="0"/>
        </w:numPr>
        <w:kinsoku w:val="0"/>
        <w:wordWrap/>
        <w:autoSpaceDE w:val="0"/>
        <w:autoSpaceDN w:val="0"/>
        <w:adjustRightInd w:val="0"/>
        <w:snapToGrid w:val="0"/>
        <w:spacing w:before="145" w:line="440" w:lineRule="exact"/>
        <w:ind w:firstLine="440" w:firstLineChars="200"/>
        <w:textAlignment w:val="baseline"/>
        <w:outlineLvl w:val="0"/>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联系人：</w:t>
      </w:r>
      <w:r>
        <w:rPr>
          <w:rFonts w:hint="eastAsia" w:ascii="宋体" w:hAnsi="宋体" w:cs="宋体"/>
          <w:color w:val="auto"/>
          <w:spacing w:val="-10"/>
          <w:sz w:val="24"/>
          <w:szCs w:val="24"/>
          <w:highlight w:val="none"/>
          <w:lang w:val="en-US" w:eastAsia="zh-CN"/>
        </w:rPr>
        <w:t>逯女士</w:t>
      </w:r>
    </w:p>
    <w:p w14:paraId="211CA25A">
      <w:pPr>
        <w:widowControl/>
        <w:numPr>
          <w:ilvl w:val="0"/>
          <w:numId w:val="0"/>
        </w:numPr>
        <w:kinsoku w:val="0"/>
        <w:wordWrap/>
        <w:autoSpaceDE w:val="0"/>
        <w:autoSpaceDN w:val="0"/>
        <w:adjustRightInd w:val="0"/>
        <w:snapToGrid w:val="0"/>
        <w:spacing w:before="145" w:line="440" w:lineRule="exact"/>
        <w:ind w:firstLine="440" w:firstLineChars="200"/>
        <w:textAlignment w:val="baseline"/>
        <w:outlineLvl w:val="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电话：</w:t>
      </w:r>
      <w:r>
        <w:rPr>
          <w:rFonts w:hint="eastAsia" w:ascii="宋体" w:hAnsi="宋体" w:eastAsia="宋体" w:cs="宋体"/>
          <w:i w:val="0"/>
          <w:iCs w:val="0"/>
          <w:caps w:val="0"/>
          <w:color w:val="auto"/>
          <w:spacing w:val="0"/>
          <w:kern w:val="0"/>
          <w:sz w:val="24"/>
          <w:szCs w:val="24"/>
          <w:shd w:val="clear" w:color="auto" w:fill="FFFFFF"/>
          <w:lang w:val="en-US" w:eastAsia="zh-CN"/>
        </w:rPr>
        <w:t>18903890010</w:t>
      </w:r>
    </w:p>
    <w:p w14:paraId="601EA67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3.项目联系方式</w:t>
      </w:r>
      <w:r>
        <w:rPr>
          <w:rFonts w:hint="eastAsia" w:ascii="宋体" w:hAnsi="宋体" w:cs="宋体"/>
          <w:color w:val="auto"/>
          <w:sz w:val="24"/>
          <w:highlight w:val="none"/>
        </w:rPr>
        <w:tab/>
      </w:r>
    </w:p>
    <w:p w14:paraId="155FF56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kern w:val="0"/>
          <w:sz w:val="24"/>
          <w:highlight w:val="none"/>
          <w:lang w:val="en-US" w:eastAsia="zh-CN"/>
        </w:rPr>
        <w:t>李女士</w:t>
      </w:r>
    </w:p>
    <w:p w14:paraId="16F9CE40">
      <w:pPr>
        <w:adjustRightInd w:val="0"/>
        <w:snapToGri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电话：</w:t>
      </w:r>
      <w:r>
        <w:rPr>
          <w:rFonts w:hint="eastAsia" w:ascii="宋体" w:hAnsi="宋体" w:cs="宋体"/>
          <w:color w:val="auto"/>
          <w:spacing w:val="6"/>
          <w:sz w:val="24"/>
          <w:highlight w:val="none"/>
          <w:lang w:val="en-US" w:eastAsia="zh-CN"/>
        </w:rPr>
        <w:t>13603892264</w:t>
      </w:r>
    </w:p>
    <w:p w14:paraId="1739BF1C">
      <w:pPr>
        <w:widowControl/>
        <w:spacing w:line="440" w:lineRule="exact"/>
        <w:rPr>
          <w:rFonts w:ascii="宋体" w:hAnsi="宋体" w:cs="宋体"/>
          <w:color w:val="auto"/>
          <w:sz w:val="24"/>
          <w:highlight w:val="none"/>
        </w:rPr>
      </w:pPr>
    </w:p>
    <w:p w14:paraId="292BB8CA">
      <w:pPr>
        <w:widowControl/>
        <w:spacing w:line="440" w:lineRule="exact"/>
        <w:ind w:left="2940" w:firstLine="420"/>
        <w:jc w:val="right"/>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博爱县行政审批和政务信息管理局</w:t>
      </w:r>
    </w:p>
    <w:p w14:paraId="6FA628DC">
      <w:pPr>
        <w:widowControl/>
        <w:spacing w:line="440" w:lineRule="exact"/>
        <w:ind w:left="2940" w:firstLine="420"/>
        <w:jc w:val="right"/>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rPr>
        <w:t>采购代理机构：</w:t>
      </w:r>
      <w:r>
        <w:rPr>
          <w:rFonts w:hint="eastAsia" w:ascii="宋体" w:hAnsi="宋体" w:cs="宋体"/>
          <w:color w:val="auto"/>
          <w:sz w:val="24"/>
          <w:highlight w:val="none"/>
          <w:shd w:val="clear" w:color="auto" w:fill="FFFFFF"/>
          <w:lang w:eastAsia="zh-CN"/>
        </w:rPr>
        <w:t>河南众成工程管理有限公司</w:t>
      </w:r>
    </w:p>
    <w:p w14:paraId="5AE4877B">
      <w:pPr>
        <w:widowControl/>
        <w:spacing w:line="440" w:lineRule="exact"/>
        <w:ind w:left="2940" w:firstLine="420"/>
        <w:jc w:val="right"/>
        <w:rPr>
          <w:color w:val="auto"/>
          <w:highlight w:val="none"/>
        </w:rPr>
      </w:pPr>
      <w:r>
        <w:rPr>
          <w:rFonts w:hint="eastAsia" w:ascii="宋体" w:hAnsi="宋体" w:cs="宋体"/>
          <w:color w:val="auto"/>
          <w:sz w:val="24"/>
          <w:highlight w:val="none"/>
        </w:rPr>
        <w:t>发布时间：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14 </w:t>
      </w:r>
      <w:r>
        <w:rPr>
          <w:rFonts w:hint="eastAsia" w:ascii="宋体" w:hAnsi="宋体" w:cs="宋体"/>
          <w:color w:val="auto"/>
          <w:sz w:val="24"/>
          <w:highlight w:val="none"/>
        </w:rPr>
        <w:t>日</w:t>
      </w:r>
    </w:p>
    <w:p w14:paraId="5237A0A7">
      <w:pPr>
        <w:autoSpaceDE w:val="0"/>
        <w:autoSpaceDN w:val="0"/>
        <w:adjustRightInd w:val="0"/>
        <w:spacing w:line="360" w:lineRule="auto"/>
        <w:jc w:val="center"/>
        <w:outlineLvl w:val="0"/>
        <w:rPr>
          <w:rFonts w:ascii="宋体" w:hAnsi="宋体" w:eastAsia="宋体" w:cs="宋体"/>
          <w:b/>
          <w:color w:val="auto"/>
          <w:sz w:val="32"/>
          <w:szCs w:val="32"/>
          <w:highlight w:val="none"/>
        </w:rPr>
      </w:pPr>
      <w:bookmarkStart w:id="6" w:name="_Toc27816"/>
      <w:bookmarkStart w:id="7" w:name="_Toc21974"/>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第二章  供应商须知</w:t>
      </w:r>
      <w:bookmarkEnd w:id="6"/>
      <w:bookmarkEnd w:id="7"/>
    </w:p>
    <w:bookmarkEnd w:id="0"/>
    <w:p w14:paraId="0F36C129">
      <w:pPr>
        <w:pStyle w:val="18"/>
        <w:spacing w:before="0" w:after="0" w:line="360" w:lineRule="auto"/>
        <w:ind w:right="-23" w:rightChars="-11"/>
        <w:outlineLvl w:val="1"/>
        <w:rPr>
          <w:rFonts w:ascii="宋体" w:hAnsi="宋体" w:eastAsia="宋体" w:cs="宋体"/>
          <w:color w:val="auto"/>
          <w:sz w:val="30"/>
          <w:szCs w:val="30"/>
          <w:highlight w:val="none"/>
        </w:rPr>
      </w:pPr>
      <w:bookmarkStart w:id="8" w:name="_Toc9161"/>
      <w:bookmarkStart w:id="9" w:name="_Toc403122490"/>
      <w:bookmarkStart w:id="10" w:name="_Toc426369478"/>
      <w:bookmarkStart w:id="11" w:name="_Toc32497"/>
      <w:bookmarkStart w:id="12" w:name="_Toc14655"/>
      <w:bookmarkStart w:id="13" w:name="_Toc31932"/>
      <w:r>
        <w:rPr>
          <w:rFonts w:hint="eastAsia" w:ascii="宋体" w:hAnsi="宋体" w:eastAsia="宋体" w:cs="宋体"/>
          <w:color w:val="auto"/>
          <w:sz w:val="30"/>
          <w:szCs w:val="30"/>
          <w:highlight w:val="none"/>
        </w:rPr>
        <w:t>供应商须知前附表</w:t>
      </w:r>
      <w:bookmarkEnd w:id="8"/>
      <w:bookmarkEnd w:id="9"/>
      <w:bookmarkEnd w:id="10"/>
      <w:bookmarkEnd w:id="11"/>
      <w:bookmarkEnd w:id="12"/>
      <w:bookmarkEnd w:id="13"/>
    </w:p>
    <w:tbl>
      <w:tblPr>
        <w:tblStyle w:val="2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14:paraId="16A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8FA9C4E">
            <w:pPr>
              <w:pStyle w:val="14"/>
              <w:spacing w:line="360" w:lineRule="exact"/>
              <w:jc w:val="center"/>
              <w:rPr>
                <w:rFonts w:hint="default" w:ascii="宋体" w:hAnsi="宋体" w:eastAsia="宋体" w:cs="宋体"/>
                <w:b/>
                <w:color w:val="auto"/>
                <w:highlight w:val="none"/>
              </w:rPr>
            </w:pPr>
            <w:r>
              <w:rPr>
                <w:rFonts w:ascii="宋体" w:hAnsi="宋体" w:eastAsia="宋体" w:cs="宋体"/>
                <w:b/>
                <w:color w:val="auto"/>
                <w:highlight w:val="none"/>
              </w:rPr>
              <w:t>条款号</w:t>
            </w:r>
          </w:p>
        </w:tc>
        <w:tc>
          <w:tcPr>
            <w:tcW w:w="2318" w:type="dxa"/>
            <w:vAlign w:val="center"/>
          </w:tcPr>
          <w:p w14:paraId="0D0892EF">
            <w:pPr>
              <w:pStyle w:val="14"/>
              <w:spacing w:line="360" w:lineRule="exact"/>
              <w:jc w:val="center"/>
              <w:rPr>
                <w:rFonts w:hint="default" w:ascii="宋体" w:hAnsi="宋体" w:eastAsia="宋体" w:cs="宋体"/>
                <w:b/>
                <w:color w:val="auto"/>
                <w:highlight w:val="none"/>
              </w:rPr>
            </w:pPr>
            <w:r>
              <w:rPr>
                <w:rFonts w:ascii="宋体" w:hAnsi="宋体" w:eastAsia="宋体" w:cs="宋体"/>
                <w:b/>
                <w:color w:val="auto"/>
                <w:highlight w:val="none"/>
              </w:rPr>
              <w:t>条款名称</w:t>
            </w:r>
          </w:p>
        </w:tc>
        <w:tc>
          <w:tcPr>
            <w:tcW w:w="6112" w:type="dxa"/>
            <w:vAlign w:val="center"/>
          </w:tcPr>
          <w:p w14:paraId="6A70CFFE">
            <w:pPr>
              <w:pStyle w:val="14"/>
              <w:spacing w:line="360" w:lineRule="exact"/>
              <w:jc w:val="center"/>
              <w:rPr>
                <w:rFonts w:hint="default" w:ascii="宋体" w:hAnsi="宋体" w:eastAsia="宋体" w:cs="宋体"/>
                <w:b/>
                <w:color w:val="auto"/>
                <w:highlight w:val="none"/>
              </w:rPr>
            </w:pPr>
            <w:r>
              <w:rPr>
                <w:rFonts w:ascii="宋体" w:hAnsi="宋体" w:eastAsia="宋体" w:cs="宋体"/>
                <w:b/>
                <w:color w:val="auto"/>
                <w:highlight w:val="none"/>
              </w:rPr>
              <w:t>编列内容</w:t>
            </w:r>
          </w:p>
        </w:tc>
      </w:tr>
      <w:tr w14:paraId="0290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0C52809">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1.1.2</w:t>
            </w:r>
          </w:p>
        </w:tc>
        <w:tc>
          <w:tcPr>
            <w:tcW w:w="2318" w:type="dxa"/>
            <w:vAlign w:val="center"/>
          </w:tcPr>
          <w:p w14:paraId="7FD89381">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采购人</w:t>
            </w:r>
          </w:p>
        </w:tc>
        <w:tc>
          <w:tcPr>
            <w:tcW w:w="6112" w:type="dxa"/>
            <w:vAlign w:val="center"/>
          </w:tcPr>
          <w:p w14:paraId="0292BB44">
            <w:pPr>
              <w:pStyle w:val="14"/>
              <w:spacing w:line="36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博爱县行政审批和政务信息管理局</w:t>
            </w:r>
            <w:r>
              <w:rPr>
                <w:rFonts w:hint="default" w:ascii="宋体" w:hAnsi="宋体" w:eastAsia="宋体" w:cs="宋体"/>
                <w:color w:val="auto"/>
                <w:highlight w:val="none"/>
                <w:lang w:val="en-US" w:eastAsia="zh-CN"/>
              </w:rPr>
              <w:t xml:space="preserve"> </w:t>
            </w:r>
          </w:p>
          <w:p w14:paraId="623F740D">
            <w:pPr>
              <w:pStyle w:val="14"/>
              <w:spacing w:line="360" w:lineRule="exact"/>
              <w:rPr>
                <w:rFonts w:hint="default" w:ascii="宋体" w:hAnsi="宋体" w:eastAsia="宋体" w:cs="宋体"/>
                <w:color w:val="auto"/>
                <w:highlight w:val="none"/>
              </w:rPr>
            </w:pPr>
            <w:r>
              <w:rPr>
                <w:rFonts w:hint="default" w:ascii="宋体" w:hAnsi="宋体" w:eastAsia="宋体" w:cs="宋体"/>
                <w:color w:val="auto"/>
                <w:highlight w:val="none"/>
                <w:lang w:val="en-US" w:eastAsia="zh-CN"/>
              </w:rPr>
              <w:t>地址：</w:t>
            </w:r>
            <w:r>
              <w:rPr>
                <w:rFonts w:hint="eastAsia" w:hAnsi="宋体" w:cs="宋体"/>
                <w:color w:val="auto"/>
                <w:highlight w:val="none"/>
                <w:lang w:val="en-US" w:eastAsia="zh-CN"/>
              </w:rPr>
              <w:t>博爱县发展大道188号机关综合办公楼主楼333室</w:t>
            </w:r>
            <w:r>
              <w:rPr>
                <w:rFonts w:hint="default" w:ascii="宋体" w:hAnsi="宋体" w:eastAsia="宋体" w:cs="宋体"/>
                <w:color w:val="auto"/>
                <w:highlight w:val="none"/>
                <w:lang w:val="en-US" w:eastAsia="zh-CN"/>
              </w:rPr>
              <w:t xml:space="preserve"> </w:t>
            </w:r>
          </w:p>
          <w:p w14:paraId="20FF7694">
            <w:pPr>
              <w:pStyle w:val="14"/>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联系人：</w:t>
            </w:r>
            <w:r>
              <w:rPr>
                <w:rFonts w:hint="eastAsia" w:hAnsi="宋体" w:cs="宋体"/>
                <w:color w:val="auto"/>
                <w:highlight w:val="none"/>
                <w:lang w:val="en-US" w:eastAsia="zh-CN"/>
              </w:rPr>
              <w:t>李女士</w:t>
            </w:r>
          </w:p>
          <w:p w14:paraId="26B2569D">
            <w:pPr>
              <w:pStyle w:val="14"/>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电话：</w:t>
            </w:r>
            <w:r>
              <w:rPr>
                <w:rFonts w:hint="eastAsia" w:hAnsi="宋体" w:cs="宋体"/>
                <w:color w:val="auto"/>
                <w:highlight w:val="none"/>
                <w:lang w:val="en-US" w:eastAsia="zh-CN"/>
              </w:rPr>
              <w:t>13603892264</w:t>
            </w:r>
          </w:p>
        </w:tc>
      </w:tr>
      <w:tr w14:paraId="1F77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5ADBC8B">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1.1.3</w:t>
            </w:r>
          </w:p>
        </w:tc>
        <w:tc>
          <w:tcPr>
            <w:tcW w:w="2318" w:type="dxa"/>
            <w:vAlign w:val="center"/>
          </w:tcPr>
          <w:p w14:paraId="19314007">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采购代理机构</w:t>
            </w:r>
          </w:p>
        </w:tc>
        <w:tc>
          <w:tcPr>
            <w:tcW w:w="6112" w:type="dxa"/>
            <w:vAlign w:val="center"/>
          </w:tcPr>
          <w:p w14:paraId="01B9634B">
            <w:pPr>
              <w:pStyle w:val="14"/>
              <w:spacing w:line="360" w:lineRule="exac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名称：</w:t>
            </w:r>
            <w:r>
              <w:rPr>
                <w:rFonts w:hint="eastAsia" w:ascii="宋体" w:hAnsi="宋体" w:eastAsia="宋体" w:cs="宋体"/>
                <w:color w:val="auto"/>
                <w:highlight w:val="none"/>
                <w:lang w:val="en-US" w:eastAsia="zh-CN"/>
              </w:rPr>
              <w:t>河南众成工程管理有限公司</w:t>
            </w:r>
          </w:p>
          <w:p w14:paraId="1254D84F">
            <w:pPr>
              <w:pStyle w:val="14"/>
              <w:spacing w:line="360" w:lineRule="exac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地址：</w:t>
            </w:r>
            <w:r>
              <w:rPr>
                <w:rFonts w:hint="eastAsia" w:ascii="宋体" w:hAnsi="宋体" w:eastAsia="宋体" w:cs="宋体"/>
                <w:color w:val="auto"/>
                <w:highlight w:val="none"/>
                <w:lang w:val="en-US" w:eastAsia="zh-CN"/>
              </w:rPr>
              <w:t>焦作市解放区孟州路京水岸步行街</w:t>
            </w:r>
          </w:p>
          <w:p w14:paraId="00BDD050">
            <w:pPr>
              <w:pStyle w:val="14"/>
              <w:spacing w:line="360" w:lineRule="exac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联系人：</w:t>
            </w:r>
            <w:r>
              <w:rPr>
                <w:rFonts w:hint="eastAsia" w:hAnsi="宋体" w:cs="宋体"/>
                <w:color w:val="auto"/>
                <w:highlight w:val="none"/>
                <w:lang w:val="en-US" w:eastAsia="zh-CN"/>
              </w:rPr>
              <w:t>逯女士</w:t>
            </w:r>
          </w:p>
          <w:p w14:paraId="646898AE">
            <w:pPr>
              <w:pStyle w:val="10"/>
              <w:rPr>
                <w:rFonts w:hint="default"/>
                <w:color w:val="auto"/>
                <w:highlight w:val="none"/>
              </w:rPr>
            </w:pPr>
            <w:r>
              <w:rPr>
                <w:rFonts w:hint="default"/>
                <w:color w:val="auto"/>
                <w:highlight w:val="none"/>
              </w:rPr>
              <w:t>电话：</w:t>
            </w:r>
            <w:r>
              <w:rPr>
                <w:rFonts w:hint="default" w:ascii="宋体" w:hAnsi="宋体" w:eastAsia="宋体" w:cs="宋体"/>
                <w:color w:val="auto"/>
                <w:kern w:val="2"/>
                <w:sz w:val="21"/>
                <w:szCs w:val="21"/>
                <w:highlight w:val="none"/>
                <w:lang w:val="en-US" w:eastAsia="zh-CN" w:bidi="ar-SA"/>
              </w:rPr>
              <w:t>18903890010</w:t>
            </w:r>
          </w:p>
        </w:tc>
      </w:tr>
      <w:tr w14:paraId="1D8F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62C975E8">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1.1.4</w:t>
            </w:r>
          </w:p>
        </w:tc>
        <w:tc>
          <w:tcPr>
            <w:tcW w:w="2318" w:type="dxa"/>
            <w:vAlign w:val="center"/>
          </w:tcPr>
          <w:p w14:paraId="6C98E039">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112" w:type="dxa"/>
            <w:vAlign w:val="center"/>
          </w:tcPr>
          <w:p w14:paraId="764A555E">
            <w:pPr>
              <w:adjustRightInd w:val="0"/>
              <w:snapToGrid w:val="0"/>
              <w:spacing w:line="460" w:lineRule="exact"/>
              <w:rPr>
                <w:rFonts w:hint="eastAsia" w:ascii="宋体" w:hAnsi="宋体" w:eastAsia="宋体" w:cs="宋体"/>
                <w:color w:val="auto"/>
                <w:highlight w:val="none"/>
                <w:lang w:eastAsia="zh-CN"/>
              </w:rPr>
            </w:pPr>
            <w:r>
              <w:rPr>
                <w:rFonts w:hint="eastAsia" w:ascii="宋体" w:hAnsi="宋体" w:cs="宋体"/>
                <w:bCs/>
                <w:iCs/>
                <w:color w:val="auto"/>
                <w:szCs w:val="21"/>
                <w:highlight w:val="none"/>
                <w:lang w:eastAsia="zh-CN"/>
              </w:rPr>
              <w:t>博爱县党建引领基层高效能治理平台</w:t>
            </w:r>
            <w:r>
              <w:rPr>
                <w:rFonts w:hint="eastAsia" w:ascii="宋体" w:hAnsi="宋体" w:eastAsia="宋体" w:cs="宋体"/>
                <w:bCs/>
                <w:iCs/>
                <w:color w:val="auto"/>
                <w:szCs w:val="21"/>
                <w:highlight w:val="none"/>
                <w:lang w:eastAsia="zh-CN"/>
              </w:rPr>
              <w:t>采购项目</w:t>
            </w:r>
          </w:p>
        </w:tc>
      </w:tr>
      <w:tr w14:paraId="5F1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1E9F8ADE">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1.1.5</w:t>
            </w:r>
          </w:p>
        </w:tc>
        <w:tc>
          <w:tcPr>
            <w:tcW w:w="2318" w:type="dxa"/>
            <w:vAlign w:val="center"/>
          </w:tcPr>
          <w:p w14:paraId="2D8931C7">
            <w:pPr>
              <w:spacing w:line="360" w:lineRule="exact"/>
              <w:jc w:val="center"/>
              <w:rPr>
                <w:rFonts w:ascii="宋体" w:hAnsi="宋体" w:eastAsia="宋体" w:cs="宋体"/>
                <w:color w:val="auto"/>
                <w:szCs w:val="21"/>
                <w:highlight w:val="none"/>
              </w:rPr>
            </w:pPr>
            <w:r>
              <w:rPr>
                <w:rFonts w:hint="eastAsia" w:ascii="宋体" w:hAnsi="宋体" w:eastAsia="宋体" w:cs="宋体"/>
                <w:bCs/>
                <w:iCs/>
                <w:color w:val="auto"/>
                <w:szCs w:val="21"/>
                <w:highlight w:val="none"/>
                <w:lang w:val="en-US" w:eastAsia="zh-CN"/>
              </w:rPr>
              <w:t>服务</w:t>
            </w:r>
            <w:r>
              <w:rPr>
                <w:rFonts w:hint="eastAsia" w:ascii="宋体" w:hAnsi="宋体" w:eastAsia="宋体" w:cs="宋体"/>
                <w:bCs/>
                <w:iCs/>
                <w:color w:val="auto"/>
                <w:szCs w:val="21"/>
                <w:highlight w:val="none"/>
              </w:rPr>
              <w:t>地点</w:t>
            </w:r>
          </w:p>
        </w:tc>
        <w:tc>
          <w:tcPr>
            <w:tcW w:w="6112" w:type="dxa"/>
            <w:vAlign w:val="center"/>
          </w:tcPr>
          <w:p w14:paraId="5A91513E">
            <w:pPr>
              <w:pStyle w:val="14"/>
              <w:spacing w:line="36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博爱县</w:t>
            </w:r>
          </w:p>
        </w:tc>
      </w:tr>
      <w:tr w14:paraId="1FDC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B613E13">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1.2.1</w:t>
            </w:r>
          </w:p>
        </w:tc>
        <w:tc>
          <w:tcPr>
            <w:tcW w:w="2318" w:type="dxa"/>
            <w:vAlign w:val="center"/>
          </w:tcPr>
          <w:p w14:paraId="41A36949">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资金来源</w:t>
            </w:r>
          </w:p>
        </w:tc>
        <w:tc>
          <w:tcPr>
            <w:tcW w:w="6112" w:type="dxa"/>
            <w:vAlign w:val="center"/>
          </w:tcPr>
          <w:p w14:paraId="1FD1D57D">
            <w:pPr>
              <w:pStyle w:val="14"/>
              <w:spacing w:line="360" w:lineRule="exact"/>
              <w:rPr>
                <w:rFonts w:hint="default" w:ascii="宋体" w:hAnsi="宋体" w:eastAsia="宋体" w:cs="宋体"/>
                <w:i/>
                <w:iCs/>
                <w:color w:val="auto"/>
                <w:highlight w:val="none"/>
                <w:lang w:val="en-US" w:eastAsia="zh-CN"/>
              </w:rPr>
            </w:pPr>
            <w:r>
              <w:rPr>
                <w:rFonts w:hint="eastAsia" w:hAnsi="宋体" w:cs="宋体"/>
                <w:color w:val="auto"/>
                <w:highlight w:val="none"/>
                <w:lang w:val="en-US" w:eastAsia="zh-CN"/>
              </w:rPr>
              <w:t>本级财政资金</w:t>
            </w:r>
          </w:p>
        </w:tc>
      </w:tr>
      <w:tr w14:paraId="53BB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5D2F2BE">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1.2.2</w:t>
            </w:r>
          </w:p>
        </w:tc>
        <w:tc>
          <w:tcPr>
            <w:tcW w:w="2318" w:type="dxa"/>
            <w:vAlign w:val="center"/>
          </w:tcPr>
          <w:p w14:paraId="0780AD60">
            <w:pPr>
              <w:pStyle w:val="14"/>
              <w:spacing w:line="360" w:lineRule="exact"/>
              <w:jc w:val="center"/>
              <w:rPr>
                <w:rFonts w:hint="default" w:ascii="宋体" w:hAnsi="宋体" w:eastAsia="宋体" w:cs="宋体"/>
                <w:color w:val="auto"/>
                <w:highlight w:val="none"/>
              </w:rPr>
            </w:pPr>
            <w:r>
              <w:rPr>
                <w:rFonts w:ascii="宋体" w:hAnsi="宋体" w:eastAsia="宋体" w:cs="宋体"/>
                <w:bCs/>
                <w:iCs/>
                <w:color w:val="auto"/>
                <w:highlight w:val="none"/>
              </w:rPr>
              <w:t>资金落实情况</w:t>
            </w:r>
          </w:p>
        </w:tc>
        <w:tc>
          <w:tcPr>
            <w:tcW w:w="6112" w:type="dxa"/>
            <w:vAlign w:val="center"/>
          </w:tcPr>
          <w:p w14:paraId="05B0C81D">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已落实</w:t>
            </w:r>
          </w:p>
        </w:tc>
      </w:tr>
      <w:tr w14:paraId="3AE4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14:paraId="0FAC0A5E">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1.3.1</w:t>
            </w:r>
          </w:p>
        </w:tc>
        <w:tc>
          <w:tcPr>
            <w:tcW w:w="2318" w:type="dxa"/>
            <w:vAlign w:val="center"/>
          </w:tcPr>
          <w:p w14:paraId="2E509DBB">
            <w:pPr>
              <w:pStyle w:val="14"/>
              <w:spacing w:line="360" w:lineRule="exact"/>
              <w:ind w:firstLine="420" w:firstLineChars="200"/>
              <w:rPr>
                <w:rFonts w:hint="default" w:ascii="宋体" w:hAnsi="宋体" w:eastAsia="宋体" w:cs="宋体"/>
                <w:color w:val="auto"/>
                <w:highlight w:val="none"/>
              </w:rPr>
            </w:pPr>
            <w:r>
              <w:rPr>
                <w:rFonts w:ascii="宋体" w:hAnsi="宋体" w:eastAsia="宋体" w:cs="宋体"/>
                <w:bCs/>
                <w:iCs/>
                <w:color w:val="auto"/>
                <w:highlight w:val="none"/>
              </w:rPr>
              <w:t>采购内容</w:t>
            </w:r>
          </w:p>
        </w:tc>
        <w:tc>
          <w:tcPr>
            <w:tcW w:w="6112" w:type="dxa"/>
            <w:vAlign w:val="top"/>
          </w:tcPr>
          <w:p w14:paraId="106E3E07">
            <w:pPr>
              <w:pStyle w:val="14"/>
              <w:spacing w:line="360" w:lineRule="exact"/>
              <w:rPr>
                <w:rFonts w:hint="default" w:ascii="宋体" w:hAnsi="宋体" w:eastAsia="宋体" w:cs="宋体"/>
                <w:color w:val="auto"/>
                <w:highlight w:val="none"/>
              </w:rPr>
            </w:pPr>
            <w:r>
              <w:rPr>
                <w:rFonts w:hint="eastAsia" w:hAnsi="宋体" w:cs="宋体"/>
                <w:color w:val="auto"/>
                <w:highlight w:val="none"/>
                <w:lang w:val="en-US" w:eastAsia="zh-CN"/>
              </w:rPr>
              <w:t>建设基层高效能治理驾驶舱、事件处置平台，具备视频汇聚、大模型分析、地图标注等基础能力，建设党建引领、六情管理、社会治理、无人机巡检、指挥调度等模块。</w:t>
            </w:r>
            <w:r>
              <w:rPr>
                <w:rFonts w:hint="eastAsia" w:ascii="宋体" w:hAnsi="宋体" w:eastAsia="宋体" w:cs="宋体"/>
                <w:color w:val="auto"/>
                <w:highlight w:val="none"/>
                <w:lang w:val="en-US" w:eastAsia="zh-CN"/>
              </w:rPr>
              <w:t>（具体详见招标文件第五部分采购内容及技术要求）。</w:t>
            </w:r>
          </w:p>
        </w:tc>
      </w:tr>
      <w:tr w14:paraId="4747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060A59A">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1.3.2</w:t>
            </w:r>
          </w:p>
        </w:tc>
        <w:tc>
          <w:tcPr>
            <w:tcW w:w="2318" w:type="dxa"/>
            <w:vAlign w:val="center"/>
          </w:tcPr>
          <w:p w14:paraId="7C0561DE">
            <w:pPr>
              <w:pStyle w:val="14"/>
              <w:spacing w:line="360" w:lineRule="exact"/>
              <w:jc w:val="center"/>
              <w:rPr>
                <w:rFonts w:hint="default" w:hAnsi="宋体" w:cs="宋体"/>
                <w:color w:val="auto"/>
                <w:highlight w:val="none"/>
                <w:lang w:val="en-US" w:eastAsia="zh-CN"/>
              </w:rPr>
            </w:pPr>
            <w:r>
              <w:rPr>
                <w:rFonts w:hint="eastAsia" w:hAnsi="宋体" w:cs="宋体"/>
                <w:color w:val="auto"/>
                <w:highlight w:val="none"/>
                <w:lang w:val="en-US" w:eastAsia="zh-CN"/>
              </w:rPr>
              <w:t>合同履行期限</w:t>
            </w:r>
          </w:p>
        </w:tc>
        <w:tc>
          <w:tcPr>
            <w:tcW w:w="6112" w:type="dxa"/>
            <w:vAlign w:val="center"/>
          </w:tcPr>
          <w:p w14:paraId="541BDADD">
            <w:pPr>
              <w:pStyle w:val="14"/>
              <w:spacing w:line="360" w:lineRule="exact"/>
              <w:jc w:val="center"/>
              <w:rPr>
                <w:rFonts w:hint="eastAsia" w:hAnsi="宋体" w:cs="宋体"/>
                <w:color w:val="auto"/>
                <w:highlight w:val="none"/>
                <w:lang w:val="en-US" w:eastAsia="zh-CN"/>
              </w:rPr>
            </w:pPr>
            <w:r>
              <w:rPr>
                <w:rFonts w:hint="eastAsia" w:hAnsi="宋体" w:cs="宋体"/>
                <w:color w:val="auto"/>
                <w:highlight w:val="none"/>
                <w:lang w:val="en-US" w:eastAsia="zh-CN"/>
              </w:rPr>
              <w:t>合同签订后30日历天</w:t>
            </w:r>
          </w:p>
        </w:tc>
      </w:tr>
      <w:tr w14:paraId="4ADB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F6AE7BD">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1.3.3</w:t>
            </w:r>
          </w:p>
        </w:tc>
        <w:tc>
          <w:tcPr>
            <w:tcW w:w="2318" w:type="dxa"/>
            <w:vAlign w:val="center"/>
          </w:tcPr>
          <w:p w14:paraId="411838CF">
            <w:pPr>
              <w:pStyle w:val="14"/>
              <w:spacing w:line="360" w:lineRule="exact"/>
              <w:jc w:val="center"/>
              <w:rPr>
                <w:rFonts w:hint="eastAsia" w:hAnsi="宋体" w:eastAsia="宋体" w:cs="宋体"/>
                <w:color w:val="auto"/>
                <w:kern w:val="0"/>
                <w:highlight w:val="none"/>
                <w:lang w:eastAsia="zh-CN"/>
              </w:rPr>
            </w:pPr>
            <w:r>
              <w:rPr>
                <w:rFonts w:hint="default" w:hAnsi="宋体" w:cs="宋体"/>
                <w:color w:val="auto"/>
                <w:kern w:val="0"/>
                <w:highlight w:val="none"/>
              </w:rPr>
              <w:t>质量</w:t>
            </w:r>
            <w:r>
              <w:rPr>
                <w:rFonts w:hint="eastAsia" w:hAnsi="宋体" w:cs="宋体"/>
                <w:color w:val="auto"/>
                <w:kern w:val="0"/>
                <w:highlight w:val="none"/>
                <w:lang w:val="en-US" w:eastAsia="zh-CN"/>
              </w:rPr>
              <w:t>要求</w:t>
            </w:r>
          </w:p>
        </w:tc>
        <w:tc>
          <w:tcPr>
            <w:tcW w:w="6112" w:type="dxa"/>
            <w:vAlign w:val="center"/>
          </w:tcPr>
          <w:p w14:paraId="2CADC104">
            <w:pPr>
              <w:spacing w:line="400" w:lineRule="exact"/>
              <w:rPr>
                <w:rFonts w:ascii="宋体" w:hAnsi="宋体" w:cs="宋体"/>
                <w:color w:val="auto"/>
                <w:kern w:val="0"/>
                <w:szCs w:val="21"/>
                <w:highlight w:val="none"/>
              </w:rPr>
            </w:pPr>
            <w:r>
              <w:rPr>
                <w:rFonts w:ascii="宋体" w:hAnsi="宋体" w:cs="宋体"/>
                <w:color w:val="auto"/>
                <w:kern w:val="0"/>
                <w:szCs w:val="21"/>
                <w:highlight w:val="none"/>
              </w:rPr>
              <w:t>合格，符合国家</w:t>
            </w:r>
            <w:r>
              <w:rPr>
                <w:rFonts w:hint="eastAsia" w:ascii="宋体" w:hAnsi="宋体" w:cs="宋体"/>
                <w:color w:val="auto"/>
                <w:kern w:val="0"/>
                <w:szCs w:val="21"/>
                <w:highlight w:val="none"/>
              </w:rPr>
              <w:t>及</w:t>
            </w:r>
            <w:r>
              <w:rPr>
                <w:rFonts w:ascii="宋体" w:hAnsi="宋体" w:cs="宋体"/>
                <w:color w:val="auto"/>
                <w:kern w:val="0"/>
                <w:szCs w:val="21"/>
                <w:highlight w:val="none"/>
              </w:rPr>
              <w:t>行业规范标准。</w:t>
            </w:r>
          </w:p>
        </w:tc>
      </w:tr>
      <w:tr w14:paraId="435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02AD5412">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1.4.1</w:t>
            </w:r>
          </w:p>
        </w:tc>
        <w:tc>
          <w:tcPr>
            <w:tcW w:w="2318" w:type="dxa"/>
            <w:vAlign w:val="center"/>
          </w:tcPr>
          <w:p w14:paraId="73C19B27">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供应商资质条件</w:t>
            </w:r>
          </w:p>
        </w:tc>
        <w:tc>
          <w:tcPr>
            <w:tcW w:w="6112" w:type="dxa"/>
            <w:vAlign w:val="center"/>
          </w:tcPr>
          <w:p w14:paraId="2ACB2CC5">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1、符合《中华人民共和国政府采购法》第二十二条之规定；</w:t>
            </w:r>
          </w:p>
          <w:p w14:paraId="6FEBF2C9">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2、</w:t>
            </w:r>
            <w:r>
              <w:rPr>
                <w:rFonts w:hint="eastAsia" w:hAnsi="宋体" w:cs="宋体"/>
                <w:color w:val="auto"/>
                <w:highlight w:val="none"/>
                <w:lang w:eastAsia="zh-CN"/>
              </w:rPr>
              <w:t>落实政府采购政策满足的资格要求：促进政府强制采购节能产品及环境标志产品优先采购，促进中小企业和监狱企业发展扶持政策；</w:t>
            </w:r>
          </w:p>
          <w:p w14:paraId="13E162DF">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3、本项目的特定资格要求：</w:t>
            </w:r>
          </w:p>
          <w:p w14:paraId="78AF68D7">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3.1投标人须具有有效的营业执照，并具有实施完成本项目的经营实力和完善的售后服务体系；</w:t>
            </w:r>
          </w:p>
          <w:p w14:paraId="6878AE21">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r>
              <w:rPr>
                <w:rFonts w:hint="eastAsia" w:ascii="宋体" w:hAnsi="宋体" w:eastAsia="宋体" w:cs="宋体"/>
                <w:color w:val="auto"/>
                <w:highlight w:val="none"/>
              </w:rPr>
              <w:t>(备注：信誉要求由采购代理机构开标当日提供查询结果)；</w:t>
            </w:r>
          </w:p>
          <w:p w14:paraId="24601CB4">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3.3本项目不接受联合体投标；</w:t>
            </w:r>
          </w:p>
          <w:p w14:paraId="47E8E607">
            <w:pPr>
              <w:pStyle w:val="14"/>
              <w:spacing w:line="360" w:lineRule="exact"/>
              <w:rPr>
                <w:rFonts w:hint="eastAsia" w:eastAsia="宋体"/>
                <w:color w:val="auto"/>
                <w:highlight w:val="none"/>
                <w:lang w:eastAsia="zh-CN"/>
              </w:rPr>
            </w:pPr>
            <w:r>
              <w:rPr>
                <w:rFonts w:ascii="宋体" w:hAnsi="宋体" w:eastAsia="宋体" w:cs="宋体"/>
                <w:color w:val="auto"/>
                <w:highlight w:val="none"/>
              </w:rPr>
              <w:t>3.4资格审查方式：资格后审。</w:t>
            </w:r>
          </w:p>
        </w:tc>
      </w:tr>
      <w:tr w14:paraId="7CA0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9697328">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1.4.2</w:t>
            </w:r>
          </w:p>
        </w:tc>
        <w:tc>
          <w:tcPr>
            <w:tcW w:w="2318" w:type="dxa"/>
            <w:vAlign w:val="center"/>
          </w:tcPr>
          <w:p w14:paraId="14E8457A">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是否接受联合体</w:t>
            </w:r>
          </w:p>
        </w:tc>
        <w:tc>
          <w:tcPr>
            <w:tcW w:w="6112" w:type="dxa"/>
            <w:vAlign w:val="center"/>
          </w:tcPr>
          <w:p w14:paraId="30EFBF18">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不接受</w:t>
            </w:r>
          </w:p>
        </w:tc>
      </w:tr>
      <w:tr w14:paraId="2A80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769EDF39">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1.10.1</w:t>
            </w:r>
          </w:p>
        </w:tc>
        <w:tc>
          <w:tcPr>
            <w:tcW w:w="2318" w:type="dxa"/>
            <w:vAlign w:val="center"/>
          </w:tcPr>
          <w:p w14:paraId="53C42804">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投标预备会</w:t>
            </w:r>
          </w:p>
        </w:tc>
        <w:tc>
          <w:tcPr>
            <w:tcW w:w="6112" w:type="dxa"/>
            <w:vAlign w:val="center"/>
          </w:tcPr>
          <w:p w14:paraId="12D858AF">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不召开</w:t>
            </w:r>
          </w:p>
        </w:tc>
      </w:tr>
      <w:tr w14:paraId="2B2C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FAA1E6">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1.10.2</w:t>
            </w:r>
          </w:p>
        </w:tc>
        <w:tc>
          <w:tcPr>
            <w:tcW w:w="2318" w:type="dxa"/>
            <w:vAlign w:val="center"/>
          </w:tcPr>
          <w:p w14:paraId="08EEEDD6">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供应商提出问题的</w:t>
            </w:r>
          </w:p>
          <w:p w14:paraId="480C0B45">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截止时间</w:t>
            </w:r>
          </w:p>
        </w:tc>
        <w:tc>
          <w:tcPr>
            <w:tcW w:w="6112" w:type="dxa"/>
            <w:vAlign w:val="center"/>
          </w:tcPr>
          <w:p w14:paraId="2FE9852D">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若有疑问，应当在获取招标文件或者招标文件公告期限届满之日起七个工作日内，以书面形式向采购人、代理机构提出质疑。</w:t>
            </w:r>
          </w:p>
        </w:tc>
      </w:tr>
      <w:tr w14:paraId="5386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4FEEC1D2">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1.10.3</w:t>
            </w:r>
          </w:p>
        </w:tc>
        <w:tc>
          <w:tcPr>
            <w:tcW w:w="2318" w:type="dxa"/>
            <w:vAlign w:val="center"/>
          </w:tcPr>
          <w:p w14:paraId="09BFC365">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采购人说明澄清的时间</w:t>
            </w:r>
          </w:p>
        </w:tc>
        <w:tc>
          <w:tcPr>
            <w:tcW w:w="6112" w:type="dxa"/>
            <w:vAlign w:val="center"/>
          </w:tcPr>
          <w:p w14:paraId="3214F829">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招标文件规定的投标截止时间15天前</w:t>
            </w:r>
          </w:p>
        </w:tc>
      </w:tr>
      <w:tr w14:paraId="0D9C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3A2C7B66">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1.11</w:t>
            </w:r>
          </w:p>
        </w:tc>
        <w:tc>
          <w:tcPr>
            <w:tcW w:w="2318" w:type="dxa"/>
            <w:vAlign w:val="center"/>
          </w:tcPr>
          <w:p w14:paraId="377ED938">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分包</w:t>
            </w:r>
          </w:p>
        </w:tc>
        <w:tc>
          <w:tcPr>
            <w:tcW w:w="6112" w:type="dxa"/>
            <w:vAlign w:val="center"/>
          </w:tcPr>
          <w:p w14:paraId="0425C4DA">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不允许</w:t>
            </w:r>
          </w:p>
        </w:tc>
      </w:tr>
      <w:tr w14:paraId="48CA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AB9491C">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2.2.1</w:t>
            </w:r>
          </w:p>
        </w:tc>
        <w:tc>
          <w:tcPr>
            <w:tcW w:w="2318" w:type="dxa"/>
            <w:vAlign w:val="center"/>
          </w:tcPr>
          <w:p w14:paraId="01B00A6C">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供应商要求澄清招标文件的截止时间</w:t>
            </w:r>
          </w:p>
        </w:tc>
        <w:tc>
          <w:tcPr>
            <w:tcW w:w="6112" w:type="dxa"/>
            <w:vAlign w:val="center"/>
          </w:tcPr>
          <w:p w14:paraId="21F1876E">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若有疑问，应当在获取招标文件或者招标文件公告期限届满之日起七个工作日内，以书面形式向采购人、代理机构提出质疑。</w:t>
            </w:r>
          </w:p>
        </w:tc>
      </w:tr>
      <w:tr w14:paraId="30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09CB7D8C">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2.2.2</w:t>
            </w:r>
          </w:p>
        </w:tc>
        <w:tc>
          <w:tcPr>
            <w:tcW w:w="2318" w:type="dxa"/>
            <w:vAlign w:val="center"/>
          </w:tcPr>
          <w:p w14:paraId="43B302FF">
            <w:pPr>
              <w:pStyle w:val="14"/>
              <w:spacing w:line="360" w:lineRule="exact"/>
              <w:jc w:val="center"/>
              <w:rPr>
                <w:rFonts w:hint="default" w:ascii="宋体" w:hAnsi="宋体" w:eastAsia="宋体" w:cs="宋体"/>
                <w:b/>
                <w:bCs/>
                <w:color w:val="auto"/>
                <w:highlight w:val="none"/>
              </w:rPr>
            </w:pPr>
            <w:r>
              <w:rPr>
                <w:rFonts w:ascii="宋体" w:hAnsi="宋体" w:eastAsia="宋体" w:cs="宋体"/>
                <w:b/>
                <w:bCs/>
                <w:color w:val="auto"/>
                <w:highlight w:val="none"/>
              </w:rPr>
              <w:t>投标截止时间</w:t>
            </w:r>
          </w:p>
        </w:tc>
        <w:tc>
          <w:tcPr>
            <w:tcW w:w="6112" w:type="dxa"/>
            <w:vAlign w:val="center"/>
          </w:tcPr>
          <w:p w14:paraId="34284B4D">
            <w:pPr>
              <w:spacing w:line="360" w:lineRule="exact"/>
              <w:jc w:val="left"/>
              <w:rPr>
                <w:rFonts w:ascii="宋体" w:hAnsi="宋体" w:eastAsia="宋体" w:cs="宋体"/>
                <w:b/>
                <w:bCs/>
                <w:color w:val="auto"/>
                <w:highlight w:val="none"/>
              </w:rPr>
            </w:pPr>
            <w:r>
              <w:rPr>
                <w:rFonts w:hint="eastAsia" w:ascii="宋体" w:hAnsi="宋体" w:eastAsia="宋体" w:cs="宋体"/>
                <w:b/>
                <w:bCs/>
                <w:color w:val="auto"/>
                <w:kern w:val="2"/>
                <w:sz w:val="21"/>
                <w:szCs w:val="21"/>
                <w:highlight w:val="none"/>
                <w:lang w:val="en-US" w:eastAsia="zh-CN" w:bidi="ar-SA"/>
              </w:rPr>
              <w:t>2025年</w:t>
            </w:r>
            <w:r>
              <w:rPr>
                <w:rFonts w:hint="eastAsia" w:ascii="宋体" w:hAnsi="宋体"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月</w:t>
            </w:r>
            <w:r>
              <w:rPr>
                <w:rFonts w:hint="eastAsia" w:ascii="宋体" w:hAnsi="宋体" w:cs="宋体"/>
                <w:b/>
                <w:bCs/>
                <w:color w:val="auto"/>
                <w:kern w:val="2"/>
                <w:sz w:val="21"/>
                <w:szCs w:val="21"/>
                <w:highlight w:val="none"/>
                <w:lang w:val="en-US" w:eastAsia="zh-CN" w:bidi="ar-SA"/>
              </w:rPr>
              <w:t>8</w:t>
            </w:r>
            <w:r>
              <w:rPr>
                <w:rFonts w:hint="eastAsia" w:ascii="宋体" w:hAnsi="宋体" w:eastAsia="宋体" w:cs="宋体"/>
                <w:b/>
                <w:bCs/>
                <w:color w:val="auto"/>
                <w:kern w:val="2"/>
                <w:sz w:val="21"/>
                <w:szCs w:val="21"/>
                <w:highlight w:val="none"/>
                <w:lang w:val="en-US" w:eastAsia="zh-CN" w:bidi="ar-SA"/>
              </w:rPr>
              <w:t>日上午9点00分（北京时间）</w:t>
            </w:r>
          </w:p>
        </w:tc>
      </w:tr>
      <w:tr w14:paraId="5F0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B5DC740">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318" w:type="dxa"/>
            <w:vAlign w:val="center"/>
          </w:tcPr>
          <w:p w14:paraId="1F0C5AB4">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w:t>
            </w:r>
          </w:p>
          <w:p w14:paraId="1CE1D352">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其他材料</w:t>
            </w:r>
          </w:p>
        </w:tc>
        <w:tc>
          <w:tcPr>
            <w:tcW w:w="6112" w:type="dxa"/>
            <w:vAlign w:val="center"/>
          </w:tcPr>
          <w:p w14:paraId="66A34092">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招标文件中要求的其他资料。 </w:t>
            </w:r>
          </w:p>
        </w:tc>
      </w:tr>
      <w:tr w14:paraId="4064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20D78305">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3.3.1</w:t>
            </w:r>
          </w:p>
        </w:tc>
        <w:tc>
          <w:tcPr>
            <w:tcW w:w="2318" w:type="dxa"/>
            <w:vAlign w:val="center"/>
          </w:tcPr>
          <w:p w14:paraId="51DDC0E8">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投标有效期</w:t>
            </w:r>
          </w:p>
        </w:tc>
        <w:tc>
          <w:tcPr>
            <w:tcW w:w="6112" w:type="dxa"/>
            <w:vAlign w:val="center"/>
          </w:tcPr>
          <w:p w14:paraId="263FB49C">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60日历天（从投标截止之日算起）</w:t>
            </w:r>
          </w:p>
        </w:tc>
      </w:tr>
      <w:tr w14:paraId="0A7F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10772AA">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3.6</w:t>
            </w:r>
          </w:p>
        </w:tc>
        <w:tc>
          <w:tcPr>
            <w:tcW w:w="2318" w:type="dxa"/>
            <w:vAlign w:val="center"/>
          </w:tcPr>
          <w:p w14:paraId="3D63C2AF">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是否允许递交备选</w:t>
            </w:r>
          </w:p>
          <w:p w14:paraId="28AC41A7">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投标方案</w:t>
            </w:r>
          </w:p>
        </w:tc>
        <w:tc>
          <w:tcPr>
            <w:tcW w:w="6112" w:type="dxa"/>
            <w:vAlign w:val="center"/>
          </w:tcPr>
          <w:p w14:paraId="39CC38ED">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不允许</w:t>
            </w:r>
          </w:p>
        </w:tc>
      </w:tr>
      <w:tr w14:paraId="75B6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13EB348E">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318" w:type="dxa"/>
            <w:vAlign w:val="center"/>
          </w:tcPr>
          <w:p w14:paraId="6D8BF338">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签字盖章要求</w:t>
            </w:r>
          </w:p>
        </w:tc>
        <w:tc>
          <w:tcPr>
            <w:tcW w:w="6112" w:type="dxa"/>
            <w:vAlign w:val="center"/>
          </w:tcPr>
          <w:p w14:paraId="5DA68F75">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1 所有要求供应商加盖公章的地方都须加盖供应商单位的 CA 印章。</w:t>
            </w:r>
          </w:p>
          <w:p w14:paraId="2C3B2A6A">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2要求法定代表人签字或盖章的，法定代表人在签字或盖章的地方上传手写签名的扫描件或加盖法定代表人CA印章。</w:t>
            </w:r>
          </w:p>
          <w:p w14:paraId="05DE4CD8">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3要求委托代理人签字或盖章的，委托代理人在签字或盖章的地方上传手写签名的扫描件或加盖委托代理人CA印章。</w:t>
            </w:r>
          </w:p>
        </w:tc>
      </w:tr>
      <w:tr w14:paraId="6849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2954A2CB">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3.7.4</w:t>
            </w:r>
          </w:p>
        </w:tc>
        <w:tc>
          <w:tcPr>
            <w:tcW w:w="2318" w:type="dxa"/>
            <w:vAlign w:val="center"/>
          </w:tcPr>
          <w:p w14:paraId="3DFB0B78">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投标文件份数</w:t>
            </w:r>
          </w:p>
        </w:tc>
        <w:tc>
          <w:tcPr>
            <w:tcW w:w="6112" w:type="dxa"/>
            <w:vAlign w:val="center"/>
          </w:tcPr>
          <w:p w14:paraId="0F131EE3">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加密的电子投标文件壹份（.jztf 格式在会员系统指定位置上传）；自备非加密的电子投标文件一份，如有紧急情况，在不见面开标按要求上传。</w:t>
            </w:r>
          </w:p>
        </w:tc>
      </w:tr>
      <w:tr w14:paraId="003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5" w:type="dxa"/>
            <w:vAlign w:val="center"/>
          </w:tcPr>
          <w:p w14:paraId="7C6E4AE1">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4.2.2</w:t>
            </w:r>
          </w:p>
        </w:tc>
        <w:tc>
          <w:tcPr>
            <w:tcW w:w="2318" w:type="dxa"/>
            <w:vAlign w:val="center"/>
          </w:tcPr>
          <w:p w14:paraId="391DAB06">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递交投标文件方式和</w:t>
            </w:r>
          </w:p>
          <w:p w14:paraId="1842F128">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地点</w:t>
            </w:r>
          </w:p>
        </w:tc>
        <w:tc>
          <w:tcPr>
            <w:tcW w:w="6112" w:type="dxa"/>
            <w:vAlign w:val="center"/>
          </w:tcPr>
          <w:p w14:paraId="7D01B866">
            <w:pPr>
              <w:pStyle w:val="14"/>
              <w:spacing w:line="400" w:lineRule="exact"/>
              <w:rPr>
                <w:rFonts w:hint="default" w:hAnsi="宋体"/>
                <w:color w:val="auto"/>
                <w:highlight w:val="none"/>
              </w:rPr>
            </w:pPr>
            <w:r>
              <w:rPr>
                <w:rFonts w:hAnsi="宋体"/>
                <w:color w:val="auto"/>
                <w:highlight w:val="none"/>
              </w:rPr>
              <w:t>本项目采用“远程不见面”开标方式，远程开标大厅网址为</w:t>
            </w:r>
            <w:r>
              <w:rPr>
                <w:rFonts w:hint="eastAsia" w:hAnsi="宋体"/>
                <w:color w:val="auto"/>
                <w:highlight w:val="none"/>
              </w:rPr>
              <w:t>http://ggzy.jiaozuo.gov.cn/BidOpeningHall/bidhall/default/login</w:t>
            </w:r>
            <w:r>
              <w:rPr>
                <w:rFonts w:hAnsi="宋体"/>
                <w:color w:val="auto"/>
                <w:highlight w:val="none"/>
              </w:rPr>
              <w:t xml:space="preserve">。供应商不需到开标现场参加开标会议，不需提交原件资料等。 </w:t>
            </w:r>
          </w:p>
          <w:p w14:paraId="2DF2FBA5">
            <w:pPr>
              <w:pStyle w:val="14"/>
              <w:spacing w:line="400" w:lineRule="exact"/>
              <w:rPr>
                <w:rFonts w:hint="default" w:hAnsi="宋体"/>
                <w:color w:val="auto"/>
                <w:highlight w:val="none"/>
              </w:rPr>
            </w:pPr>
            <w:r>
              <w:rPr>
                <w:rFonts w:hAnsi="宋体"/>
                <w:color w:val="auto"/>
                <w:highlight w:val="none"/>
              </w:rPr>
              <w:t>（1）电子投标文件的递交</w:t>
            </w:r>
          </w:p>
          <w:p w14:paraId="37B3D147">
            <w:pPr>
              <w:pStyle w:val="14"/>
              <w:spacing w:line="400" w:lineRule="exact"/>
              <w:rPr>
                <w:rFonts w:hint="default" w:hAnsi="宋体"/>
                <w:color w:val="auto"/>
                <w:highlight w:val="none"/>
              </w:rPr>
            </w:pPr>
            <w:r>
              <w:rPr>
                <w:rFonts w:hAnsi="宋体"/>
                <w:color w:val="auto"/>
                <w:highlight w:val="none"/>
              </w:rPr>
              <w:t>a、各供应商应在投标截止时间前上传加密的电子投标文件</w:t>
            </w:r>
          </w:p>
          <w:p w14:paraId="3488438D">
            <w:pPr>
              <w:pStyle w:val="14"/>
              <w:spacing w:line="400" w:lineRule="exact"/>
              <w:rPr>
                <w:rFonts w:hint="default" w:hAnsi="宋体"/>
                <w:color w:val="auto"/>
                <w:highlight w:val="none"/>
              </w:rPr>
            </w:pPr>
            <w:r>
              <w:rPr>
                <w:rFonts w:hAnsi="宋体"/>
                <w:color w:val="auto"/>
                <w:highlight w:val="none"/>
              </w:rPr>
              <w:t>（.jztf 格式）到会员系统的指定位置。上传时必须得到电脑“上传成功”的确认回复。请供应商在上传时认真检查上传投标文件是否完整、正确。</w:t>
            </w:r>
          </w:p>
          <w:p w14:paraId="6AA91906">
            <w:pPr>
              <w:pStyle w:val="14"/>
              <w:spacing w:line="400" w:lineRule="exact"/>
              <w:rPr>
                <w:rFonts w:hint="default"/>
                <w:color w:val="auto"/>
                <w:highlight w:val="none"/>
              </w:rPr>
            </w:pPr>
            <w:r>
              <w:rPr>
                <w:rFonts w:hAnsi="宋体"/>
                <w:color w:val="auto"/>
                <w:highlight w:val="none"/>
              </w:rPr>
              <w:t>b、如系统故障需上传非加密文件时，供应商应按照采购人指示将非加密文件递交给采购人。</w:t>
            </w:r>
          </w:p>
        </w:tc>
      </w:tr>
      <w:tr w14:paraId="2AF5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1D5D5A9">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4.2.3</w:t>
            </w:r>
          </w:p>
        </w:tc>
        <w:tc>
          <w:tcPr>
            <w:tcW w:w="2318" w:type="dxa"/>
            <w:vAlign w:val="center"/>
          </w:tcPr>
          <w:p w14:paraId="7A57AA99">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是否退还投标文件</w:t>
            </w:r>
          </w:p>
        </w:tc>
        <w:tc>
          <w:tcPr>
            <w:tcW w:w="6112" w:type="dxa"/>
            <w:vAlign w:val="center"/>
          </w:tcPr>
          <w:p w14:paraId="0BAB4472">
            <w:pPr>
              <w:pStyle w:val="14"/>
              <w:spacing w:line="360" w:lineRule="exact"/>
              <w:rPr>
                <w:rFonts w:hint="default" w:ascii="宋体" w:hAnsi="宋体" w:eastAsia="宋体" w:cs="宋体"/>
                <w:color w:val="auto"/>
                <w:highlight w:val="none"/>
              </w:rPr>
            </w:pPr>
            <w:r>
              <w:rPr>
                <w:rFonts w:ascii="宋体" w:hAnsi="宋体" w:eastAsia="宋体" w:cs="宋体"/>
                <w:color w:val="auto"/>
                <w:highlight w:val="none"/>
              </w:rPr>
              <w:t>否</w:t>
            </w:r>
          </w:p>
        </w:tc>
      </w:tr>
      <w:tr w14:paraId="2EC5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2F0177">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5.1</w:t>
            </w:r>
          </w:p>
        </w:tc>
        <w:tc>
          <w:tcPr>
            <w:tcW w:w="2318" w:type="dxa"/>
            <w:vAlign w:val="center"/>
          </w:tcPr>
          <w:p w14:paraId="0E181456">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开标时间和地点</w:t>
            </w:r>
          </w:p>
        </w:tc>
        <w:tc>
          <w:tcPr>
            <w:tcW w:w="6112" w:type="dxa"/>
            <w:vAlign w:val="center"/>
          </w:tcPr>
          <w:p w14:paraId="665843C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开标时间：同投标截止时间。登录远程开标大厅，凭制作投标文件所用的企业 CA 密匙在线签到、解密文件等，解密时间为投标截止时后30分钟内。</w:t>
            </w:r>
          </w:p>
          <w:p w14:paraId="167D764A">
            <w:pPr>
              <w:spacing w:line="360" w:lineRule="exact"/>
              <w:ind w:left="700" w:hanging="700"/>
              <w:jc w:val="left"/>
              <w:rPr>
                <w:rFonts w:ascii="宋体" w:hAnsi="宋体" w:eastAsia="宋体" w:cs="宋体"/>
                <w:color w:val="auto"/>
                <w:highlight w:val="none"/>
              </w:rPr>
            </w:pPr>
            <w:r>
              <w:rPr>
                <w:rFonts w:hint="eastAsia" w:ascii="宋体" w:hAnsi="宋体"/>
                <w:color w:val="auto"/>
                <w:szCs w:val="21"/>
                <w:highlight w:val="none"/>
              </w:rPr>
              <w:t>现场开标地点：</w:t>
            </w:r>
            <w:r>
              <w:rPr>
                <w:rFonts w:hint="eastAsia" w:ascii="宋体" w:hAnsi="宋体" w:eastAsia="宋体" w:cs="宋体"/>
                <w:color w:val="auto"/>
                <w:highlight w:val="none"/>
                <w:lang w:val="en-US" w:eastAsia="zh-CN"/>
              </w:rPr>
              <w:t>博爱县公共资源交易中心二楼不见面开标</w:t>
            </w:r>
            <w:r>
              <w:rPr>
                <w:rFonts w:hint="eastAsia" w:cs="宋体"/>
                <w:color w:val="auto"/>
                <w:highlight w:val="none"/>
                <w:lang w:val="en-US" w:eastAsia="zh-CN"/>
              </w:rPr>
              <w:t>二</w:t>
            </w:r>
            <w:r>
              <w:rPr>
                <w:rFonts w:hint="eastAsia" w:ascii="宋体" w:hAnsi="宋体" w:eastAsia="宋体" w:cs="宋体"/>
                <w:color w:val="auto"/>
                <w:highlight w:val="none"/>
                <w:lang w:val="en-US" w:eastAsia="zh-CN"/>
              </w:rPr>
              <w:t>室</w:t>
            </w:r>
          </w:p>
        </w:tc>
      </w:tr>
      <w:tr w14:paraId="78D1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7CAF7B6B">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318" w:type="dxa"/>
            <w:vAlign w:val="center"/>
          </w:tcPr>
          <w:p w14:paraId="0233717E">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6112" w:type="dxa"/>
            <w:vAlign w:val="center"/>
          </w:tcPr>
          <w:p w14:paraId="27BDA7D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评标委员会构成：由采购人代表1人和政府采购专家库中随机抽</w:t>
            </w:r>
          </w:p>
          <w:p w14:paraId="0657DCD9">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取的评审专家4人，共5人组成。</w:t>
            </w:r>
            <w:r>
              <w:rPr>
                <w:rFonts w:hint="eastAsia" w:ascii="宋体" w:hAnsi="宋体"/>
                <w:b/>
                <w:bCs/>
                <w:color w:val="auto"/>
                <w:szCs w:val="21"/>
                <w:highlight w:val="none"/>
              </w:rPr>
              <w:t>注</w:t>
            </w:r>
            <w:r>
              <w:rPr>
                <w:rFonts w:hint="eastAsia" w:ascii="宋体" w:hAnsi="宋体"/>
                <w:color w:val="auto"/>
                <w:szCs w:val="21"/>
                <w:highlight w:val="none"/>
              </w:rPr>
              <w:t>：</w:t>
            </w:r>
            <w:r>
              <w:rPr>
                <w:rFonts w:hint="eastAsia" w:ascii="宋体" w:hAnsi="宋体"/>
                <w:b/>
                <w:bCs/>
                <w:color w:val="auto"/>
                <w:szCs w:val="21"/>
                <w:highlight w:val="none"/>
                <w:u w:val="single"/>
              </w:rPr>
              <w:t>根据《财政部令第87号》第四十五条规定，采购人代表不得担任评标委员会组长。</w:t>
            </w:r>
          </w:p>
          <w:p w14:paraId="10F6105A">
            <w:pPr>
              <w:spacing w:line="360" w:lineRule="exact"/>
              <w:jc w:val="left"/>
              <w:rPr>
                <w:rFonts w:ascii="宋体" w:hAnsi="宋体" w:eastAsia="宋体" w:cs="宋体"/>
                <w:color w:val="auto"/>
                <w:szCs w:val="21"/>
                <w:highlight w:val="none"/>
                <w:u w:val="single"/>
              </w:rPr>
            </w:pPr>
            <w:r>
              <w:rPr>
                <w:rFonts w:hint="eastAsia" w:ascii="宋体" w:hAnsi="宋体" w:eastAsia="宋体" w:cs="宋体"/>
                <w:color w:val="auto"/>
                <w:highlight w:val="none"/>
              </w:rPr>
              <w:t>评审专家确定方式：在开标前从有关政府部门设立的评标专家中随机抽取确定。</w:t>
            </w:r>
          </w:p>
        </w:tc>
      </w:tr>
      <w:tr w14:paraId="1CDE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EFF7F8C">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318" w:type="dxa"/>
            <w:vAlign w:val="center"/>
          </w:tcPr>
          <w:p w14:paraId="3BAF018F">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6112" w:type="dxa"/>
            <w:vAlign w:val="center"/>
          </w:tcPr>
          <w:p w14:paraId="4CF3664B">
            <w:pPr>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否，由评标委员会从认定的合理报价中，按得分由高到低的顺序，依次推荐3名中标候选人。</w:t>
            </w:r>
          </w:p>
          <w:p w14:paraId="438F357F">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6210CEFE">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36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C837D5E">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7.3.1</w:t>
            </w:r>
          </w:p>
        </w:tc>
        <w:tc>
          <w:tcPr>
            <w:tcW w:w="2318" w:type="dxa"/>
            <w:vAlign w:val="center"/>
          </w:tcPr>
          <w:p w14:paraId="79DB6363">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112" w:type="dxa"/>
            <w:vAlign w:val="center"/>
          </w:tcPr>
          <w:p w14:paraId="28966DC3">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BD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48C199B">
            <w:pPr>
              <w:pStyle w:val="14"/>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7.3.2</w:t>
            </w:r>
          </w:p>
        </w:tc>
        <w:tc>
          <w:tcPr>
            <w:tcW w:w="2318" w:type="dxa"/>
            <w:vAlign w:val="center"/>
          </w:tcPr>
          <w:p w14:paraId="213E9CEB">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112" w:type="dxa"/>
            <w:vAlign w:val="center"/>
          </w:tcPr>
          <w:p w14:paraId="035F145A">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4407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F1A3A47">
            <w:pPr>
              <w:pStyle w:val="14"/>
              <w:spacing w:line="360" w:lineRule="exact"/>
              <w:jc w:val="center"/>
              <w:rPr>
                <w:rFonts w:hint="default" w:ascii="宋体" w:hAnsi="宋体" w:eastAsia="宋体" w:cs="宋体"/>
                <w:color w:val="auto"/>
                <w:highlight w:val="none"/>
                <w:lang w:val="en-US" w:eastAsia="zh-CN"/>
              </w:rPr>
            </w:pPr>
            <w:r>
              <w:rPr>
                <w:rFonts w:hint="eastAsia" w:hAnsi="宋体" w:cs="宋体"/>
                <w:color w:val="auto"/>
                <w:highlight w:val="none"/>
                <w:lang w:val="en-US" w:eastAsia="zh-CN"/>
              </w:rPr>
              <w:t>7.3.3</w:t>
            </w:r>
          </w:p>
        </w:tc>
        <w:tc>
          <w:tcPr>
            <w:tcW w:w="2318" w:type="dxa"/>
            <w:vAlign w:val="center"/>
          </w:tcPr>
          <w:p w14:paraId="2E75C640">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质量保证金</w:t>
            </w:r>
          </w:p>
        </w:tc>
        <w:tc>
          <w:tcPr>
            <w:tcW w:w="6112" w:type="dxa"/>
            <w:vAlign w:val="center"/>
          </w:tcPr>
          <w:p w14:paraId="192647D2">
            <w:pPr>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w:t>
            </w:r>
          </w:p>
        </w:tc>
      </w:tr>
      <w:tr w14:paraId="0C06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2FE47BDE">
            <w:pPr>
              <w:spacing w:line="360" w:lineRule="exact"/>
              <w:jc w:val="center"/>
              <w:rPr>
                <w:rFonts w:ascii="宋体" w:hAnsi="宋体" w:eastAsia="宋体" w:cs="宋体"/>
                <w:b/>
                <w:color w:val="auto"/>
                <w:szCs w:val="21"/>
                <w:highlight w:val="none"/>
              </w:rPr>
            </w:pPr>
            <w:r>
              <w:rPr>
                <w:rFonts w:hint="eastAsia" w:ascii="宋体" w:hAnsi="宋体" w:eastAsia="宋体" w:cs="宋体"/>
                <w:bCs/>
                <w:color w:val="auto"/>
                <w:szCs w:val="21"/>
                <w:highlight w:val="none"/>
              </w:rPr>
              <w:t>10</w:t>
            </w:r>
          </w:p>
        </w:tc>
        <w:tc>
          <w:tcPr>
            <w:tcW w:w="8430" w:type="dxa"/>
            <w:gridSpan w:val="2"/>
            <w:vAlign w:val="bottom"/>
          </w:tcPr>
          <w:p w14:paraId="4146FD95">
            <w:pPr>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需要补充的其他内容</w:t>
            </w:r>
          </w:p>
        </w:tc>
      </w:tr>
      <w:tr w14:paraId="2A6D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2792E61F">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318" w:type="dxa"/>
            <w:vAlign w:val="center"/>
          </w:tcPr>
          <w:p w14:paraId="4C6480D2">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预算金额</w:t>
            </w:r>
          </w:p>
        </w:tc>
        <w:tc>
          <w:tcPr>
            <w:tcW w:w="6112" w:type="dxa"/>
            <w:vAlign w:val="bottom"/>
          </w:tcPr>
          <w:p w14:paraId="774D57CD">
            <w:pPr>
              <w:pStyle w:val="39"/>
              <w:spacing w:before="183" w:line="468" w:lineRule="exact"/>
              <w:rPr>
                <w:rFonts w:hint="default"/>
                <w:b/>
                <w:bCs/>
                <w:color w:val="auto"/>
                <w:position w:val="17"/>
                <w:sz w:val="21"/>
                <w:szCs w:val="21"/>
                <w:highlight w:val="none"/>
                <w:lang w:val="en-US"/>
              </w:rPr>
            </w:pPr>
            <w:r>
              <w:rPr>
                <w:b/>
                <w:bCs/>
                <w:color w:val="auto"/>
                <w:position w:val="17"/>
                <w:sz w:val="21"/>
                <w:szCs w:val="21"/>
                <w:highlight w:val="none"/>
                <w:shd w:val="clear" w:color="050000" w:fill="auto"/>
              </w:rPr>
              <w:t>采购预算控制</w:t>
            </w:r>
            <w:r>
              <w:rPr>
                <w:rFonts w:hint="eastAsia"/>
                <w:b/>
                <w:bCs/>
                <w:color w:val="auto"/>
                <w:position w:val="17"/>
                <w:sz w:val="21"/>
                <w:szCs w:val="21"/>
                <w:highlight w:val="none"/>
                <w:shd w:val="clear" w:color="060000" w:fill="auto"/>
                <w:lang w:val="en-US" w:eastAsia="zh-CN"/>
              </w:rPr>
              <w:t>价</w:t>
            </w:r>
            <w:r>
              <w:rPr>
                <w:rFonts w:hint="eastAsia"/>
                <w:b/>
                <w:bCs/>
                <w:color w:val="auto"/>
                <w:position w:val="17"/>
                <w:sz w:val="21"/>
                <w:szCs w:val="21"/>
                <w:highlight w:val="none"/>
                <w:shd w:val="clear" w:color="060000" w:fill="auto"/>
                <w:lang w:eastAsia="zh-CN"/>
              </w:rPr>
              <w:t>：</w:t>
            </w:r>
            <w:r>
              <w:rPr>
                <w:rFonts w:hint="eastAsia"/>
                <w:b/>
                <w:bCs/>
                <w:color w:val="auto"/>
                <w:position w:val="17"/>
                <w:sz w:val="21"/>
                <w:szCs w:val="21"/>
                <w:highlight w:val="none"/>
                <w:shd w:val="clear" w:color="060000" w:fill="auto"/>
                <w:lang w:val="en-US" w:eastAsia="zh-CN"/>
              </w:rPr>
              <w:t>3400000元</w:t>
            </w:r>
          </w:p>
          <w:p w14:paraId="0031840B">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1、供应商的投标报价高于招标控制价的视为无效报价，其投标予以拒绝；</w:t>
            </w:r>
          </w:p>
          <w:p w14:paraId="36834F15">
            <w:pPr>
              <w:spacing w:line="380" w:lineRule="exact"/>
              <w:ind w:firstLine="420" w:firstLineChars="200"/>
              <w:rPr>
                <w:rFonts w:hint="default"/>
                <w:color w:val="auto"/>
                <w:lang w:val="en-US"/>
              </w:rPr>
            </w:pPr>
            <w:r>
              <w:rPr>
                <w:rFonts w:hint="eastAsia" w:ascii="宋体" w:hAnsi="宋体" w:eastAsia="宋体" w:cs="宋体"/>
                <w:color w:val="auto"/>
                <w:szCs w:val="21"/>
                <w:highlight w:val="none"/>
                <w:lang w:eastAsia="zh-CN"/>
              </w:rPr>
              <w:t>2、当成交人的投标报价高于控制价的95%时，该成交人的成交价按控制价的95%执行</w:t>
            </w:r>
            <w:r>
              <w:rPr>
                <w:rFonts w:hint="eastAsia" w:ascii="宋体" w:hAnsi="宋体" w:cs="宋体"/>
                <w:color w:val="auto"/>
                <w:szCs w:val="21"/>
                <w:highlight w:val="none"/>
                <w:lang w:eastAsia="zh-CN"/>
              </w:rPr>
              <w:t>。</w:t>
            </w:r>
          </w:p>
        </w:tc>
      </w:tr>
      <w:tr w14:paraId="10D4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6BCD89F9">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318" w:type="dxa"/>
            <w:vAlign w:val="center"/>
          </w:tcPr>
          <w:p w14:paraId="534B50E9">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小型或微型企业（含监狱企业）</w:t>
            </w:r>
          </w:p>
        </w:tc>
        <w:tc>
          <w:tcPr>
            <w:tcW w:w="6112" w:type="dxa"/>
            <w:vAlign w:val="center"/>
          </w:tcPr>
          <w:p w14:paraId="2AB2A245">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本项目落实政府采购政策：</w:t>
            </w:r>
          </w:p>
          <w:p w14:paraId="3948E425">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1、对小型或微型企业投标的扶持：(如有）</w:t>
            </w:r>
          </w:p>
          <w:p w14:paraId="776AF984">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1.1投标供应商为小型或微型企业时，报价给予C1的价格扣除（C1的取值为20%），即：评标价＝投标报价（最后报价）×(1－C1）；</w:t>
            </w:r>
          </w:p>
          <w:p w14:paraId="3A7A7CF4">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小微企业应当提供《中小企业声明函》（见格式）。</w:t>
            </w:r>
          </w:p>
          <w:p w14:paraId="5217DDB4">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按照《政府采购促进中小企业发展管理办法》有关规定，中小企业的标准为：</w:t>
            </w:r>
          </w:p>
          <w:p w14:paraId="06C58763">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2.1提供本企业制造的货物、承担的工程或者服务，或者提供其他中小企业制造的货物，不包括提供或使用大型企业注册商标的货物；</w:t>
            </w:r>
          </w:p>
          <w:p w14:paraId="15893992">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2.2本规定所称中小企业划分标准，是指国务院有关部门根据企业从业人员、营业收入、资产总额等指标制定的中小企业划型标准（工信部联企业﹝2011﹞300号）；</w:t>
            </w:r>
          </w:p>
          <w:p w14:paraId="587AB10A">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2.3小型、微型企业提供有中型企业制造的货物的，视同为中型企业；小型、微型、中型企业提供有大型企业制造的货物的，视同为大型企业。</w:t>
            </w:r>
          </w:p>
          <w:p w14:paraId="4B47BFAE">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4B977AC2">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备注：小微企业（监狱企业、残疾人福利性单位视同小微企业）价格扣除按照20%。</w:t>
            </w:r>
          </w:p>
        </w:tc>
      </w:tr>
      <w:tr w14:paraId="0959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912316B">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2318" w:type="dxa"/>
            <w:vAlign w:val="center"/>
          </w:tcPr>
          <w:p w14:paraId="00EE1AD3">
            <w:pPr>
              <w:spacing w:line="440" w:lineRule="exact"/>
              <w:jc w:val="center"/>
              <w:rPr>
                <w:rFonts w:ascii="宋体" w:hAnsi="宋体" w:cs="宋体"/>
                <w:bCs/>
                <w:color w:val="auto"/>
                <w:highlight w:val="none"/>
              </w:rPr>
            </w:pPr>
            <w:r>
              <w:rPr>
                <w:rFonts w:hint="eastAsia" w:ascii="宋体" w:hAnsi="宋体" w:cs="宋体"/>
                <w:bCs/>
                <w:color w:val="auto"/>
                <w:highlight w:val="none"/>
              </w:rPr>
              <w:t>付款方式</w:t>
            </w:r>
          </w:p>
        </w:tc>
        <w:tc>
          <w:tcPr>
            <w:tcW w:w="6112" w:type="dxa"/>
            <w:vAlign w:val="center"/>
          </w:tcPr>
          <w:p w14:paraId="2141AEB5">
            <w:pPr>
              <w:spacing w:line="440" w:lineRule="exact"/>
              <w:rPr>
                <w:rFonts w:hint="eastAsia" w:ascii="宋体" w:hAnsi="宋体" w:eastAsia="宋体" w:cs="宋体"/>
                <w:bCs/>
                <w:color w:val="auto"/>
                <w:highlight w:val="none"/>
                <w:lang w:eastAsia="zh-CN"/>
              </w:rPr>
            </w:pPr>
            <w:r>
              <w:rPr>
                <w:rFonts w:hint="eastAsia" w:ascii="宋体" w:hAnsi="宋体" w:cs="宋体"/>
                <w:bCs/>
                <w:color w:val="auto"/>
                <w:highlight w:val="none"/>
                <w:lang w:eastAsia="zh-CN"/>
              </w:rPr>
              <w:t>自项目合同签订后支付合同价的50%作为预付款，项目验收完成后支付合同价50%。</w:t>
            </w:r>
          </w:p>
        </w:tc>
      </w:tr>
      <w:tr w14:paraId="26AD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626F4C9F">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4</w:t>
            </w:r>
          </w:p>
        </w:tc>
        <w:tc>
          <w:tcPr>
            <w:tcW w:w="2318" w:type="dxa"/>
            <w:vAlign w:val="center"/>
          </w:tcPr>
          <w:p w14:paraId="2DB82510">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招标代理服务费</w:t>
            </w:r>
          </w:p>
        </w:tc>
        <w:tc>
          <w:tcPr>
            <w:tcW w:w="6112" w:type="dxa"/>
            <w:vAlign w:val="center"/>
          </w:tcPr>
          <w:p w14:paraId="39613058">
            <w:pPr>
              <w:spacing w:line="440" w:lineRule="exact"/>
              <w:rPr>
                <w:color w:val="auto"/>
                <w:highlight w:val="none"/>
              </w:rPr>
            </w:pPr>
            <w:r>
              <w:rPr>
                <w:rFonts w:hint="eastAsia" w:ascii="宋体" w:hAnsi="宋体" w:cs="宋体"/>
                <w:bCs/>
                <w:color w:val="auto"/>
                <w:highlight w:val="none"/>
              </w:rPr>
              <w:t>参照豫招协[2023]002号《河南省招标代理服务收费指导意见》中的标准收取，由中标人支付。招标代理费由招标代理机构通知中标企业结清后，领取中标通知书。</w:t>
            </w:r>
          </w:p>
        </w:tc>
      </w:tr>
      <w:tr w14:paraId="2A6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4FAE5578">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5</w:t>
            </w:r>
          </w:p>
        </w:tc>
        <w:tc>
          <w:tcPr>
            <w:tcW w:w="2318" w:type="dxa"/>
            <w:vAlign w:val="center"/>
          </w:tcPr>
          <w:p w14:paraId="75885649">
            <w:pPr>
              <w:adjustRightInd w:val="0"/>
              <w:snapToGrid w:val="0"/>
              <w:jc w:val="center"/>
              <w:rPr>
                <w:rFonts w:ascii="宋体" w:hAnsi="宋体" w:cs="宋体"/>
                <w:bCs/>
                <w:color w:val="auto"/>
                <w:highlight w:val="none"/>
              </w:rPr>
            </w:pPr>
            <w:r>
              <w:rPr>
                <w:rFonts w:hint="eastAsia" w:ascii="宋体" w:hAnsi="宋体" w:cs="宋体"/>
                <w:bCs/>
                <w:color w:val="auto"/>
                <w:highlight w:val="none"/>
              </w:rPr>
              <w:t>认定为不响应招标文件的其它条件</w:t>
            </w:r>
          </w:p>
        </w:tc>
        <w:tc>
          <w:tcPr>
            <w:tcW w:w="6112" w:type="dxa"/>
            <w:vAlign w:val="center"/>
          </w:tcPr>
          <w:p w14:paraId="1DCDED40">
            <w:pPr>
              <w:pStyle w:val="20"/>
              <w:ind w:firstLine="0" w:firstLineChars="0"/>
              <w:rPr>
                <w:rFonts w:ascii="宋体" w:hAnsi="宋体" w:cs="宋体"/>
                <w:bCs/>
                <w:color w:val="auto"/>
                <w:highlight w:val="none"/>
              </w:rPr>
            </w:pPr>
            <w:r>
              <w:rPr>
                <w:rFonts w:hint="eastAsia" w:ascii="宋体" w:hAnsi="宋体" w:cs="宋体"/>
                <w:bCs/>
                <w:color w:val="auto"/>
                <w:highlight w:val="none"/>
              </w:rPr>
              <w:t>1、未按招标文件明示的规定签字盖章的；</w:t>
            </w:r>
          </w:p>
          <w:p w14:paraId="67E5CEAC">
            <w:pPr>
              <w:pStyle w:val="20"/>
              <w:ind w:firstLine="0" w:firstLineChars="0"/>
              <w:rPr>
                <w:rFonts w:ascii="宋体" w:hAnsi="宋体" w:cs="宋体"/>
                <w:bCs/>
                <w:color w:val="auto"/>
                <w:highlight w:val="none"/>
              </w:rPr>
            </w:pPr>
            <w:r>
              <w:rPr>
                <w:rFonts w:hint="eastAsia" w:ascii="宋体" w:hAnsi="宋体" w:cs="宋体"/>
                <w:bCs/>
                <w:color w:val="auto"/>
                <w:highlight w:val="none"/>
              </w:rPr>
              <w:t>2、投标文件的关键内容（</w:t>
            </w:r>
            <w:r>
              <w:rPr>
                <w:rFonts w:hint="eastAsia" w:cs="Times New Roman"/>
                <w:color w:val="auto"/>
                <w:highlight w:val="none"/>
              </w:rPr>
              <w:t>采购报价、</w:t>
            </w:r>
            <w:r>
              <w:rPr>
                <w:rFonts w:hint="eastAsia" w:ascii="宋体" w:hAnsi="宋体" w:cs="宋体"/>
                <w:bCs/>
                <w:color w:val="auto"/>
                <w:highlight w:val="none"/>
                <w:lang w:val="en-US" w:eastAsia="zh-CN"/>
              </w:rPr>
              <w:t>合同履行期限</w:t>
            </w:r>
            <w:r>
              <w:rPr>
                <w:rFonts w:hint="eastAsia" w:ascii="宋体" w:hAnsi="宋体" w:cs="宋体"/>
                <w:bCs/>
                <w:color w:val="auto"/>
                <w:highlight w:val="none"/>
              </w:rPr>
              <w:t>、质量</w:t>
            </w:r>
            <w:r>
              <w:rPr>
                <w:rFonts w:hint="eastAsia" w:ascii="宋体" w:hAnsi="宋体" w:cs="宋体"/>
                <w:bCs/>
                <w:color w:val="auto"/>
                <w:highlight w:val="none"/>
                <w:lang w:val="en-US" w:eastAsia="zh-CN"/>
              </w:rPr>
              <w:t>要求</w:t>
            </w:r>
            <w:r>
              <w:rPr>
                <w:rFonts w:hint="eastAsia" w:ascii="宋体" w:hAnsi="宋体" w:cs="宋体"/>
                <w:bCs/>
                <w:color w:val="auto"/>
                <w:highlight w:val="none"/>
              </w:rPr>
              <w:t>等）未填写或填写字迹模糊、达不到采购要求的；</w:t>
            </w:r>
          </w:p>
          <w:p w14:paraId="3FB6AA1E">
            <w:pPr>
              <w:pStyle w:val="20"/>
              <w:ind w:firstLine="0" w:firstLineChars="0"/>
              <w:rPr>
                <w:rFonts w:ascii="宋体" w:hAnsi="宋体" w:cs="宋体"/>
                <w:bCs/>
                <w:color w:val="auto"/>
                <w:highlight w:val="none"/>
              </w:rPr>
            </w:pPr>
            <w:r>
              <w:rPr>
                <w:rFonts w:hint="eastAsia" w:ascii="宋体" w:hAnsi="宋体" w:cs="宋体"/>
                <w:bCs/>
                <w:color w:val="auto"/>
                <w:highlight w:val="none"/>
              </w:rPr>
              <w:t>3、投标报价超出招标控制价的；</w:t>
            </w:r>
          </w:p>
          <w:p w14:paraId="5EA1388E">
            <w:pPr>
              <w:pStyle w:val="20"/>
              <w:ind w:firstLine="0" w:firstLineChars="0"/>
              <w:rPr>
                <w:rFonts w:ascii="宋体" w:hAnsi="宋体" w:cs="宋体"/>
                <w:bCs/>
                <w:color w:val="auto"/>
                <w:highlight w:val="none"/>
              </w:rPr>
            </w:pPr>
            <w:r>
              <w:rPr>
                <w:rFonts w:hint="eastAsia" w:ascii="宋体" w:hAnsi="宋体" w:cs="宋体"/>
                <w:bCs/>
                <w:color w:val="auto"/>
                <w:highlight w:val="none"/>
              </w:rPr>
              <w:t>4、供应商递交两份或多份内容不同的投标文件，或在一份投标文件中对同一招标项目有两个或多个报价，且未声明哪一个有效的；</w:t>
            </w:r>
          </w:p>
          <w:p w14:paraId="3C05E611">
            <w:pPr>
              <w:pStyle w:val="20"/>
              <w:ind w:firstLine="0" w:firstLineChars="0"/>
              <w:rPr>
                <w:rFonts w:ascii="宋体" w:hAnsi="宋体" w:cs="宋体"/>
                <w:bCs/>
                <w:color w:val="auto"/>
                <w:highlight w:val="none"/>
              </w:rPr>
            </w:pPr>
            <w:r>
              <w:rPr>
                <w:rFonts w:hint="eastAsia" w:ascii="宋体" w:hAnsi="宋体" w:cs="宋体"/>
                <w:bCs/>
                <w:color w:val="auto"/>
                <w:highlight w:val="none"/>
                <w:lang w:val="en-US" w:eastAsia="zh-CN"/>
              </w:rPr>
              <w:t>5</w:t>
            </w:r>
            <w:r>
              <w:rPr>
                <w:rFonts w:hint="eastAsia" w:ascii="宋体" w:hAnsi="宋体" w:cs="宋体"/>
                <w:bCs/>
                <w:color w:val="auto"/>
                <w:highlight w:val="none"/>
              </w:rPr>
              <w:t>、附有采购人不能接受的条件的；</w:t>
            </w:r>
          </w:p>
          <w:p w14:paraId="7BC13F91">
            <w:pPr>
              <w:pStyle w:val="20"/>
              <w:ind w:firstLine="0" w:firstLineChars="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6</w:t>
            </w:r>
            <w:r>
              <w:rPr>
                <w:rFonts w:hint="eastAsia" w:ascii="宋体" w:hAnsi="宋体" w:cs="宋体"/>
                <w:bCs/>
                <w:color w:val="auto"/>
                <w:highlight w:val="none"/>
              </w:rPr>
              <w:t>、评标过程中，如因两个或两个以上供应商在同一台计算</w:t>
            </w:r>
            <w:r>
              <w:rPr>
                <w:rFonts w:hint="eastAsia" w:ascii="宋体" w:hAnsi="宋体" w:cs="宋体"/>
                <w:bCs/>
                <w:color w:val="auto"/>
                <w:highlight w:val="none"/>
                <w:lang w:val="en-US" w:eastAsia="zh-CN"/>
              </w:rPr>
              <w:t>机</w:t>
            </w:r>
            <w:r>
              <w:rPr>
                <w:rFonts w:hint="eastAsia" w:ascii="宋体" w:hAnsi="宋体" w:cs="宋体"/>
                <w:bCs/>
                <w:color w:val="auto"/>
                <w:highlight w:val="none"/>
              </w:rPr>
              <w:t>或同一个IP上传投标文件，而被不见面开标系统提示为“投标文件制作机器码一致”的，则视其投标无效</w:t>
            </w:r>
            <w:r>
              <w:rPr>
                <w:rFonts w:hint="eastAsia" w:ascii="宋体" w:hAnsi="宋体" w:cs="宋体"/>
                <w:bCs/>
                <w:color w:val="auto"/>
                <w:highlight w:val="none"/>
                <w:lang w:eastAsia="zh-CN"/>
              </w:rPr>
              <w:t>；</w:t>
            </w:r>
          </w:p>
          <w:p w14:paraId="20E4BD19">
            <w:pPr>
              <w:pStyle w:val="20"/>
              <w:ind w:firstLine="0" w:firstLineChars="0"/>
              <w:rPr>
                <w:rFonts w:ascii="宋体" w:hAnsi="宋体" w:cs="宋体"/>
                <w:bCs/>
                <w:color w:val="auto"/>
                <w:highlight w:val="none"/>
              </w:rPr>
            </w:pPr>
            <w:r>
              <w:rPr>
                <w:rFonts w:hint="eastAsia" w:ascii="宋体" w:hAnsi="宋体" w:cs="宋体"/>
                <w:bCs/>
                <w:color w:val="auto"/>
                <w:highlight w:val="none"/>
                <w:lang w:val="en-US" w:eastAsia="zh-CN"/>
              </w:rPr>
              <w:t>7</w:t>
            </w:r>
            <w:r>
              <w:rPr>
                <w:rFonts w:hint="eastAsia" w:ascii="宋体" w:hAnsi="宋体" w:cs="宋体"/>
                <w:bCs/>
                <w:color w:val="auto"/>
                <w:highlight w:val="none"/>
              </w:rPr>
              <w:t>、投标文件有明显不符合招标文件其它要求和有关法律法规的。</w:t>
            </w:r>
          </w:p>
        </w:tc>
      </w:tr>
      <w:tr w14:paraId="706C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14:paraId="5B230838">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10.9</w:t>
            </w:r>
          </w:p>
        </w:tc>
        <w:tc>
          <w:tcPr>
            <w:tcW w:w="8430" w:type="dxa"/>
            <w:gridSpan w:val="2"/>
            <w:vAlign w:val="center"/>
          </w:tcPr>
          <w:p w14:paraId="4462A8D5">
            <w:pPr>
              <w:pStyle w:val="20"/>
              <w:tabs>
                <w:tab w:val="left" w:pos="1268"/>
              </w:tabs>
              <w:ind w:firstLine="0" w:firstLineChars="0"/>
              <w:rPr>
                <w:rFonts w:ascii="宋体" w:hAnsi="宋体" w:cs="宋体"/>
                <w:bCs/>
                <w:color w:val="auto"/>
                <w:highlight w:val="none"/>
              </w:rPr>
            </w:pPr>
            <w:r>
              <w:rPr>
                <w:rFonts w:hint="eastAsia" w:ascii="宋体" w:hAnsi="宋体" w:eastAsia="宋体" w:cs="宋体"/>
                <w:color w:val="auto"/>
                <w:szCs w:val="21"/>
                <w:highlight w:val="none"/>
              </w:rPr>
              <w:t>本招标文件解释权归采购人</w:t>
            </w:r>
          </w:p>
        </w:tc>
      </w:tr>
    </w:tbl>
    <w:p w14:paraId="1AE7DB33">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14" w:name="_Toc7029"/>
      <w:bookmarkStart w:id="15" w:name="_Toc9048"/>
      <w:bookmarkStart w:id="16" w:name="_Toc23576"/>
      <w:bookmarkStart w:id="17" w:name="_Toc403122491"/>
      <w:bookmarkStart w:id="18" w:name="_Toc426369479"/>
      <w:bookmarkStart w:id="19" w:name="_Toc23082"/>
      <w:bookmarkStart w:id="20" w:name="_Toc26894"/>
      <w:bookmarkStart w:id="21" w:name="_Toc426369491"/>
      <w:bookmarkStart w:id="22" w:name="_Toc403122503"/>
      <w:r>
        <w:rPr>
          <w:rFonts w:hint="eastAsia" w:ascii="宋体" w:hAnsi="宋体" w:eastAsia="宋体" w:cs="宋体"/>
          <w:color w:val="auto"/>
          <w:sz w:val="24"/>
          <w:szCs w:val="24"/>
          <w:highlight w:val="none"/>
        </w:rPr>
        <w:t>1. 总则</w:t>
      </w:r>
      <w:bookmarkEnd w:id="14"/>
      <w:bookmarkEnd w:id="15"/>
      <w:bookmarkEnd w:id="16"/>
      <w:bookmarkEnd w:id="17"/>
      <w:bookmarkEnd w:id="18"/>
      <w:bookmarkEnd w:id="19"/>
    </w:p>
    <w:p w14:paraId="542DC328">
      <w:pPr>
        <w:spacing w:line="500" w:lineRule="exact"/>
        <w:ind w:firstLine="482" w:firstLineChars="200"/>
        <w:rPr>
          <w:rFonts w:ascii="宋体" w:hAnsi="宋体" w:eastAsia="宋体" w:cs="宋体"/>
          <w:b/>
          <w:bCs/>
          <w:color w:val="auto"/>
          <w:sz w:val="24"/>
          <w:highlight w:val="none"/>
        </w:rPr>
      </w:pPr>
      <w:bookmarkStart w:id="23" w:name="_Toc403122492"/>
      <w:bookmarkStart w:id="24" w:name="_Toc274249575"/>
      <w:bookmarkStart w:id="25" w:name="_Toc426369480"/>
      <w:bookmarkStart w:id="26" w:name="_Toc279599771"/>
      <w:r>
        <w:rPr>
          <w:rFonts w:hint="eastAsia" w:ascii="宋体" w:hAnsi="宋体" w:eastAsia="宋体" w:cs="宋体"/>
          <w:b/>
          <w:bCs/>
          <w:color w:val="auto"/>
          <w:sz w:val="24"/>
          <w:highlight w:val="none"/>
        </w:rPr>
        <w:t>1.1 项目概况</w:t>
      </w:r>
      <w:bookmarkEnd w:id="23"/>
      <w:bookmarkEnd w:id="24"/>
      <w:bookmarkEnd w:id="25"/>
      <w:bookmarkEnd w:id="26"/>
    </w:p>
    <w:p w14:paraId="664EBAE4">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1.1.1 根据</w:t>
      </w:r>
      <w:r>
        <w:rPr>
          <w:rFonts w:hint="eastAsia" w:ascii="宋体" w:hAnsi="宋体" w:eastAsia="宋体" w:cs="宋体"/>
          <w:bCs/>
          <w:color w:val="auto"/>
          <w:szCs w:val="21"/>
          <w:highlight w:val="none"/>
        </w:rPr>
        <w:t>《中华人民共和国政府采购法》</w:t>
      </w:r>
      <w:r>
        <w:rPr>
          <w:rFonts w:hint="eastAsia" w:ascii="宋体" w:hAnsi="宋体" w:eastAsia="宋体" w:cs="宋体"/>
          <w:color w:val="auto"/>
          <w:szCs w:val="21"/>
          <w:highlight w:val="none"/>
        </w:rPr>
        <w:t xml:space="preserve">等有关法律、法规和规章的规定，本招标项目已具备招标条件，现对本招标项目进行公开招标。 </w:t>
      </w:r>
    </w:p>
    <w:p w14:paraId="34334B96">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1.1.2  本招标项目采购人：见供应商须知前附表。 </w:t>
      </w:r>
    </w:p>
    <w:p w14:paraId="77388C23">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1.1.3  本招标项目采购代理机构：见供应商须知前附表。 </w:t>
      </w:r>
    </w:p>
    <w:p w14:paraId="2623BFFE">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1.1.4  本招标项目名称：见供应商须知前附表。 </w:t>
      </w:r>
    </w:p>
    <w:p w14:paraId="5A9E63BD">
      <w:pPr>
        <w:spacing w:line="500" w:lineRule="exact"/>
        <w:ind w:firstLine="482" w:firstLineChars="200"/>
        <w:rPr>
          <w:rFonts w:ascii="宋体" w:hAnsi="宋体" w:eastAsia="宋体" w:cs="宋体"/>
          <w:b/>
          <w:bCs/>
          <w:color w:val="auto"/>
          <w:sz w:val="24"/>
          <w:highlight w:val="none"/>
        </w:rPr>
      </w:pPr>
      <w:bookmarkStart w:id="27" w:name="_Toc403122493"/>
      <w:bookmarkStart w:id="28" w:name="_Toc426369481"/>
      <w:bookmarkStart w:id="29" w:name="_Toc274249576"/>
      <w:bookmarkStart w:id="30" w:name="_Toc279599772"/>
      <w:r>
        <w:rPr>
          <w:rFonts w:hint="eastAsia" w:ascii="宋体" w:hAnsi="宋体" w:eastAsia="宋体" w:cs="宋体"/>
          <w:b/>
          <w:bCs/>
          <w:color w:val="auto"/>
          <w:sz w:val="24"/>
          <w:highlight w:val="none"/>
        </w:rPr>
        <w:t>1.2 资金来源和落实情况</w:t>
      </w:r>
      <w:bookmarkEnd w:id="27"/>
      <w:bookmarkEnd w:id="28"/>
      <w:bookmarkEnd w:id="29"/>
      <w:bookmarkEnd w:id="30"/>
    </w:p>
    <w:p w14:paraId="7FEFE3BB">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1.2.1  本招标项目的资金来源：见供应商须知前附表。 </w:t>
      </w:r>
    </w:p>
    <w:p w14:paraId="0E367CF9">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1.2.2  本招标项目的资金落实情况：见供应商须知前附表。 </w:t>
      </w:r>
    </w:p>
    <w:p w14:paraId="496BFE26">
      <w:pPr>
        <w:spacing w:line="500" w:lineRule="exact"/>
        <w:ind w:firstLine="482" w:firstLineChars="200"/>
        <w:rPr>
          <w:rFonts w:ascii="宋体" w:hAnsi="宋体" w:eastAsia="宋体" w:cs="宋体"/>
          <w:b/>
          <w:bCs/>
          <w:color w:val="auto"/>
          <w:sz w:val="24"/>
          <w:highlight w:val="none"/>
        </w:rPr>
      </w:pPr>
      <w:bookmarkStart w:id="31" w:name="_Toc403122494"/>
      <w:bookmarkStart w:id="32" w:name="_Toc279599773"/>
      <w:bookmarkStart w:id="33" w:name="_Toc426369482"/>
      <w:bookmarkStart w:id="34" w:name="_Toc274249577"/>
      <w:r>
        <w:rPr>
          <w:rFonts w:hint="eastAsia" w:ascii="宋体" w:hAnsi="宋体" w:eastAsia="宋体" w:cs="宋体"/>
          <w:b/>
          <w:bCs/>
          <w:color w:val="auto"/>
          <w:sz w:val="24"/>
          <w:highlight w:val="none"/>
        </w:rPr>
        <w:t>1.3 采购内容、</w:t>
      </w:r>
      <w:r>
        <w:rPr>
          <w:rFonts w:hint="eastAsia" w:ascii="宋体" w:hAnsi="宋体" w:eastAsia="宋体" w:cs="宋体"/>
          <w:b/>
          <w:bCs/>
          <w:color w:val="auto"/>
          <w:sz w:val="24"/>
          <w:highlight w:val="none"/>
          <w:lang w:val="en-US" w:eastAsia="zh-CN"/>
        </w:rPr>
        <w:t>服务周</w:t>
      </w:r>
      <w:r>
        <w:rPr>
          <w:rFonts w:hint="eastAsia" w:ascii="宋体" w:hAnsi="宋体" w:eastAsia="宋体" w:cs="宋体"/>
          <w:b/>
          <w:bCs/>
          <w:color w:val="auto"/>
          <w:sz w:val="24"/>
          <w:highlight w:val="none"/>
        </w:rPr>
        <w:t>期和质量</w:t>
      </w:r>
      <w:bookmarkEnd w:id="31"/>
      <w:bookmarkEnd w:id="32"/>
      <w:bookmarkEnd w:id="33"/>
      <w:bookmarkEnd w:id="34"/>
      <w:r>
        <w:rPr>
          <w:rFonts w:hint="eastAsia" w:ascii="宋体" w:hAnsi="宋体" w:eastAsia="宋体" w:cs="宋体"/>
          <w:b/>
          <w:bCs/>
          <w:color w:val="auto"/>
          <w:sz w:val="24"/>
          <w:highlight w:val="none"/>
        </w:rPr>
        <w:t>标准</w:t>
      </w:r>
    </w:p>
    <w:p w14:paraId="6A6A2BD5">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1.3.1  本次招标采购内容：见供应商须知前附表。 </w:t>
      </w:r>
    </w:p>
    <w:p w14:paraId="421ADD23">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1.3.2  本次招标的项目</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 xml:space="preserve">：见供应商须知前附表。 </w:t>
      </w:r>
    </w:p>
    <w:p w14:paraId="4F371531">
      <w:pPr>
        <w:tabs>
          <w:tab w:val="right" w:pos="904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1.3.3  本次招标的质量标准：见供应商须知前附表。 </w:t>
      </w:r>
      <w:r>
        <w:rPr>
          <w:rFonts w:hint="eastAsia" w:ascii="宋体" w:hAnsi="宋体" w:eastAsia="宋体" w:cs="宋体"/>
          <w:color w:val="auto"/>
          <w:szCs w:val="21"/>
          <w:highlight w:val="none"/>
        </w:rPr>
        <w:tab/>
      </w:r>
    </w:p>
    <w:p w14:paraId="0251E3B1">
      <w:pPr>
        <w:spacing w:line="500" w:lineRule="exact"/>
        <w:ind w:firstLine="482" w:firstLineChars="200"/>
        <w:rPr>
          <w:rFonts w:ascii="宋体" w:hAnsi="宋体" w:eastAsia="宋体" w:cs="宋体"/>
          <w:b/>
          <w:bCs/>
          <w:color w:val="auto"/>
          <w:sz w:val="24"/>
          <w:highlight w:val="none"/>
        </w:rPr>
      </w:pPr>
      <w:bookmarkStart w:id="35" w:name="_Toc403122495"/>
      <w:bookmarkStart w:id="36" w:name="_Toc279599774"/>
      <w:bookmarkStart w:id="37" w:name="_Toc274249578"/>
      <w:bookmarkStart w:id="38" w:name="_Toc426369483"/>
      <w:r>
        <w:rPr>
          <w:rFonts w:hint="eastAsia" w:ascii="宋体" w:hAnsi="宋体" w:eastAsia="宋体" w:cs="宋体"/>
          <w:b/>
          <w:bCs/>
          <w:color w:val="auto"/>
          <w:sz w:val="24"/>
          <w:highlight w:val="none"/>
        </w:rPr>
        <w:t>1.4 供应商资格要求</w:t>
      </w:r>
      <w:bookmarkEnd w:id="35"/>
      <w:bookmarkEnd w:id="36"/>
      <w:bookmarkEnd w:id="37"/>
      <w:bookmarkEnd w:id="38"/>
    </w:p>
    <w:p w14:paraId="41798CA9">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1.4.1 供应商应具备承担本招标项目的资质条件。 </w:t>
      </w:r>
    </w:p>
    <w:p w14:paraId="198880FD">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（1）供应商资质条件：见供应商须知前附表； </w:t>
      </w:r>
    </w:p>
    <w:p w14:paraId="48DB0DCD">
      <w:pPr>
        <w:spacing w:line="440" w:lineRule="exact"/>
        <w:ind w:firstLine="420" w:firstLineChars="200"/>
        <w:rPr>
          <w:rFonts w:ascii="宋体" w:hAnsi="宋体" w:eastAsia="宋体" w:cs="宋体"/>
          <w:color w:val="auto"/>
          <w:szCs w:val="21"/>
          <w:highlight w:val="none"/>
        </w:rPr>
      </w:pPr>
      <w:bookmarkStart w:id="39" w:name="_Toc274249579"/>
      <w:bookmarkStart w:id="40" w:name="_Toc403122496"/>
      <w:bookmarkStart w:id="41" w:name="_Toc279599775"/>
      <w:r>
        <w:rPr>
          <w:rFonts w:hint="eastAsia" w:ascii="宋体" w:hAnsi="宋体" w:eastAsia="宋体" w:cs="宋体"/>
          <w:color w:val="auto"/>
          <w:szCs w:val="21"/>
          <w:highlight w:val="none"/>
        </w:rPr>
        <w:t>1.4.2 本次招标不接受联合体投标。</w:t>
      </w:r>
    </w:p>
    <w:p w14:paraId="79EC415A">
      <w:pPr>
        <w:spacing w:line="500" w:lineRule="exact"/>
        <w:ind w:firstLine="482" w:firstLineChars="200"/>
        <w:rPr>
          <w:rFonts w:ascii="宋体" w:hAnsi="宋体" w:eastAsia="宋体" w:cs="宋体"/>
          <w:b/>
          <w:bCs/>
          <w:color w:val="auto"/>
          <w:sz w:val="24"/>
          <w:highlight w:val="none"/>
        </w:rPr>
      </w:pPr>
      <w:bookmarkStart w:id="42" w:name="_Toc426369484"/>
      <w:r>
        <w:rPr>
          <w:rFonts w:hint="eastAsia" w:ascii="宋体" w:hAnsi="宋体" w:eastAsia="宋体" w:cs="宋体"/>
          <w:b/>
          <w:bCs/>
          <w:color w:val="auto"/>
          <w:sz w:val="24"/>
          <w:highlight w:val="none"/>
        </w:rPr>
        <w:t>1.5 费用承担</w:t>
      </w:r>
      <w:bookmarkEnd w:id="39"/>
      <w:bookmarkEnd w:id="40"/>
      <w:bookmarkEnd w:id="41"/>
      <w:bookmarkEnd w:id="42"/>
    </w:p>
    <w:p w14:paraId="1A72ADB6">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供应商准备和参加投标活动发生的费用自理。 </w:t>
      </w:r>
    </w:p>
    <w:p w14:paraId="33BF4F3C">
      <w:pPr>
        <w:spacing w:line="500" w:lineRule="exact"/>
        <w:ind w:firstLine="482" w:firstLineChars="200"/>
        <w:rPr>
          <w:rFonts w:ascii="宋体" w:hAnsi="宋体" w:eastAsia="宋体" w:cs="宋体"/>
          <w:b/>
          <w:bCs/>
          <w:color w:val="auto"/>
          <w:sz w:val="24"/>
          <w:highlight w:val="none"/>
        </w:rPr>
      </w:pPr>
      <w:bookmarkStart w:id="43" w:name="_Toc426369485"/>
      <w:bookmarkStart w:id="44" w:name="_Toc403122497"/>
      <w:r>
        <w:rPr>
          <w:rFonts w:hint="eastAsia" w:ascii="宋体" w:hAnsi="宋体" w:eastAsia="宋体" w:cs="宋体"/>
          <w:b/>
          <w:bCs/>
          <w:color w:val="auto"/>
          <w:sz w:val="24"/>
          <w:highlight w:val="none"/>
        </w:rPr>
        <w:t>1.6 保密</w:t>
      </w:r>
      <w:bookmarkEnd w:id="43"/>
      <w:bookmarkEnd w:id="44"/>
    </w:p>
    <w:p w14:paraId="7BDF562E">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参与招标投标活动的各方应对招标文件和投标文件中的商业和技术等秘密保密，违者应对由此造成的后果承担法律责任。</w:t>
      </w:r>
    </w:p>
    <w:p w14:paraId="79572588">
      <w:pPr>
        <w:spacing w:line="500" w:lineRule="exact"/>
        <w:ind w:firstLine="482" w:firstLineChars="200"/>
        <w:rPr>
          <w:rFonts w:ascii="宋体" w:hAnsi="宋体" w:eastAsia="宋体" w:cs="宋体"/>
          <w:b/>
          <w:bCs/>
          <w:color w:val="auto"/>
          <w:sz w:val="24"/>
          <w:highlight w:val="none"/>
        </w:rPr>
      </w:pPr>
      <w:bookmarkStart w:id="45" w:name="_Toc403122498"/>
      <w:bookmarkStart w:id="46" w:name="_Toc279599777"/>
      <w:bookmarkStart w:id="47" w:name="_Toc274249581"/>
      <w:bookmarkStart w:id="48" w:name="_Toc426369486"/>
      <w:r>
        <w:rPr>
          <w:rFonts w:hint="eastAsia" w:ascii="宋体" w:hAnsi="宋体" w:eastAsia="宋体" w:cs="宋体"/>
          <w:b/>
          <w:bCs/>
          <w:color w:val="auto"/>
          <w:sz w:val="24"/>
          <w:highlight w:val="none"/>
        </w:rPr>
        <w:t>1.7 语言文字</w:t>
      </w:r>
      <w:bookmarkEnd w:id="45"/>
      <w:bookmarkEnd w:id="46"/>
      <w:bookmarkEnd w:id="47"/>
      <w:bookmarkEnd w:id="48"/>
      <w:r>
        <w:rPr>
          <w:rFonts w:hint="eastAsia" w:ascii="宋体" w:hAnsi="宋体" w:eastAsia="宋体" w:cs="宋体"/>
          <w:b/>
          <w:bCs/>
          <w:color w:val="auto"/>
          <w:sz w:val="24"/>
          <w:highlight w:val="none"/>
        </w:rPr>
        <w:t xml:space="preserve"> </w:t>
      </w:r>
    </w:p>
    <w:p w14:paraId="468D7320">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1.7.1 采购文件以及供应商与采购人、采购代理机构就有关投标事宜的所有来往函电均应使用简体中文书写。</w:t>
      </w:r>
    </w:p>
    <w:p w14:paraId="14A8138F">
      <w:pPr>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1.7.2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bookmarkStart w:id="49" w:name="_Toc426369487"/>
      <w:bookmarkStart w:id="50" w:name="_Toc403122499"/>
      <w:r>
        <w:rPr>
          <w:rFonts w:hint="eastAsia" w:ascii="宋体" w:hAnsi="宋体" w:cs="宋体"/>
          <w:color w:val="auto"/>
          <w:szCs w:val="21"/>
          <w:highlight w:val="none"/>
          <w:lang w:eastAsia="zh-CN"/>
        </w:rPr>
        <w:t>。</w:t>
      </w:r>
    </w:p>
    <w:p w14:paraId="609C8F99">
      <w:pPr>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1.8 计量单位</w:t>
      </w:r>
      <w:bookmarkEnd w:id="49"/>
      <w:bookmarkEnd w:id="50"/>
    </w:p>
    <w:p w14:paraId="6F489DE5">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1.8.1关于投标计量单位，采购文件已有明确规定的，使用采购文件规定的计量单位；采购文件没有规定的，应采用中华人民共和国法定计量单位。 </w:t>
      </w:r>
    </w:p>
    <w:p w14:paraId="477332E7">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1.8.2本响应性文件所表述的时间均为北京时间。</w:t>
      </w:r>
    </w:p>
    <w:p w14:paraId="3BF99F43">
      <w:pPr>
        <w:spacing w:line="500" w:lineRule="exact"/>
        <w:ind w:firstLine="482" w:firstLineChars="200"/>
        <w:rPr>
          <w:rFonts w:ascii="宋体" w:hAnsi="宋体" w:eastAsia="宋体" w:cs="宋体"/>
          <w:b/>
          <w:bCs/>
          <w:color w:val="auto"/>
          <w:sz w:val="24"/>
          <w:highlight w:val="none"/>
        </w:rPr>
      </w:pPr>
      <w:bookmarkStart w:id="51" w:name="_Toc279599779"/>
      <w:bookmarkStart w:id="52" w:name="_Toc426369488"/>
      <w:bookmarkStart w:id="53" w:name="_Toc274249583"/>
      <w:bookmarkStart w:id="54" w:name="_Toc403122500"/>
      <w:r>
        <w:rPr>
          <w:rFonts w:hint="eastAsia" w:ascii="宋体" w:hAnsi="宋体" w:eastAsia="宋体" w:cs="宋体"/>
          <w:b/>
          <w:bCs/>
          <w:color w:val="auto"/>
          <w:sz w:val="24"/>
          <w:highlight w:val="none"/>
        </w:rPr>
        <w:t>1.9 踏勘现场</w:t>
      </w:r>
      <w:bookmarkEnd w:id="51"/>
      <w:bookmarkEnd w:id="52"/>
      <w:bookmarkEnd w:id="53"/>
      <w:bookmarkEnd w:id="54"/>
    </w:p>
    <w:p w14:paraId="2A447659">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1.9.1  由于项目特殊性，本次招标需供应商自行勘查。 </w:t>
      </w:r>
    </w:p>
    <w:p w14:paraId="6847212F">
      <w:pPr>
        <w:spacing w:line="500" w:lineRule="exact"/>
        <w:ind w:firstLine="482" w:firstLineChars="200"/>
        <w:rPr>
          <w:rFonts w:ascii="宋体" w:hAnsi="宋体" w:eastAsia="宋体" w:cs="宋体"/>
          <w:b/>
          <w:bCs/>
          <w:color w:val="auto"/>
          <w:sz w:val="24"/>
          <w:highlight w:val="none"/>
        </w:rPr>
      </w:pPr>
      <w:bookmarkStart w:id="55" w:name="_Toc274249584"/>
      <w:bookmarkStart w:id="56" w:name="_Toc426369489"/>
      <w:bookmarkStart w:id="57" w:name="_Toc403122501"/>
      <w:bookmarkStart w:id="58" w:name="_Toc279599780"/>
      <w:r>
        <w:rPr>
          <w:rFonts w:hint="eastAsia" w:ascii="宋体" w:hAnsi="宋体" w:eastAsia="宋体" w:cs="宋体"/>
          <w:b/>
          <w:bCs/>
          <w:color w:val="auto"/>
          <w:sz w:val="24"/>
          <w:highlight w:val="none"/>
        </w:rPr>
        <w:t>1.10 投标预备会</w:t>
      </w:r>
      <w:bookmarkEnd w:id="55"/>
      <w:bookmarkEnd w:id="56"/>
      <w:bookmarkEnd w:id="57"/>
      <w:bookmarkEnd w:id="58"/>
    </w:p>
    <w:p w14:paraId="0366E711">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1.10.1 本次招标不召开投标预备会。 </w:t>
      </w:r>
    </w:p>
    <w:p w14:paraId="79A19BDD">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1.10.2 供应商应在供应商须知前附表规定的时间前，以书面形式将提出的问题送达招标代理人。 </w:t>
      </w:r>
    </w:p>
    <w:p w14:paraId="1825E917">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1.10.3 采购人在供应商须知前附表规定的时间内，将对供应商所提问题的澄清，以书面方式通知所有已领取招标文件的供应商。该澄清内容为招标文件的组成部分。 </w:t>
      </w:r>
    </w:p>
    <w:p w14:paraId="0FF811BD">
      <w:pPr>
        <w:spacing w:line="500" w:lineRule="exact"/>
        <w:ind w:firstLine="482" w:firstLineChars="200"/>
        <w:rPr>
          <w:rFonts w:ascii="宋体" w:hAnsi="宋体" w:eastAsia="宋体" w:cs="宋体"/>
          <w:b/>
          <w:bCs/>
          <w:color w:val="auto"/>
          <w:sz w:val="24"/>
          <w:highlight w:val="none"/>
        </w:rPr>
      </w:pPr>
      <w:bookmarkStart w:id="59" w:name="_Toc274249585"/>
      <w:bookmarkStart w:id="60" w:name="_Toc403122502"/>
      <w:bookmarkStart w:id="61" w:name="_Toc279599781"/>
      <w:bookmarkStart w:id="62" w:name="_Toc426369490"/>
      <w:r>
        <w:rPr>
          <w:rFonts w:hint="eastAsia" w:ascii="宋体" w:hAnsi="宋体" w:eastAsia="宋体" w:cs="宋体"/>
          <w:b/>
          <w:bCs/>
          <w:color w:val="auto"/>
          <w:sz w:val="24"/>
          <w:highlight w:val="none"/>
        </w:rPr>
        <w:t>1.11 分包</w:t>
      </w:r>
      <w:bookmarkEnd w:id="59"/>
      <w:bookmarkEnd w:id="60"/>
      <w:bookmarkEnd w:id="61"/>
      <w:bookmarkEnd w:id="62"/>
    </w:p>
    <w:p w14:paraId="0E358057">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本次招标项目不允许分包。 </w:t>
      </w:r>
    </w:p>
    <w:p w14:paraId="49E52214">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63" w:name="_Toc28663"/>
      <w:bookmarkStart w:id="64" w:name="_Toc9121"/>
      <w:bookmarkStart w:id="65" w:name="_Toc20888"/>
      <w:r>
        <w:rPr>
          <w:rFonts w:hint="eastAsia" w:ascii="宋体" w:hAnsi="宋体" w:eastAsia="宋体" w:cs="宋体"/>
          <w:color w:val="auto"/>
          <w:sz w:val="24"/>
          <w:szCs w:val="24"/>
          <w:highlight w:val="none"/>
        </w:rPr>
        <w:t>2. 招标文件</w:t>
      </w:r>
      <w:bookmarkEnd w:id="20"/>
      <w:bookmarkEnd w:id="21"/>
      <w:bookmarkEnd w:id="22"/>
      <w:bookmarkEnd w:id="63"/>
      <w:bookmarkEnd w:id="64"/>
      <w:bookmarkEnd w:id="65"/>
    </w:p>
    <w:p w14:paraId="3E562668">
      <w:pPr>
        <w:spacing w:line="500" w:lineRule="exact"/>
        <w:ind w:firstLine="482" w:firstLineChars="200"/>
        <w:rPr>
          <w:rFonts w:ascii="宋体" w:hAnsi="宋体" w:eastAsia="宋体" w:cs="宋体"/>
          <w:b/>
          <w:bCs/>
          <w:color w:val="auto"/>
          <w:sz w:val="24"/>
          <w:highlight w:val="none"/>
        </w:rPr>
      </w:pPr>
      <w:bookmarkStart w:id="66" w:name="_Toc426369492"/>
      <w:bookmarkStart w:id="67" w:name="_Toc279599783"/>
      <w:bookmarkStart w:id="68" w:name="_Toc403122504"/>
      <w:bookmarkStart w:id="69" w:name="_Toc274249587"/>
      <w:r>
        <w:rPr>
          <w:rFonts w:hint="eastAsia" w:ascii="宋体" w:hAnsi="宋体" w:eastAsia="宋体" w:cs="宋体"/>
          <w:b/>
          <w:bCs/>
          <w:color w:val="auto"/>
          <w:sz w:val="24"/>
          <w:highlight w:val="none"/>
        </w:rPr>
        <w:t>2.1 招标文件的组成</w:t>
      </w:r>
      <w:bookmarkEnd w:id="66"/>
      <w:bookmarkEnd w:id="67"/>
      <w:bookmarkEnd w:id="68"/>
      <w:bookmarkEnd w:id="69"/>
    </w:p>
    <w:p w14:paraId="00AC546A">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本招标文件包括： </w:t>
      </w:r>
    </w:p>
    <w:p w14:paraId="56ADAB38">
      <w:pPr>
        <w:numPr>
          <w:ilvl w:val="0"/>
          <w:numId w:val="4"/>
        </w:numPr>
        <w:tabs>
          <w:tab w:val="left" w:pos="525"/>
          <w:tab w:val="left" w:pos="63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招标公告；</w:t>
      </w:r>
    </w:p>
    <w:p w14:paraId="6C162323">
      <w:pPr>
        <w:numPr>
          <w:ilvl w:val="0"/>
          <w:numId w:val="4"/>
        </w:numPr>
        <w:tabs>
          <w:tab w:val="left" w:pos="525"/>
          <w:tab w:val="left" w:pos="63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供应商须知； </w:t>
      </w:r>
    </w:p>
    <w:p w14:paraId="0E304E90">
      <w:pPr>
        <w:numPr>
          <w:ilvl w:val="0"/>
          <w:numId w:val="4"/>
        </w:numPr>
        <w:tabs>
          <w:tab w:val="left" w:pos="525"/>
          <w:tab w:val="left" w:pos="63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评标办法（综合评分法）； </w:t>
      </w:r>
    </w:p>
    <w:p w14:paraId="7B614E1B">
      <w:pPr>
        <w:numPr>
          <w:ilvl w:val="0"/>
          <w:numId w:val="4"/>
        </w:numPr>
        <w:tabs>
          <w:tab w:val="left" w:pos="525"/>
          <w:tab w:val="left" w:pos="63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合同条款及格式； </w:t>
      </w:r>
    </w:p>
    <w:p w14:paraId="18E0E835">
      <w:pPr>
        <w:numPr>
          <w:ilvl w:val="0"/>
          <w:numId w:val="4"/>
        </w:numPr>
        <w:tabs>
          <w:tab w:val="left" w:pos="525"/>
          <w:tab w:val="left" w:pos="63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采购需求及参数； </w:t>
      </w:r>
    </w:p>
    <w:p w14:paraId="132BC3CA">
      <w:pPr>
        <w:numPr>
          <w:ilvl w:val="0"/>
          <w:numId w:val="4"/>
        </w:numPr>
        <w:tabs>
          <w:tab w:val="left" w:pos="525"/>
          <w:tab w:val="left" w:pos="630"/>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投标文件格式； </w:t>
      </w:r>
    </w:p>
    <w:p w14:paraId="279D1841">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根据本章第 1.10 款、第 2.2 款和第2.3款对招标文件所作的澄清、修改，构成招标文件的组成部分。 </w:t>
      </w:r>
    </w:p>
    <w:p w14:paraId="5B063A35">
      <w:pPr>
        <w:spacing w:line="500" w:lineRule="exact"/>
        <w:ind w:firstLine="482" w:firstLineChars="200"/>
        <w:rPr>
          <w:rFonts w:ascii="宋体" w:hAnsi="宋体" w:eastAsia="宋体" w:cs="宋体"/>
          <w:b/>
          <w:bCs/>
          <w:color w:val="auto"/>
          <w:sz w:val="24"/>
          <w:highlight w:val="none"/>
        </w:rPr>
      </w:pPr>
      <w:bookmarkStart w:id="70" w:name="_Toc279599784"/>
      <w:bookmarkStart w:id="71" w:name="_Toc426369493"/>
      <w:bookmarkStart w:id="72" w:name="_Toc403122505"/>
      <w:bookmarkStart w:id="73" w:name="_Toc274249588"/>
      <w:r>
        <w:rPr>
          <w:rFonts w:hint="eastAsia" w:ascii="宋体" w:hAnsi="宋体" w:eastAsia="宋体" w:cs="宋体"/>
          <w:b/>
          <w:bCs/>
          <w:color w:val="auto"/>
          <w:sz w:val="24"/>
          <w:highlight w:val="none"/>
        </w:rPr>
        <w:t>2.2 招标文件的澄清</w:t>
      </w:r>
      <w:bookmarkEnd w:id="70"/>
      <w:bookmarkEnd w:id="71"/>
      <w:bookmarkEnd w:id="72"/>
      <w:bookmarkEnd w:id="73"/>
    </w:p>
    <w:p w14:paraId="1BD1AD88">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14:paraId="58257BA5">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14:paraId="4409A52B">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2.2.3 供应商在收到澄清后，应在供应商须知前附表规定的时间内以书面形式通知采购人，确认已收到该澄清。 </w:t>
      </w:r>
    </w:p>
    <w:p w14:paraId="6F70CDFD">
      <w:pPr>
        <w:spacing w:line="500" w:lineRule="exact"/>
        <w:ind w:firstLine="482" w:firstLineChars="200"/>
        <w:rPr>
          <w:rFonts w:ascii="宋体" w:hAnsi="宋体" w:eastAsia="宋体" w:cs="宋体"/>
          <w:b/>
          <w:bCs/>
          <w:color w:val="auto"/>
          <w:sz w:val="24"/>
          <w:highlight w:val="none"/>
        </w:rPr>
      </w:pPr>
      <w:bookmarkStart w:id="74" w:name="_Toc274249589"/>
      <w:bookmarkStart w:id="75" w:name="_Toc279599785"/>
      <w:bookmarkStart w:id="76" w:name="_Toc403122506"/>
      <w:bookmarkStart w:id="77" w:name="_Toc426369494"/>
      <w:r>
        <w:rPr>
          <w:rFonts w:hint="eastAsia" w:ascii="宋体" w:hAnsi="宋体" w:eastAsia="宋体" w:cs="宋体"/>
          <w:b/>
          <w:bCs/>
          <w:color w:val="auto"/>
          <w:sz w:val="24"/>
          <w:highlight w:val="none"/>
        </w:rPr>
        <w:t>2.3 招标文件的修改</w:t>
      </w:r>
      <w:bookmarkEnd w:id="74"/>
      <w:bookmarkEnd w:id="75"/>
      <w:bookmarkEnd w:id="76"/>
      <w:bookmarkEnd w:id="77"/>
    </w:p>
    <w:p w14:paraId="59212163">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2.3.1  在投标截止时间 15天前，采购人可以书面形式修改招标文件，并通知所有已购买招标文件的供应商。如果修改招标文件的时间距投标截止时间不足 15 天，相应延长投标截止时间。  </w:t>
      </w:r>
    </w:p>
    <w:p w14:paraId="41FE1CF4">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2.3.2  供应商收到修改内容后，应在供应商须知前附表规定的时间内以书面形式通知采购人，确认已收到该修改。 </w:t>
      </w:r>
      <w:bookmarkStart w:id="78" w:name="_Toc23265"/>
      <w:bookmarkStart w:id="79" w:name="_Toc403122507"/>
      <w:bookmarkStart w:id="80" w:name="_Toc426369495"/>
    </w:p>
    <w:p w14:paraId="30776606">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81" w:name="_Toc13865"/>
      <w:bookmarkStart w:id="82" w:name="_Toc22914"/>
      <w:bookmarkStart w:id="83" w:name="_Toc15031"/>
      <w:r>
        <w:rPr>
          <w:rFonts w:hint="eastAsia" w:ascii="宋体" w:hAnsi="宋体" w:eastAsia="宋体" w:cs="宋体"/>
          <w:color w:val="auto"/>
          <w:sz w:val="24"/>
          <w:szCs w:val="24"/>
          <w:highlight w:val="none"/>
        </w:rPr>
        <w:t>3. 投标文件</w:t>
      </w:r>
      <w:bookmarkEnd w:id="78"/>
      <w:bookmarkEnd w:id="79"/>
      <w:bookmarkEnd w:id="80"/>
      <w:bookmarkEnd w:id="81"/>
      <w:bookmarkEnd w:id="82"/>
      <w:bookmarkEnd w:id="83"/>
    </w:p>
    <w:p w14:paraId="09190750">
      <w:pPr>
        <w:spacing w:line="500" w:lineRule="exact"/>
        <w:ind w:firstLine="482" w:firstLineChars="200"/>
        <w:rPr>
          <w:rFonts w:ascii="宋体" w:hAnsi="宋体" w:eastAsia="宋体" w:cs="宋体"/>
          <w:b/>
          <w:bCs/>
          <w:color w:val="auto"/>
          <w:sz w:val="24"/>
          <w:highlight w:val="none"/>
        </w:rPr>
      </w:pPr>
      <w:bookmarkStart w:id="84" w:name="_Toc403122508"/>
      <w:bookmarkStart w:id="85" w:name="_Toc274249591"/>
      <w:bookmarkStart w:id="86" w:name="_Toc279599787"/>
      <w:bookmarkStart w:id="87" w:name="_Toc426369496"/>
      <w:r>
        <w:rPr>
          <w:rFonts w:hint="eastAsia" w:ascii="宋体" w:hAnsi="宋体" w:eastAsia="宋体" w:cs="宋体"/>
          <w:b/>
          <w:bCs/>
          <w:color w:val="auto"/>
          <w:sz w:val="24"/>
          <w:highlight w:val="none"/>
        </w:rPr>
        <w:t>3.1 投标文件的组成</w:t>
      </w:r>
      <w:bookmarkEnd w:id="84"/>
      <w:bookmarkEnd w:id="85"/>
      <w:bookmarkEnd w:id="86"/>
      <w:bookmarkEnd w:id="87"/>
    </w:p>
    <w:p w14:paraId="4B4E7A11">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3.1.1 投标文件应包括下列内容： </w:t>
      </w:r>
    </w:p>
    <w:p w14:paraId="1255CDAB">
      <w:pPr>
        <w:spacing w:line="440" w:lineRule="exact"/>
        <w:ind w:firstLine="420" w:firstLineChars="200"/>
        <w:rPr>
          <w:rFonts w:ascii="宋体" w:hAnsi="宋体" w:cs="宋体"/>
          <w:color w:val="auto"/>
          <w:szCs w:val="21"/>
          <w:highlight w:val="none"/>
        </w:rPr>
      </w:pPr>
      <w:bookmarkStart w:id="88" w:name="_Toc274249592"/>
      <w:bookmarkStart w:id="89" w:name="_Toc403122509"/>
      <w:bookmarkStart w:id="90" w:name="_Toc426369497"/>
      <w:bookmarkStart w:id="91" w:name="_Toc279599788"/>
      <w:r>
        <w:rPr>
          <w:rFonts w:hint="eastAsia" w:ascii="宋体" w:hAnsi="宋体" w:cs="宋体"/>
          <w:color w:val="auto"/>
          <w:szCs w:val="21"/>
          <w:highlight w:val="none"/>
        </w:rPr>
        <w:t>一、投标函及开标一览表</w:t>
      </w:r>
    </w:p>
    <w:p w14:paraId="6F68A61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（一）投标函</w:t>
      </w:r>
    </w:p>
    <w:p w14:paraId="7E0BCAE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（二）开标一览表</w:t>
      </w:r>
    </w:p>
    <w:p w14:paraId="25E04CF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14:paraId="34BC876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14:paraId="67E072E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方案等</w:t>
      </w:r>
    </w:p>
    <w:p w14:paraId="1D08ED7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五、政府采购供应商的资格证明承诺函</w:t>
      </w:r>
    </w:p>
    <w:p w14:paraId="09D6C8F7">
      <w:pPr>
        <w:pStyle w:val="19"/>
        <w:spacing w:line="440" w:lineRule="exact"/>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六、供应商服务承诺和优惠承诺</w:t>
      </w:r>
    </w:p>
    <w:p w14:paraId="2C3E7A7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、中小企业声明函（如有）</w:t>
      </w:r>
    </w:p>
    <w:p w14:paraId="0C05F08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、残疾人福利性单位声明函（如有）</w:t>
      </w:r>
    </w:p>
    <w:p w14:paraId="4F7E62F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、招标文件要求的或供应商认为需要加以说明的其他内容。</w:t>
      </w:r>
    </w:p>
    <w:p w14:paraId="1AE43237">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注：1、符合《政府采购法》第二十二条规定的资格条件，按照采购文件约定提供资格承诺，不再提供资质资料，主要包括供应商在投标文件中无需再提供营业执照</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资格证明、财务状况报告、依法缴纳税收和社会保障资金、具有履行合同所必须的设备和专业技术能力、参加政府采购活动前三年内在经营活动中没有重大违法记录相关证明材料。</w:t>
      </w:r>
    </w:p>
    <w:p w14:paraId="39CF0B38">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6BC256C">
      <w:pPr>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 投标报价</w:t>
      </w:r>
      <w:bookmarkEnd w:id="88"/>
      <w:bookmarkEnd w:id="89"/>
      <w:bookmarkEnd w:id="90"/>
      <w:bookmarkEnd w:id="91"/>
    </w:p>
    <w:p w14:paraId="23178682">
      <w:pPr>
        <w:spacing w:line="360" w:lineRule="auto"/>
        <w:ind w:firstLine="420" w:firstLineChars="200"/>
        <w:rPr>
          <w:rFonts w:hint="eastAsia" w:ascii="宋体" w:hAnsi="宋体" w:cs="宋体"/>
          <w:color w:val="auto"/>
          <w:szCs w:val="21"/>
          <w:highlight w:val="none"/>
        </w:rPr>
      </w:pPr>
      <w:bookmarkStart w:id="92" w:name="_Toc279599789"/>
      <w:bookmarkStart w:id="93" w:name="_Toc426369498"/>
      <w:bookmarkStart w:id="94" w:name="_Toc274249593"/>
      <w:bookmarkStart w:id="95" w:name="_Toc403122510"/>
      <w:r>
        <w:rPr>
          <w:rFonts w:hint="eastAsia" w:ascii="宋体" w:hAnsi="宋体" w:cs="宋体"/>
          <w:color w:val="auto"/>
          <w:szCs w:val="21"/>
          <w:highlight w:val="none"/>
        </w:rPr>
        <w:t>3.2.1投标报价包括：投标人的投标报价应包括服务、设备、材料、管理、利润、税金、政策性规费等应由承包人承担的义务、责任和风险等全部费用。投标人所报的投标价在投标有效期内是固定不变的，投标人不得以任何理由予以变更。</w:t>
      </w:r>
    </w:p>
    <w:p w14:paraId="505718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3.2.2投标报价在中标后不得修改。</w:t>
      </w:r>
    </w:p>
    <w:p w14:paraId="61C84C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3.2.3投标人只能提出一个不变价格，采购人不接受任何选择价。</w:t>
      </w:r>
    </w:p>
    <w:p w14:paraId="11809A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3.2.4投标人必须对招标范围内的所有服务投标。</w:t>
      </w:r>
    </w:p>
    <w:p w14:paraId="76234E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3.2.5全部报价均应以人民币为计量币种，并以人民币进行结算。</w:t>
      </w:r>
    </w:p>
    <w:p w14:paraId="661317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3.2.6投标报价原则是各投标人依据自身实力、管理水平，结合企业所在地区的人工工资标准，在确保项目质量，确保项目成本的基础上，自主报价、自负盈亏。</w:t>
      </w:r>
    </w:p>
    <w:p w14:paraId="22ADB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3.2.7若投标函中的内容与投标一览表内容不一致时，以投标一览表内容为准。若投标一览表中的大写金额和小写金额不一致的，以大写金额为准；总价金额与单价金额不一致的，以单价金额为准，但单价金额小数点有明显错误的除外；对不同文字文本投标文件的解释发生异议的，以中文文本为准。</w:t>
      </w:r>
    </w:p>
    <w:p w14:paraId="61B6256D">
      <w:pPr>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3.3 投标有效期</w:t>
      </w:r>
      <w:bookmarkEnd w:id="92"/>
      <w:bookmarkEnd w:id="93"/>
      <w:bookmarkEnd w:id="94"/>
      <w:bookmarkEnd w:id="95"/>
    </w:p>
    <w:p w14:paraId="0DBE57D3">
      <w:pPr>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3.3.1在供应商须知前附表规定的投标有效期内，供应商不得要求撤销或修改其投标文件。 </w:t>
      </w:r>
    </w:p>
    <w:p w14:paraId="0DFA2521">
      <w:pPr>
        <w:spacing w:line="500" w:lineRule="exact"/>
        <w:ind w:firstLine="482" w:firstLineChars="200"/>
        <w:rPr>
          <w:rFonts w:ascii="宋体" w:hAnsi="宋体" w:eastAsia="宋体" w:cs="宋体"/>
          <w:b/>
          <w:bCs/>
          <w:color w:val="auto"/>
          <w:sz w:val="24"/>
          <w:highlight w:val="none"/>
        </w:rPr>
      </w:pPr>
      <w:bookmarkStart w:id="96" w:name="_Toc426369501"/>
      <w:bookmarkStart w:id="97" w:name="_Toc279599791"/>
      <w:bookmarkStart w:id="98" w:name="_Toc274249595"/>
      <w:bookmarkStart w:id="99" w:name="_Toc403122512"/>
      <w:r>
        <w:rPr>
          <w:rFonts w:hint="eastAsia" w:ascii="宋体" w:hAnsi="宋体" w:eastAsia="宋体" w:cs="宋体"/>
          <w:b/>
          <w:bCs/>
          <w:color w:val="auto"/>
          <w:sz w:val="24"/>
          <w:highlight w:val="none"/>
        </w:rPr>
        <w:t>3.5 资格审查资料</w:t>
      </w:r>
      <w:bookmarkEnd w:id="96"/>
      <w:bookmarkEnd w:id="97"/>
      <w:bookmarkEnd w:id="98"/>
      <w:bookmarkEnd w:id="99"/>
    </w:p>
    <w:p w14:paraId="0D9BFEC5">
      <w:pPr>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3.5.1</w:t>
      </w:r>
      <w:r>
        <w:rPr>
          <w:rFonts w:hint="eastAsia" w:ascii="宋体" w:hAnsi="宋体" w:cs="宋体"/>
          <w:color w:val="auto"/>
          <w:kern w:val="0"/>
          <w:szCs w:val="21"/>
          <w:highlight w:val="none"/>
        </w:rPr>
        <w:t>依据“供应商须知前附表”中的要求提交相应的资格证明文件，作为投标文件的一部分，以证明其有资格进行投标和有能力履行合同</w:t>
      </w:r>
      <w:r>
        <w:rPr>
          <w:rFonts w:hint="eastAsia" w:ascii="宋体" w:hAnsi="宋体" w:eastAsia="宋体" w:cs="宋体"/>
          <w:color w:val="auto"/>
          <w:szCs w:val="21"/>
          <w:highlight w:val="none"/>
        </w:rPr>
        <w:t xml:space="preserve">。 </w:t>
      </w:r>
    </w:p>
    <w:p w14:paraId="490F09D4">
      <w:pPr>
        <w:spacing w:line="420" w:lineRule="exact"/>
        <w:ind w:firstLine="420" w:firstLineChars="200"/>
        <w:rPr>
          <w:rFonts w:ascii="宋体" w:hAnsi="宋体" w:eastAsia="宋体" w:cs="宋体"/>
          <w:color w:val="auto"/>
          <w:szCs w:val="21"/>
          <w:highlight w:val="none"/>
        </w:rPr>
      </w:pPr>
      <w:r>
        <w:rPr>
          <w:rFonts w:hint="eastAsia" w:ascii="宋体" w:hAnsi="宋体" w:cs="宋体"/>
          <w:color w:val="auto"/>
          <w:szCs w:val="21"/>
          <w:highlight w:val="none"/>
        </w:rPr>
        <w:t>3.5.2招标文件规定的供应商资格条件。</w:t>
      </w:r>
    </w:p>
    <w:p w14:paraId="5F5863BF">
      <w:pPr>
        <w:spacing w:line="500" w:lineRule="exact"/>
        <w:ind w:firstLine="482" w:firstLineChars="200"/>
        <w:rPr>
          <w:rFonts w:ascii="宋体" w:hAnsi="宋体" w:eastAsia="宋体" w:cs="宋体"/>
          <w:b/>
          <w:bCs/>
          <w:color w:val="auto"/>
          <w:sz w:val="24"/>
          <w:highlight w:val="none"/>
        </w:rPr>
      </w:pPr>
      <w:bookmarkStart w:id="100" w:name="_Toc426369502"/>
      <w:bookmarkStart w:id="101" w:name="_Toc279599792"/>
      <w:bookmarkStart w:id="102" w:name="_Toc274249596"/>
      <w:bookmarkStart w:id="103" w:name="_Toc403122513"/>
      <w:r>
        <w:rPr>
          <w:rFonts w:hint="eastAsia" w:ascii="宋体" w:hAnsi="宋体" w:eastAsia="宋体" w:cs="宋体"/>
          <w:b/>
          <w:bCs/>
          <w:color w:val="auto"/>
          <w:sz w:val="24"/>
          <w:highlight w:val="none"/>
        </w:rPr>
        <w:t>3.6 备选投标方案</w:t>
      </w:r>
      <w:bookmarkEnd w:id="100"/>
      <w:bookmarkEnd w:id="101"/>
      <w:bookmarkEnd w:id="102"/>
      <w:bookmarkEnd w:id="103"/>
    </w:p>
    <w:p w14:paraId="448683A6">
      <w:pPr>
        <w:tabs>
          <w:tab w:val="left" w:pos="3570"/>
        </w:tabs>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供应商不得递交备选投标方案。 </w:t>
      </w:r>
    </w:p>
    <w:p w14:paraId="434226AF">
      <w:pPr>
        <w:spacing w:line="500" w:lineRule="exact"/>
        <w:ind w:firstLine="482" w:firstLineChars="200"/>
        <w:rPr>
          <w:rFonts w:ascii="宋体" w:hAnsi="宋体" w:eastAsia="宋体" w:cs="宋体"/>
          <w:b/>
          <w:bCs/>
          <w:color w:val="auto"/>
          <w:sz w:val="24"/>
          <w:highlight w:val="none"/>
        </w:rPr>
      </w:pPr>
      <w:bookmarkStart w:id="104" w:name="_Toc279599793"/>
      <w:bookmarkStart w:id="105" w:name="_Toc274249597"/>
      <w:bookmarkStart w:id="106" w:name="_Toc403122514"/>
      <w:bookmarkStart w:id="107" w:name="_Toc426369503"/>
      <w:r>
        <w:rPr>
          <w:rFonts w:hint="eastAsia" w:ascii="宋体" w:hAnsi="宋体" w:eastAsia="宋体" w:cs="宋体"/>
          <w:b/>
          <w:bCs/>
          <w:color w:val="auto"/>
          <w:sz w:val="24"/>
          <w:highlight w:val="none"/>
        </w:rPr>
        <w:t>3.7 投标文件的编制</w:t>
      </w:r>
      <w:bookmarkEnd w:id="104"/>
      <w:bookmarkEnd w:id="105"/>
      <w:bookmarkEnd w:id="106"/>
      <w:bookmarkEnd w:id="107"/>
    </w:p>
    <w:p w14:paraId="580701C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 投标文件应按招标文件中要求</w:t>
      </w:r>
      <w:r>
        <w:rPr>
          <w:rFonts w:hint="eastAsia" w:ascii="宋体" w:hAnsi="宋体" w:cs="宋体"/>
          <w:color w:val="auto"/>
          <w:kern w:val="0"/>
          <w:szCs w:val="21"/>
          <w:highlight w:val="none"/>
        </w:rPr>
        <w:t>使用焦作市公共资源交易系统投标文件制作专用工具软件编制</w:t>
      </w:r>
      <w:r>
        <w:rPr>
          <w:rFonts w:hint="eastAsia" w:ascii="宋体" w:hAnsi="宋体" w:eastAsia="宋体" w:cs="宋体"/>
          <w:color w:val="auto"/>
          <w:szCs w:val="21"/>
          <w:highlight w:val="none"/>
        </w:rPr>
        <w:t xml:space="preserve">。 </w:t>
      </w:r>
    </w:p>
    <w:p w14:paraId="7E9BA75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  投标文件应当对招标文件有关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期、投标有效期、质量标准、采购要求及服务内容、等实质性内容作出响应。</w:t>
      </w:r>
    </w:p>
    <w:p w14:paraId="03C2D198">
      <w:pPr>
        <w:autoSpaceDE w:val="0"/>
        <w:autoSpaceDN w:val="0"/>
        <w:adjustRightInd w:val="0"/>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3.7.3 </w:t>
      </w:r>
      <w:r>
        <w:rPr>
          <w:rFonts w:hint="eastAsia" w:ascii="宋体" w:hAnsi="宋体" w:cs="宋体"/>
          <w:color w:val="auto"/>
          <w:kern w:val="0"/>
          <w:szCs w:val="21"/>
          <w:highlight w:val="none"/>
        </w:rPr>
        <w:t>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w:t>
      </w:r>
    </w:p>
    <w:p w14:paraId="759D4A85">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108" w:name="_Toc30100"/>
      <w:bookmarkStart w:id="109" w:name="_Toc426369504"/>
      <w:bookmarkStart w:id="110" w:name="_Toc31809"/>
      <w:bookmarkStart w:id="111" w:name="_Toc403122515"/>
      <w:bookmarkStart w:id="112" w:name="_Toc26998"/>
      <w:bookmarkStart w:id="113" w:name="_Toc21879"/>
      <w:r>
        <w:rPr>
          <w:rFonts w:hint="eastAsia" w:ascii="宋体" w:hAnsi="宋体" w:eastAsia="宋体" w:cs="宋体"/>
          <w:color w:val="auto"/>
          <w:sz w:val="24"/>
          <w:szCs w:val="24"/>
          <w:highlight w:val="none"/>
        </w:rPr>
        <w:t>4. 投标</w:t>
      </w:r>
      <w:bookmarkEnd w:id="108"/>
      <w:bookmarkEnd w:id="109"/>
      <w:bookmarkEnd w:id="110"/>
      <w:bookmarkEnd w:id="111"/>
      <w:bookmarkEnd w:id="112"/>
      <w:bookmarkEnd w:id="113"/>
    </w:p>
    <w:p w14:paraId="3D176783">
      <w:pPr>
        <w:spacing w:line="500" w:lineRule="exact"/>
        <w:ind w:firstLine="482" w:firstLineChars="200"/>
        <w:rPr>
          <w:rFonts w:ascii="宋体" w:hAnsi="宋体" w:eastAsia="宋体" w:cs="宋体"/>
          <w:b/>
          <w:bCs/>
          <w:color w:val="auto"/>
          <w:sz w:val="24"/>
          <w:highlight w:val="none"/>
        </w:rPr>
      </w:pPr>
      <w:bookmarkStart w:id="114" w:name="_Toc426369505"/>
      <w:bookmarkStart w:id="115" w:name="_Toc274249599"/>
      <w:bookmarkStart w:id="116" w:name="_Toc279599795"/>
      <w:bookmarkStart w:id="117" w:name="_Toc403122516"/>
      <w:r>
        <w:rPr>
          <w:rFonts w:hint="eastAsia" w:ascii="宋体" w:hAnsi="宋体" w:eastAsia="宋体" w:cs="宋体"/>
          <w:b/>
          <w:bCs/>
          <w:color w:val="auto"/>
          <w:sz w:val="24"/>
          <w:highlight w:val="none"/>
        </w:rPr>
        <w:t>4.1 投标文件的密封和标记</w:t>
      </w:r>
      <w:bookmarkEnd w:id="114"/>
      <w:bookmarkEnd w:id="115"/>
      <w:bookmarkEnd w:id="116"/>
      <w:bookmarkEnd w:id="117"/>
    </w:p>
    <w:p w14:paraId="2F1D1CF5">
      <w:pPr>
        <w:autoSpaceDE w:val="0"/>
        <w:autoSpaceDN w:val="0"/>
        <w:adjustRightInd w:val="0"/>
        <w:spacing w:line="440" w:lineRule="exact"/>
        <w:ind w:firstLine="420" w:firstLineChars="200"/>
        <w:jc w:val="left"/>
        <w:rPr>
          <w:rFonts w:ascii="宋体" w:hAnsi="宋体" w:eastAsia="宋体" w:cs="宋体"/>
          <w:color w:val="auto"/>
          <w:szCs w:val="21"/>
          <w:highlight w:val="none"/>
        </w:rPr>
      </w:pPr>
      <w:r>
        <w:rPr>
          <w:rFonts w:hint="eastAsia" w:ascii="宋体" w:hAnsi="宋体" w:cs="宋体"/>
          <w:color w:val="auto"/>
          <w:kern w:val="0"/>
          <w:szCs w:val="21"/>
          <w:highlight w:val="none"/>
        </w:rPr>
        <w:t>4.1.1.本项目采用</w:t>
      </w:r>
      <w:r>
        <w:rPr>
          <w:rFonts w:hint="eastAsia" w:ascii="宋体" w:hAnsi="宋体" w:cs="宋体"/>
          <w:color w:val="auto"/>
          <w:kern w:val="0"/>
          <w:szCs w:val="21"/>
          <w:highlight w:val="none"/>
          <w:lang w:val="zh-CN"/>
        </w:rPr>
        <w:t>网上上传的电子投标文件</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应使用数字证书认证并加密。</w:t>
      </w:r>
    </w:p>
    <w:p w14:paraId="2DAC0784">
      <w:pPr>
        <w:spacing w:line="500" w:lineRule="exact"/>
        <w:ind w:firstLine="482" w:firstLineChars="200"/>
        <w:rPr>
          <w:rFonts w:ascii="宋体" w:hAnsi="宋体" w:eastAsia="宋体" w:cs="宋体"/>
          <w:b/>
          <w:bCs/>
          <w:color w:val="auto"/>
          <w:sz w:val="24"/>
          <w:highlight w:val="none"/>
        </w:rPr>
      </w:pPr>
      <w:bookmarkStart w:id="118" w:name="_Toc279599796"/>
      <w:bookmarkStart w:id="119" w:name="_Toc403122517"/>
      <w:bookmarkStart w:id="120" w:name="_Toc426369506"/>
      <w:bookmarkStart w:id="121" w:name="_Toc274249600"/>
      <w:r>
        <w:rPr>
          <w:rFonts w:hint="eastAsia" w:ascii="宋体" w:hAnsi="宋体" w:eastAsia="宋体" w:cs="宋体"/>
          <w:b/>
          <w:bCs/>
          <w:color w:val="auto"/>
          <w:sz w:val="24"/>
          <w:highlight w:val="none"/>
        </w:rPr>
        <w:t>4.2 投标文件的递交</w:t>
      </w:r>
      <w:bookmarkEnd w:id="118"/>
      <w:bookmarkEnd w:id="119"/>
      <w:bookmarkEnd w:id="120"/>
      <w:bookmarkEnd w:id="121"/>
    </w:p>
    <w:p w14:paraId="607341A4">
      <w:pPr>
        <w:autoSpaceDE w:val="0"/>
        <w:autoSpaceDN w:val="0"/>
        <w:adjustRightInd w:val="0"/>
        <w:spacing w:line="44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4.2.1</w:t>
      </w:r>
      <w:r>
        <w:rPr>
          <w:rFonts w:hint="eastAsia" w:ascii="宋体" w:hAnsi="宋体" w:cs="宋体"/>
          <w:color w:val="auto"/>
          <w:kern w:val="0"/>
          <w:szCs w:val="21"/>
          <w:highlight w:val="none"/>
          <w:lang w:val="zh-CN"/>
        </w:rPr>
        <w:t>所有投标文件必须在本招标文件中规定的投标截止时间之前</w:t>
      </w:r>
      <w:r>
        <w:rPr>
          <w:rFonts w:hint="eastAsia" w:ascii="宋体" w:hAnsi="宋体" w:cs="宋体"/>
          <w:color w:val="auto"/>
          <w:kern w:val="0"/>
          <w:szCs w:val="21"/>
          <w:highlight w:val="none"/>
        </w:rPr>
        <w:t>提前上传，按要求</w:t>
      </w:r>
      <w:r>
        <w:rPr>
          <w:rFonts w:hint="eastAsia" w:ascii="宋体" w:hAnsi="宋体"/>
          <w:color w:val="auto"/>
          <w:szCs w:val="21"/>
          <w:highlight w:val="none"/>
        </w:rPr>
        <w:t>在线签到、解密文件等，解密时间为投标截止时后30分钟内，</w:t>
      </w:r>
      <w:r>
        <w:rPr>
          <w:rFonts w:hint="eastAsia" w:ascii="宋体" w:hAnsi="宋体" w:cs="宋体"/>
          <w:color w:val="auto"/>
          <w:kern w:val="0"/>
          <w:szCs w:val="21"/>
          <w:highlight w:val="none"/>
        </w:rPr>
        <w:t>不能按时上传、解密者视为自动放弃投标。</w:t>
      </w:r>
    </w:p>
    <w:p w14:paraId="02F7FD3F">
      <w:pPr>
        <w:autoSpaceDE w:val="0"/>
        <w:autoSpaceDN w:val="0"/>
        <w:adjustRightInd w:val="0"/>
        <w:spacing w:line="440" w:lineRule="exact"/>
        <w:ind w:firstLine="420" w:firstLineChars="200"/>
        <w:jc w:val="left"/>
        <w:rPr>
          <w:rFonts w:ascii="宋体" w:hAnsi="宋体" w:eastAsia="宋体" w:cs="宋体"/>
          <w:color w:val="auto"/>
          <w:szCs w:val="21"/>
          <w:highlight w:val="none"/>
        </w:rPr>
      </w:pPr>
      <w:r>
        <w:rPr>
          <w:rFonts w:hint="eastAsia" w:ascii="宋体" w:hAnsi="宋体" w:cs="宋体"/>
          <w:color w:val="auto"/>
          <w:kern w:val="0"/>
          <w:szCs w:val="21"/>
          <w:highlight w:val="none"/>
        </w:rPr>
        <w:t>4.2.</w:t>
      </w:r>
      <w:r>
        <w:rPr>
          <w:rFonts w:hint="eastAsia" w:ascii="宋体" w:hAnsi="宋体" w:cs="宋体"/>
          <w:color w:val="auto"/>
          <w:kern w:val="0"/>
          <w:szCs w:val="21"/>
          <w:highlight w:val="none"/>
          <w:lang w:val="zh-CN"/>
        </w:rPr>
        <w:t>2.采购人拒绝接收在投标文件递交截止时间后上传的投标文件。</w:t>
      </w:r>
      <w:bookmarkStart w:id="122" w:name="_Hlt26954754"/>
      <w:bookmarkEnd w:id="122"/>
      <w:bookmarkStart w:id="123" w:name="_Hlt26954862"/>
      <w:bookmarkEnd w:id="123"/>
    </w:p>
    <w:p w14:paraId="7D1F9651">
      <w:pPr>
        <w:spacing w:line="500" w:lineRule="exact"/>
        <w:ind w:firstLine="482" w:firstLineChars="200"/>
        <w:rPr>
          <w:rFonts w:ascii="宋体" w:hAnsi="宋体" w:eastAsia="宋体" w:cs="宋体"/>
          <w:b/>
          <w:bCs/>
          <w:color w:val="auto"/>
          <w:sz w:val="24"/>
          <w:highlight w:val="none"/>
        </w:rPr>
      </w:pPr>
      <w:bookmarkStart w:id="124" w:name="_Toc274249601"/>
      <w:bookmarkStart w:id="125" w:name="_Toc426369507"/>
      <w:bookmarkStart w:id="126" w:name="_Toc403122518"/>
      <w:bookmarkStart w:id="127" w:name="_Toc279599797"/>
      <w:r>
        <w:rPr>
          <w:rFonts w:hint="eastAsia" w:ascii="宋体" w:hAnsi="宋体" w:eastAsia="宋体" w:cs="宋体"/>
          <w:b/>
          <w:bCs/>
          <w:color w:val="auto"/>
          <w:sz w:val="24"/>
          <w:highlight w:val="none"/>
        </w:rPr>
        <w:t>4.3 投标文件的修改与撤回</w:t>
      </w:r>
      <w:bookmarkEnd w:id="124"/>
      <w:bookmarkEnd w:id="125"/>
      <w:bookmarkEnd w:id="126"/>
      <w:bookmarkEnd w:id="127"/>
    </w:p>
    <w:p w14:paraId="4FDFB347">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4.3.1  在本章第 2.2.2 项规定的投标截止时间前，供应商可以修改或撤回已递交的投标文件。 </w:t>
      </w:r>
    </w:p>
    <w:p w14:paraId="7225093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4.3.2  供应商修改或撤回已递交投标文件的书面通知应按照本章第 3.7.3 项的要求签字盖章。 </w:t>
      </w:r>
    </w:p>
    <w:p w14:paraId="25A7C2E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4.3.3  修改的内容为投标文件的组成部分。修改的投标文件应按照本章第 3 条、第 4 条规定进行编制、密封、标记和递交，并标明“修改”字样。 </w:t>
      </w:r>
    </w:p>
    <w:p w14:paraId="36B99EF1">
      <w:pPr>
        <w:pStyle w:val="18"/>
        <w:spacing w:before="120" w:after="120" w:line="500" w:lineRule="exact"/>
        <w:ind w:right="-1029" w:rightChars="-490" w:firstLine="482" w:firstLineChars="200"/>
        <w:jc w:val="left"/>
        <w:outlineLvl w:val="1"/>
        <w:rPr>
          <w:rFonts w:ascii="宋体" w:hAnsi="宋体" w:eastAsia="宋体" w:cs="宋体"/>
          <w:color w:val="auto"/>
          <w:sz w:val="24"/>
          <w:szCs w:val="24"/>
          <w:highlight w:val="none"/>
        </w:rPr>
      </w:pPr>
      <w:bookmarkStart w:id="128" w:name="_Toc426369508"/>
      <w:bookmarkStart w:id="129" w:name="_Toc32449"/>
      <w:bookmarkStart w:id="130" w:name="_Toc18170"/>
      <w:bookmarkStart w:id="131" w:name="_Toc5457"/>
      <w:bookmarkStart w:id="132" w:name="_Toc403122519"/>
      <w:bookmarkStart w:id="133" w:name="_Toc22737"/>
      <w:r>
        <w:rPr>
          <w:rFonts w:hint="eastAsia" w:ascii="宋体" w:hAnsi="宋体" w:eastAsia="宋体" w:cs="宋体"/>
          <w:color w:val="auto"/>
          <w:sz w:val="24"/>
          <w:szCs w:val="24"/>
          <w:highlight w:val="none"/>
        </w:rPr>
        <w:t>5. 开标</w:t>
      </w:r>
      <w:bookmarkEnd w:id="128"/>
      <w:bookmarkEnd w:id="129"/>
      <w:bookmarkEnd w:id="130"/>
      <w:bookmarkEnd w:id="131"/>
      <w:bookmarkEnd w:id="132"/>
      <w:bookmarkEnd w:id="133"/>
    </w:p>
    <w:p w14:paraId="41C447A5">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 .1采购人在规定的投标截止时间（开标时间）和供应商须知前附表规定的地点公开开标。本项目采用“远程不见面”的开标方式,载明远程开标大厅网址（http://ggzy.jiaozuo.gov.cn/BidOpeningHall/bidhall/default/login）。供应商无需到现场参加开标会议，无需到达现场提交原件资料。供应商应当在线准时参加开标活动并进行文件解密、答疑澄清等。在规定时间内投标文件未解密的供应商，视为放弃投标。</w:t>
      </w:r>
    </w:p>
    <w:p w14:paraId="4DE376FD">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所有投标文件必须在本招标文件中规定的投标截止时间之前提前上传投标文件，按要求解密投标文件，不能按时上传、解密者视为自动放弃投标。</w:t>
      </w:r>
    </w:p>
    <w:p w14:paraId="66AF4A7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5.1.2供应商不足3家的，不得开标。  </w:t>
      </w:r>
    </w:p>
    <w:p w14:paraId="2BAD56A4">
      <w:pPr>
        <w:spacing w:line="500" w:lineRule="exact"/>
        <w:ind w:firstLine="482" w:firstLineChars="200"/>
        <w:rPr>
          <w:rFonts w:ascii="宋体" w:hAnsi="宋体" w:eastAsia="宋体" w:cs="宋体"/>
          <w:b/>
          <w:bCs/>
          <w:color w:val="auto"/>
          <w:sz w:val="24"/>
          <w:highlight w:val="none"/>
        </w:rPr>
      </w:pPr>
      <w:bookmarkStart w:id="134" w:name="_Toc403122520"/>
      <w:bookmarkStart w:id="135" w:name="_Toc279599799"/>
      <w:bookmarkStart w:id="136" w:name="_Toc274249603"/>
      <w:bookmarkStart w:id="137" w:name="_Toc426369509"/>
      <w:r>
        <w:rPr>
          <w:rFonts w:hint="eastAsia" w:ascii="宋体" w:hAnsi="宋体" w:eastAsia="宋体" w:cs="宋体"/>
          <w:b/>
          <w:bCs/>
          <w:color w:val="auto"/>
          <w:sz w:val="24"/>
          <w:highlight w:val="none"/>
        </w:rPr>
        <w:t>5.2 开标时间和地点</w:t>
      </w:r>
      <w:bookmarkEnd w:id="134"/>
      <w:bookmarkEnd w:id="135"/>
      <w:bookmarkEnd w:id="136"/>
      <w:bookmarkEnd w:id="137"/>
    </w:p>
    <w:p w14:paraId="453281C4">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采购人在本章第 2.2.2 项规定的投标截止时间（开标时间）和供应商须知前附表规定的地点公开开标。</w:t>
      </w:r>
    </w:p>
    <w:p w14:paraId="4FCD22DA">
      <w:pPr>
        <w:spacing w:line="500" w:lineRule="exact"/>
        <w:ind w:firstLine="482" w:firstLineChars="200"/>
        <w:rPr>
          <w:rFonts w:ascii="宋体" w:hAnsi="宋体" w:eastAsia="宋体" w:cs="宋体"/>
          <w:b/>
          <w:bCs/>
          <w:color w:val="auto"/>
          <w:sz w:val="24"/>
          <w:highlight w:val="none"/>
        </w:rPr>
      </w:pPr>
      <w:bookmarkStart w:id="138" w:name="_Toc426369510"/>
      <w:bookmarkStart w:id="139" w:name="_Toc274249604"/>
      <w:bookmarkStart w:id="140" w:name="_Toc279599800"/>
      <w:bookmarkStart w:id="141" w:name="_Toc403122521"/>
      <w:r>
        <w:rPr>
          <w:rFonts w:hint="eastAsia" w:ascii="宋体" w:hAnsi="宋体" w:eastAsia="宋体" w:cs="宋体"/>
          <w:b/>
          <w:bCs/>
          <w:color w:val="auto"/>
          <w:sz w:val="24"/>
          <w:highlight w:val="none"/>
        </w:rPr>
        <w:t>5.3开标程序</w:t>
      </w:r>
      <w:bookmarkEnd w:id="138"/>
      <w:bookmarkEnd w:id="139"/>
      <w:bookmarkEnd w:id="140"/>
      <w:bookmarkEnd w:id="141"/>
    </w:p>
    <w:p w14:paraId="06B6D65F">
      <w:pPr>
        <w:spacing w:line="400" w:lineRule="exact"/>
        <w:ind w:firstLine="420" w:firstLineChars="200"/>
        <w:rPr>
          <w:rFonts w:ascii="宋体" w:hAnsi="宋体" w:eastAsia="宋体" w:cs="宋体"/>
          <w:color w:val="auto"/>
          <w:szCs w:val="21"/>
          <w:highlight w:val="none"/>
          <w:lang w:val="zh-CN"/>
        </w:rPr>
      </w:pPr>
      <w:bookmarkStart w:id="142" w:name="_Toc426369511"/>
      <w:r>
        <w:rPr>
          <w:rFonts w:hint="eastAsia" w:ascii="宋体" w:hAnsi="宋体" w:eastAsia="宋体" w:cs="宋体"/>
          <w:color w:val="auto"/>
          <w:szCs w:val="21"/>
          <w:highlight w:val="none"/>
        </w:rPr>
        <w:t>5.3</w:t>
      </w:r>
      <w:r>
        <w:rPr>
          <w:rFonts w:hint="eastAsia" w:ascii="宋体" w:hAnsi="宋体" w:eastAsia="宋体" w:cs="宋体"/>
          <w:color w:val="auto"/>
          <w:szCs w:val="21"/>
          <w:highlight w:val="none"/>
          <w:lang w:val="zh-CN"/>
        </w:rPr>
        <w:t>.1本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采用电子开标。投标截止时间到达后，各供应商对电子投标文件进行解密。解密完成后各供应商的电子投标文件的实质性内容将自动显示在网页中。供应商在投标截止时间前未上传电子投标文件的将被视为放弃投标。</w:t>
      </w:r>
    </w:p>
    <w:p w14:paraId="203BF9B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主持人按下列程序进行开标：</w:t>
      </w:r>
    </w:p>
    <w:p w14:paraId="5C4F971C">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（1）公布在投标截止时间前递交投标文件的供应商名称；</w:t>
      </w:r>
    </w:p>
    <w:p w14:paraId="044A5BB0">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（2）供应商通过电子招标投标交易平台对已递交的电子投标文件在规定时间内进行解密</w:t>
      </w:r>
      <w:r>
        <w:rPr>
          <w:rFonts w:hint="eastAsia" w:ascii="宋体" w:hAnsi="宋体" w:cs="宋体"/>
          <w:color w:val="auto"/>
          <w:szCs w:val="21"/>
          <w:highlight w:val="none"/>
          <w:lang w:val="zh-CN"/>
        </w:rPr>
        <w:t>；</w:t>
      </w:r>
    </w:p>
    <w:p w14:paraId="214FC91C">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 批量导入文件；</w:t>
      </w:r>
    </w:p>
    <w:p w14:paraId="6139F825">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（4）公布采购项目名称、供应商名称、合同履行期限等其他内容，并记录在案；</w:t>
      </w:r>
    </w:p>
    <w:p w14:paraId="7AF1923A">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（5）采购人代表、监督人等有关人员按具体现场系统情况在开标记录上签字确认；</w:t>
      </w:r>
    </w:p>
    <w:p w14:paraId="14E676FB">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（6）开标结束。</w:t>
      </w:r>
    </w:p>
    <w:p w14:paraId="5C6E475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5.3.</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开标时出现下列情况的，采购人将拒绝其投标文件。</w:t>
      </w:r>
    </w:p>
    <w:p w14:paraId="3423BCC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（1）经检查数字证书无效的投标文件；</w:t>
      </w:r>
    </w:p>
    <w:p w14:paraId="2A0C88B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（2）供应商未按供应商须知前附表规定的时间内解密投标文件的</w:t>
      </w:r>
      <w:r>
        <w:rPr>
          <w:rFonts w:hint="eastAsia" w:ascii="宋体" w:hAnsi="宋体" w:cs="宋体"/>
          <w:color w:val="auto"/>
          <w:szCs w:val="21"/>
          <w:highlight w:val="none"/>
          <w:lang w:val="zh-CN"/>
        </w:rPr>
        <w:t>。</w:t>
      </w:r>
    </w:p>
    <w:p w14:paraId="7440BE2F">
      <w:pPr>
        <w:spacing w:line="40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5.4开标异议</w:t>
      </w:r>
      <w:bookmarkEnd w:id="142"/>
    </w:p>
    <w:p w14:paraId="29D93CA6">
      <w:pPr>
        <w:spacing w:line="400" w:lineRule="exact"/>
        <w:ind w:firstLine="420" w:firstLineChars="200"/>
        <w:rPr>
          <w:rFonts w:ascii="宋体" w:hAnsi="宋体" w:eastAsia="宋体" w:cs="宋体"/>
          <w:color w:val="auto"/>
          <w:szCs w:val="21"/>
          <w:highlight w:val="none"/>
          <w:lang w:val="zh-CN"/>
        </w:rPr>
      </w:pPr>
      <w:bookmarkStart w:id="143" w:name="_Toc403122522"/>
      <w:bookmarkStart w:id="144" w:name="_Toc12881"/>
      <w:bookmarkStart w:id="145" w:name="_Toc426369512"/>
      <w:bookmarkStart w:id="146" w:name="_Toc21662"/>
      <w:r>
        <w:rPr>
          <w:rFonts w:hint="eastAsia" w:ascii="宋体" w:hAnsi="宋体" w:eastAsia="宋体" w:cs="宋体"/>
          <w:color w:val="auto"/>
          <w:szCs w:val="21"/>
          <w:highlight w:val="none"/>
        </w:rPr>
        <w:t>5.4.1</w:t>
      </w:r>
      <w:r>
        <w:rPr>
          <w:rFonts w:hint="eastAsia" w:ascii="宋体" w:hAnsi="宋体" w:eastAsia="宋体" w:cs="宋体"/>
          <w:color w:val="auto"/>
          <w:szCs w:val="21"/>
          <w:highlight w:val="none"/>
          <w:lang w:val="zh-CN"/>
        </w:rPr>
        <w:t>供应商对开标有异议的，应当在开标现场提出（</w:t>
      </w:r>
      <w:bookmarkStart w:id="147" w:name="_Toc12998"/>
      <w:r>
        <w:rPr>
          <w:rFonts w:hint="eastAsia" w:ascii="宋体" w:hAnsi="宋体" w:eastAsia="宋体" w:cs="宋体"/>
          <w:color w:val="auto"/>
          <w:szCs w:val="21"/>
          <w:highlight w:val="none"/>
          <w:lang w:val="zh-CN"/>
        </w:rPr>
        <w:t>语音异议</w:t>
      </w:r>
      <w:bookmarkEnd w:id="147"/>
      <w:r>
        <w:rPr>
          <w:rFonts w:hint="eastAsia" w:ascii="宋体" w:hAnsi="宋体" w:eastAsia="宋体" w:cs="宋体"/>
          <w:color w:val="auto"/>
          <w:szCs w:val="21"/>
          <w:highlight w:val="none"/>
          <w:lang w:val="zh-CN"/>
        </w:rPr>
        <w:t>、</w:t>
      </w:r>
      <w:bookmarkStart w:id="148" w:name="_Toc20745"/>
      <w:r>
        <w:rPr>
          <w:rFonts w:hint="eastAsia" w:ascii="宋体" w:hAnsi="宋体" w:eastAsia="宋体" w:cs="宋体"/>
          <w:color w:val="auto"/>
          <w:szCs w:val="21"/>
          <w:highlight w:val="none"/>
          <w:lang w:val="zh-CN"/>
        </w:rPr>
        <w:t>文字异议</w:t>
      </w:r>
      <w:bookmarkEnd w:id="148"/>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zh-CN"/>
        </w:rPr>
        <w:t>人当场作出答复，并制作记录。</w:t>
      </w:r>
    </w:p>
    <w:p w14:paraId="1EBE444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5.4.2</w:t>
      </w:r>
      <w:r>
        <w:rPr>
          <w:rFonts w:hint="eastAsia" w:ascii="宋体" w:hAnsi="宋体" w:eastAsia="宋体" w:cs="宋体"/>
          <w:color w:val="auto"/>
          <w:szCs w:val="21"/>
          <w:highlight w:val="none"/>
          <w:lang w:val="zh-CN"/>
        </w:rPr>
        <w:t>开标异常处理</w:t>
      </w:r>
    </w:p>
    <w:p w14:paraId="71543E9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当出现以下情况时，应对未开标的项目中止电子开标，对原有资料及信息作出妥善保密处理，并在恢复正常后及时安排时间开标：</w:t>
      </w:r>
    </w:p>
    <w:p w14:paraId="7241A5A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(l）系统服务器发生故障，无法访问或无法使用系统；</w:t>
      </w:r>
    </w:p>
    <w:p w14:paraId="0CF45C2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系统的软件或数据库出现错误，不能进行正常操作；</w:t>
      </w:r>
    </w:p>
    <w:p w14:paraId="07076E4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）系统发现有安全漏洞，有潜在的泄密危险；</w:t>
      </w:r>
    </w:p>
    <w:p w14:paraId="7D7F69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）出现断电事故且短时间内无法恢复供电；</w:t>
      </w:r>
    </w:p>
    <w:p w14:paraId="37C9E15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（5） </w:t>
      </w:r>
      <w:r>
        <w:rPr>
          <w:rFonts w:hint="eastAsia" w:ascii="宋体" w:hAnsi="宋体" w:eastAsia="宋体" w:cs="宋体"/>
          <w:color w:val="auto"/>
          <w:szCs w:val="21"/>
          <w:highlight w:val="none"/>
          <w:lang w:val="zh-CN"/>
        </w:rPr>
        <w:t>其他无法保证招投标过程正常进行的情形</w:t>
      </w:r>
      <w:r>
        <w:rPr>
          <w:rFonts w:hint="eastAsia" w:ascii="宋体" w:hAnsi="宋体" w:cs="宋体"/>
          <w:color w:val="auto"/>
          <w:szCs w:val="21"/>
          <w:highlight w:val="none"/>
          <w:lang w:val="zh-CN"/>
        </w:rPr>
        <w:t>。</w:t>
      </w:r>
    </w:p>
    <w:p w14:paraId="641381C1">
      <w:pPr>
        <w:spacing w:line="40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bookmarkStart w:id="149" w:name="_Toc13445"/>
      <w:bookmarkStart w:id="150" w:name="_Toc9927"/>
      <w:r>
        <w:rPr>
          <w:rFonts w:hint="eastAsia" w:ascii="宋体" w:hAnsi="宋体" w:eastAsia="宋体" w:cs="宋体"/>
          <w:b/>
          <w:bCs/>
          <w:color w:val="auto"/>
          <w:szCs w:val="21"/>
          <w:highlight w:val="none"/>
        </w:rPr>
        <w:t>5.资格审查工作</w:t>
      </w:r>
      <w:bookmarkEnd w:id="149"/>
      <w:bookmarkEnd w:id="150"/>
    </w:p>
    <w:p w14:paraId="7B79DB41">
      <w:pPr>
        <w:spacing w:line="400" w:lineRule="exact"/>
        <w:ind w:firstLine="420" w:firstLineChars="200"/>
        <w:rPr>
          <w:rFonts w:ascii="宋体" w:hAnsi="宋体" w:eastAsia="宋体" w:cs="宋体"/>
          <w:color w:val="auto"/>
          <w:szCs w:val="21"/>
          <w:highlight w:val="none"/>
        </w:rPr>
      </w:pPr>
      <w:bookmarkStart w:id="151" w:name="_Toc18888"/>
      <w:bookmarkStart w:id="152" w:name="_Toc25275"/>
      <w:bookmarkStart w:id="153" w:name="_Toc25448"/>
      <w:bookmarkStart w:id="154" w:name="_Toc22488"/>
      <w:bookmarkStart w:id="155" w:name="_Toc18806"/>
      <w:bookmarkStart w:id="156" w:name="_Toc18803"/>
      <w:bookmarkStart w:id="157" w:name="_Toc15919"/>
      <w:r>
        <w:rPr>
          <w:rFonts w:hint="eastAsia" w:ascii="宋体" w:hAnsi="宋体" w:eastAsia="宋体" w:cs="宋体"/>
          <w:color w:val="auto"/>
          <w:szCs w:val="21"/>
          <w:highlight w:val="none"/>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1"/>
      <w:bookmarkEnd w:id="152"/>
      <w:bookmarkEnd w:id="153"/>
      <w:bookmarkEnd w:id="154"/>
      <w:bookmarkEnd w:id="155"/>
      <w:bookmarkEnd w:id="156"/>
      <w:bookmarkEnd w:id="157"/>
    </w:p>
    <w:p w14:paraId="61FBD1EE">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158" w:name="_Toc4643"/>
      <w:bookmarkStart w:id="159" w:name="_Toc6889"/>
      <w:r>
        <w:rPr>
          <w:rFonts w:hint="eastAsia" w:ascii="宋体" w:hAnsi="宋体" w:eastAsia="宋体" w:cs="宋体"/>
          <w:color w:val="auto"/>
          <w:sz w:val="24"/>
          <w:szCs w:val="24"/>
          <w:highlight w:val="none"/>
        </w:rPr>
        <w:t>6. 评标</w:t>
      </w:r>
      <w:bookmarkEnd w:id="143"/>
      <w:bookmarkEnd w:id="144"/>
      <w:bookmarkEnd w:id="145"/>
      <w:bookmarkEnd w:id="146"/>
      <w:bookmarkEnd w:id="158"/>
      <w:bookmarkEnd w:id="159"/>
    </w:p>
    <w:p w14:paraId="363A3B66">
      <w:pPr>
        <w:spacing w:line="500" w:lineRule="exact"/>
        <w:ind w:firstLine="482" w:firstLineChars="200"/>
        <w:rPr>
          <w:rFonts w:ascii="宋体" w:hAnsi="宋体" w:eastAsia="宋体" w:cs="宋体"/>
          <w:b/>
          <w:bCs/>
          <w:color w:val="auto"/>
          <w:sz w:val="24"/>
          <w:highlight w:val="none"/>
        </w:rPr>
      </w:pPr>
      <w:bookmarkStart w:id="160" w:name="_Toc274249606"/>
      <w:bookmarkStart w:id="161" w:name="_Toc403122523"/>
      <w:bookmarkStart w:id="162" w:name="_Toc426369513"/>
      <w:bookmarkStart w:id="163" w:name="_Toc279599802"/>
      <w:r>
        <w:rPr>
          <w:rFonts w:hint="eastAsia" w:ascii="宋体" w:hAnsi="宋体" w:eastAsia="宋体" w:cs="宋体"/>
          <w:b/>
          <w:bCs/>
          <w:color w:val="auto"/>
          <w:sz w:val="24"/>
          <w:highlight w:val="none"/>
        </w:rPr>
        <w:t>6.1 评标委员会</w:t>
      </w:r>
      <w:bookmarkEnd w:id="160"/>
      <w:bookmarkEnd w:id="161"/>
      <w:bookmarkEnd w:id="162"/>
      <w:bookmarkEnd w:id="163"/>
    </w:p>
    <w:p w14:paraId="75B2EC6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6.1.1  评标由采购人依法组建的评标委员会负责。评标委员会由采购人代表和评审专家组成。评标委员会成员人数以及评审专家的确定方式见供应商须知前附表。</w:t>
      </w:r>
    </w:p>
    <w:p w14:paraId="2F0021F4">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6.1.2  评标委员会成员有下列情形之一的，应当回避： </w:t>
      </w:r>
    </w:p>
    <w:p w14:paraId="4CF2481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（1）采购人或供应商的主要负责人的近亲属； </w:t>
      </w:r>
    </w:p>
    <w:p w14:paraId="1D748DB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（2）项目主管部门或者行政监督部门的人员； </w:t>
      </w:r>
    </w:p>
    <w:p w14:paraId="1308D5B5">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（3）与供应商有经济利益关系，可能影响对投标公正评审的； </w:t>
      </w:r>
    </w:p>
    <w:p w14:paraId="0666F98C">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（4）曾因在招标、评标以及其他与招标投标有关活动中从事违法行为而受过行政处罚或刑事处罚的。 </w:t>
      </w:r>
    </w:p>
    <w:p w14:paraId="0B18550F">
      <w:pPr>
        <w:spacing w:line="500" w:lineRule="exact"/>
        <w:ind w:firstLine="482" w:firstLineChars="200"/>
        <w:rPr>
          <w:rFonts w:ascii="宋体" w:hAnsi="宋体" w:eastAsia="宋体" w:cs="宋体"/>
          <w:b/>
          <w:bCs/>
          <w:color w:val="auto"/>
          <w:sz w:val="24"/>
          <w:highlight w:val="none"/>
        </w:rPr>
      </w:pPr>
      <w:bookmarkStart w:id="164" w:name="_Toc403122524"/>
      <w:bookmarkStart w:id="165" w:name="_Toc426369514"/>
      <w:bookmarkStart w:id="166" w:name="_Toc274249607"/>
      <w:bookmarkStart w:id="167" w:name="_Toc279599803"/>
      <w:r>
        <w:rPr>
          <w:rFonts w:hint="eastAsia" w:ascii="宋体" w:hAnsi="宋体" w:eastAsia="宋体" w:cs="宋体"/>
          <w:b/>
          <w:bCs/>
          <w:color w:val="auto"/>
          <w:sz w:val="24"/>
          <w:highlight w:val="none"/>
        </w:rPr>
        <w:t>6.2 评标原则</w:t>
      </w:r>
      <w:bookmarkEnd w:id="164"/>
      <w:bookmarkEnd w:id="165"/>
      <w:bookmarkEnd w:id="166"/>
      <w:bookmarkEnd w:id="167"/>
    </w:p>
    <w:p w14:paraId="4301C94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评标活动遵循公平、公正、科学和择优的原则。 </w:t>
      </w:r>
    </w:p>
    <w:p w14:paraId="77C05368">
      <w:pPr>
        <w:spacing w:line="400" w:lineRule="exact"/>
        <w:ind w:firstLine="482" w:firstLineChars="200"/>
        <w:rPr>
          <w:rFonts w:ascii="宋体" w:hAnsi="宋体" w:eastAsia="宋体" w:cs="宋体"/>
          <w:color w:val="auto"/>
          <w:szCs w:val="21"/>
          <w:highlight w:val="none"/>
        </w:rPr>
      </w:pPr>
      <w:bookmarkStart w:id="168" w:name="_Toc403122525"/>
      <w:bookmarkStart w:id="169" w:name="_Toc279599804"/>
      <w:bookmarkStart w:id="170" w:name="_Toc426369515"/>
      <w:bookmarkStart w:id="171" w:name="_Toc274249608"/>
      <w:r>
        <w:rPr>
          <w:rFonts w:hint="eastAsia" w:ascii="宋体" w:hAnsi="宋体" w:eastAsia="宋体" w:cs="宋体"/>
          <w:b/>
          <w:bCs/>
          <w:color w:val="auto"/>
          <w:sz w:val="24"/>
          <w:highlight w:val="none"/>
        </w:rPr>
        <w:t>6.3 评标</w:t>
      </w:r>
      <w:bookmarkEnd w:id="168"/>
      <w:bookmarkEnd w:id="169"/>
      <w:bookmarkEnd w:id="170"/>
      <w:bookmarkEnd w:id="171"/>
    </w:p>
    <w:p w14:paraId="0A981FA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6.3.1在评审过程中，评标委员会发现供应商有下列情形之一的，视为供应商相互串通投标，按照无效投标处理并依据法律、法规追究其相关责任。具体表现形式如下：</w:t>
      </w:r>
    </w:p>
    <w:p w14:paraId="60E1E46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同供应商的投标文件由同一单位或者个人编制；</w:t>
      </w:r>
    </w:p>
    <w:p w14:paraId="551FB3ED">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（2）不同供应商委托同一单位或者个人办理投标事宜；</w:t>
      </w:r>
    </w:p>
    <w:p w14:paraId="43B36BDE">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（3）不同供应商的投标文件载明的项目管理成员或者联系人员为同一人；</w:t>
      </w:r>
    </w:p>
    <w:p w14:paraId="00F8536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（4）不同供应商的投标文件异常一致或者投标报价呈规律性差异；</w:t>
      </w:r>
    </w:p>
    <w:p w14:paraId="62A68FF7">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（5）有证据证明供应商与采购人、采购代理机构或者其他供应商串通的其他情形</w:t>
      </w:r>
      <w:r>
        <w:rPr>
          <w:rFonts w:hint="eastAsia" w:ascii="宋体" w:hAnsi="宋体" w:cs="宋体"/>
          <w:color w:val="auto"/>
          <w:szCs w:val="21"/>
          <w:highlight w:val="none"/>
          <w:lang w:eastAsia="zh-CN"/>
        </w:rPr>
        <w:t>。</w:t>
      </w:r>
    </w:p>
    <w:p w14:paraId="7A52A6AC">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6.3.2评标委员会应当按照招标文件中规定的评标方法和标准，对符合性审查合格的投标文件进行商务和技术评估，综合比较与评价。招标文件没有规定的评标方法、评审因素和标准，不作为评标依据。</w:t>
      </w:r>
    </w:p>
    <w:p w14:paraId="46793A0C">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6.3.3评标时，评标委员会各成员应当独立对每个供应商的投标文件进行评价，并汇总每个供应商的得分。</w:t>
      </w:r>
    </w:p>
    <w:p w14:paraId="71B46C7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评标完成后，评标委员会应当向采购人提交书面评标报告和中标候选人名单。评标委员会推荐中标候选人的人数见供应商须知前附表。</w:t>
      </w:r>
    </w:p>
    <w:p w14:paraId="4386285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6.3.3 评标委员会负责具体评标事务，并独立履行下列职责：</w:t>
      </w:r>
    </w:p>
    <w:p w14:paraId="3FBF321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（1）审查、评价投标文件是否符合招标文件的实质性要求；</w:t>
      </w:r>
    </w:p>
    <w:p w14:paraId="4D27E97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（2）要求供应商对投标文件有关事项作出澄清或者说明；</w:t>
      </w:r>
    </w:p>
    <w:p w14:paraId="59349B7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（3）对投标文件进行比较和评价；</w:t>
      </w:r>
    </w:p>
    <w:p w14:paraId="3C38AEA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（4）确定中标候选人名单；</w:t>
      </w:r>
    </w:p>
    <w:p w14:paraId="0068017C">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（5）向采购人、采购代理机构或者有关部门报告评标中发现的违法行为。</w:t>
      </w:r>
    </w:p>
    <w:p w14:paraId="0FC43915">
      <w:pPr>
        <w:autoSpaceDE w:val="0"/>
        <w:autoSpaceDN w:val="0"/>
        <w:adjustRightInd w:val="0"/>
        <w:spacing w:line="360" w:lineRule="auto"/>
        <w:ind w:left="237" w:right="-20"/>
        <w:jc w:val="left"/>
        <w:rPr>
          <w:rFonts w:ascii="宋体" w:hAnsi="宋体" w:cs="宋体"/>
          <w:b/>
          <w:bCs/>
          <w:color w:val="auto"/>
          <w:spacing w:val="1"/>
          <w:kern w:val="0"/>
          <w:szCs w:val="21"/>
          <w:highlight w:val="none"/>
        </w:rPr>
      </w:pPr>
      <w:r>
        <w:rPr>
          <w:rFonts w:hint="eastAsia" w:ascii="宋体" w:hAnsi="宋体" w:cs="宋体"/>
          <w:b/>
          <w:bCs/>
          <w:color w:val="auto"/>
          <w:spacing w:val="1"/>
          <w:kern w:val="0"/>
          <w:szCs w:val="21"/>
          <w:highlight w:val="none"/>
        </w:rPr>
        <w:t>6.4  废标</w:t>
      </w:r>
    </w:p>
    <w:p w14:paraId="600F945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招标采购中，出现下列情形之一的，应予废标：</w:t>
      </w:r>
    </w:p>
    <w:p w14:paraId="3987FFF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（1）符合专业条件的供应商或者对招标文件作实质响应的供应商不足三家的；</w:t>
      </w:r>
    </w:p>
    <w:p w14:paraId="1252BDD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7B230ED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（3）供应商的报价均超过了采购预算，采购人不能支付的；</w:t>
      </w:r>
    </w:p>
    <w:p w14:paraId="76C4E20D">
      <w:pPr>
        <w:spacing w:line="400" w:lineRule="exact"/>
        <w:ind w:firstLine="420" w:firstLineChars="200"/>
        <w:rPr>
          <w:color w:val="auto"/>
          <w:highlight w:val="none"/>
        </w:rPr>
      </w:pPr>
      <w:r>
        <w:rPr>
          <w:rFonts w:hint="eastAsia" w:ascii="宋体" w:hAnsi="宋体" w:eastAsia="宋体" w:cs="宋体"/>
          <w:color w:val="auto"/>
          <w:szCs w:val="21"/>
          <w:highlight w:val="none"/>
        </w:rPr>
        <w:t>（4）因重大变故，采购任务取消的。废标后，采购人应当将废标理由通知所有供应商。</w:t>
      </w:r>
    </w:p>
    <w:p w14:paraId="252D39EF">
      <w:pPr>
        <w:pStyle w:val="18"/>
        <w:spacing w:before="120" w:after="120" w:line="500" w:lineRule="exact"/>
        <w:ind w:right="-1029" w:rightChars="-490" w:firstLine="482" w:firstLineChars="200"/>
        <w:jc w:val="both"/>
        <w:outlineLvl w:val="1"/>
        <w:rPr>
          <w:color w:val="auto"/>
          <w:highlight w:val="none"/>
        </w:rPr>
      </w:pPr>
      <w:bookmarkStart w:id="172" w:name="_Toc22968"/>
      <w:bookmarkStart w:id="173" w:name="_Toc17811"/>
      <w:bookmarkStart w:id="174" w:name="_Toc403122526"/>
      <w:bookmarkStart w:id="175" w:name="_Toc26569"/>
      <w:bookmarkStart w:id="176" w:name="_Toc8566"/>
      <w:bookmarkStart w:id="177" w:name="_Toc426369516"/>
      <w:r>
        <w:rPr>
          <w:rFonts w:hint="eastAsia" w:ascii="宋体" w:hAnsi="宋体" w:eastAsia="宋体" w:cs="宋体"/>
          <w:color w:val="auto"/>
          <w:sz w:val="24"/>
          <w:szCs w:val="24"/>
          <w:highlight w:val="none"/>
        </w:rPr>
        <w:t>7. 合同授予</w:t>
      </w:r>
      <w:bookmarkEnd w:id="172"/>
      <w:bookmarkEnd w:id="173"/>
      <w:bookmarkEnd w:id="174"/>
      <w:bookmarkEnd w:id="175"/>
      <w:bookmarkEnd w:id="176"/>
      <w:bookmarkEnd w:id="177"/>
    </w:p>
    <w:p w14:paraId="55EAAB96">
      <w:pPr>
        <w:spacing w:line="500" w:lineRule="exact"/>
        <w:ind w:firstLine="482" w:firstLineChars="200"/>
        <w:rPr>
          <w:rFonts w:ascii="宋体" w:hAnsi="宋体" w:eastAsia="宋体" w:cs="宋体"/>
          <w:b/>
          <w:bCs/>
          <w:color w:val="auto"/>
          <w:sz w:val="24"/>
          <w:highlight w:val="none"/>
        </w:rPr>
      </w:pPr>
      <w:bookmarkStart w:id="178" w:name="_Toc274249610"/>
      <w:bookmarkStart w:id="179" w:name="_Toc279599806"/>
      <w:bookmarkStart w:id="180" w:name="_Toc403122527"/>
      <w:bookmarkStart w:id="181" w:name="_Toc426369517"/>
      <w:r>
        <w:rPr>
          <w:rFonts w:hint="eastAsia" w:ascii="宋体" w:hAnsi="宋体" w:eastAsia="宋体" w:cs="宋体"/>
          <w:b/>
          <w:bCs/>
          <w:color w:val="auto"/>
          <w:sz w:val="24"/>
          <w:highlight w:val="none"/>
        </w:rPr>
        <w:t>7.1 定标方式</w:t>
      </w:r>
      <w:bookmarkEnd w:id="178"/>
      <w:bookmarkEnd w:id="179"/>
      <w:bookmarkEnd w:id="180"/>
      <w:bookmarkEnd w:id="181"/>
    </w:p>
    <w:p w14:paraId="2665E82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7.1.1采购人依据评标委员会推荐的中标候选人确定中标人，评标委员会推荐中标人候选人的人数见供应商须知前附表。</w:t>
      </w:r>
    </w:p>
    <w:p w14:paraId="647A7614">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7.1.2 中标或者成交供应商拒绝与采购人签订合同的，采购人可以按照评审报告推荐的中标或者成交候选人名单排序，确定下一候选人为中标或者成交供应商，也可以重新开展政府采购活动。</w:t>
      </w:r>
    </w:p>
    <w:p w14:paraId="2A201F0C">
      <w:pPr>
        <w:spacing w:line="500" w:lineRule="exact"/>
        <w:ind w:firstLine="482" w:firstLineChars="200"/>
        <w:rPr>
          <w:rFonts w:ascii="宋体" w:hAnsi="宋体" w:eastAsia="宋体" w:cs="宋体"/>
          <w:b/>
          <w:bCs/>
          <w:color w:val="auto"/>
          <w:sz w:val="24"/>
          <w:highlight w:val="none"/>
        </w:rPr>
      </w:pPr>
      <w:bookmarkStart w:id="182" w:name="_Toc279599807"/>
      <w:bookmarkStart w:id="183" w:name="_Toc426369518"/>
      <w:bookmarkStart w:id="184" w:name="_Toc274249611"/>
      <w:bookmarkStart w:id="185" w:name="_Toc403122528"/>
      <w:r>
        <w:rPr>
          <w:rFonts w:hint="eastAsia" w:ascii="宋体" w:hAnsi="宋体" w:eastAsia="宋体" w:cs="宋体"/>
          <w:b/>
          <w:bCs/>
          <w:color w:val="auto"/>
          <w:sz w:val="24"/>
          <w:highlight w:val="none"/>
        </w:rPr>
        <w:t>7.2 中标通知</w:t>
      </w:r>
      <w:bookmarkEnd w:id="182"/>
      <w:bookmarkEnd w:id="183"/>
      <w:bookmarkEnd w:id="184"/>
      <w:bookmarkEnd w:id="185"/>
    </w:p>
    <w:p w14:paraId="2D621A9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7.2.1 在本章第3.3款规定的投标有效期内，采购人以书面形式向中标人发出中标通知书，同时将中标结果通知未中标的供应商。 </w:t>
      </w:r>
    </w:p>
    <w:p w14:paraId="5FA04BEC">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7.2.2中标人在领取中标通知书后应及时到相关部门办理中标后的备案手续。</w:t>
      </w:r>
    </w:p>
    <w:p w14:paraId="18F828FC">
      <w:pPr>
        <w:spacing w:line="500" w:lineRule="exact"/>
        <w:ind w:firstLine="482" w:firstLineChars="200"/>
        <w:rPr>
          <w:rFonts w:ascii="宋体" w:hAnsi="宋体" w:eastAsia="宋体" w:cs="宋体"/>
          <w:b/>
          <w:bCs/>
          <w:color w:val="auto"/>
          <w:sz w:val="24"/>
          <w:highlight w:val="none"/>
        </w:rPr>
      </w:pPr>
      <w:bookmarkStart w:id="186" w:name="_Toc274249612"/>
      <w:bookmarkStart w:id="187" w:name="_Toc279599808"/>
      <w:bookmarkStart w:id="188" w:name="_Toc311550376"/>
      <w:bookmarkStart w:id="189" w:name="_Toc403122529"/>
      <w:bookmarkStart w:id="190" w:name="_Toc426369519"/>
      <w:r>
        <w:rPr>
          <w:rFonts w:hint="eastAsia" w:ascii="宋体" w:hAnsi="宋体" w:eastAsia="宋体" w:cs="宋体"/>
          <w:b/>
          <w:bCs/>
          <w:color w:val="auto"/>
          <w:sz w:val="24"/>
          <w:highlight w:val="none"/>
        </w:rPr>
        <w:t>7.3履约</w:t>
      </w:r>
      <w:bookmarkEnd w:id="186"/>
      <w:bookmarkEnd w:id="187"/>
      <w:bookmarkEnd w:id="188"/>
      <w:r>
        <w:rPr>
          <w:rFonts w:hint="eastAsia" w:ascii="宋体" w:hAnsi="宋体" w:eastAsia="宋体" w:cs="宋体"/>
          <w:b/>
          <w:bCs/>
          <w:color w:val="auto"/>
          <w:sz w:val="24"/>
          <w:highlight w:val="none"/>
        </w:rPr>
        <w:t>保证金</w:t>
      </w:r>
      <w:bookmarkEnd w:id="189"/>
      <w:bookmarkEnd w:id="190"/>
    </w:p>
    <w:p w14:paraId="7EEA092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7.3.1履约保证金：无</w:t>
      </w:r>
    </w:p>
    <w:p w14:paraId="402421C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7.3.2投标保证金：无</w:t>
      </w:r>
    </w:p>
    <w:p w14:paraId="61B5BCA3">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7.3.3质量保证金：无</w:t>
      </w:r>
    </w:p>
    <w:p w14:paraId="17E5FDED">
      <w:pPr>
        <w:spacing w:line="500" w:lineRule="exact"/>
        <w:ind w:firstLine="482" w:firstLineChars="200"/>
        <w:rPr>
          <w:rFonts w:ascii="宋体" w:hAnsi="宋体" w:eastAsia="宋体" w:cs="宋体"/>
          <w:b/>
          <w:bCs/>
          <w:color w:val="auto"/>
          <w:sz w:val="24"/>
          <w:highlight w:val="none"/>
        </w:rPr>
      </w:pPr>
      <w:bookmarkStart w:id="191" w:name="_Toc274249613"/>
      <w:bookmarkStart w:id="192" w:name="_Toc426369520"/>
      <w:bookmarkStart w:id="193" w:name="_Toc403122530"/>
      <w:bookmarkStart w:id="194" w:name="_Toc279599809"/>
      <w:r>
        <w:rPr>
          <w:rFonts w:hint="eastAsia" w:ascii="宋体" w:hAnsi="宋体" w:eastAsia="宋体" w:cs="宋体"/>
          <w:b/>
          <w:bCs/>
          <w:color w:val="auto"/>
          <w:sz w:val="24"/>
          <w:highlight w:val="none"/>
        </w:rPr>
        <w:t>7.4 签订合同</w:t>
      </w:r>
      <w:bookmarkEnd w:id="191"/>
      <w:bookmarkEnd w:id="192"/>
      <w:bookmarkEnd w:id="193"/>
      <w:bookmarkEnd w:id="194"/>
    </w:p>
    <w:p w14:paraId="7FD87D0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7.4.1  中标人的投标</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报价为中标价，中标价即为合同价（当中标人的投标</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报价高于</w:t>
      </w:r>
      <w:r>
        <w:rPr>
          <w:rFonts w:hint="eastAsia" w:ascii="宋体" w:hAnsi="宋体" w:eastAsia="宋体" w:cs="宋体"/>
          <w:color w:val="auto"/>
          <w:szCs w:val="21"/>
          <w:highlight w:val="none"/>
          <w:lang w:val="en-US" w:eastAsia="zh-CN"/>
        </w:rPr>
        <w:t>预算</w:t>
      </w:r>
      <w:r>
        <w:rPr>
          <w:rFonts w:hint="eastAsia" w:ascii="宋体" w:hAnsi="宋体" w:eastAsia="宋体" w:cs="宋体"/>
          <w:color w:val="auto"/>
          <w:szCs w:val="21"/>
          <w:highlight w:val="none"/>
        </w:rPr>
        <w:t>控制</w:t>
      </w:r>
      <w:r>
        <w:rPr>
          <w:rFonts w:hint="eastAsia" w:ascii="宋体" w:hAnsi="宋体" w:eastAsia="宋体" w:cs="宋体"/>
          <w:color w:val="auto"/>
          <w:szCs w:val="21"/>
          <w:highlight w:val="none"/>
          <w:lang w:val="en-US" w:eastAsia="zh-CN"/>
        </w:rPr>
        <w:t>单价金额</w:t>
      </w:r>
      <w:r>
        <w:rPr>
          <w:rFonts w:hint="eastAsia" w:ascii="宋体" w:hAnsi="宋体" w:eastAsia="宋体" w:cs="宋体"/>
          <w:color w:val="auto"/>
          <w:szCs w:val="21"/>
          <w:highlight w:val="none"/>
        </w:rPr>
        <w:t>的95%时，该中标人的中标</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7CF72C9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7.4.2  发出中标通知书后，采购人无正当理由拒签合同的，给中标人造成损失的，还应当赔偿损失。</w:t>
      </w:r>
    </w:p>
    <w:p w14:paraId="4E80360A">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195" w:name="_Toc29014"/>
      <w:bookmarkStart w:id="196" w:name="_Toc10541"/>
      <w:bookmarkStart w:id="197" w:name="_Toc10417"/>
      <w:bookmarkStart w:id="198" w:name="_Toc403122531"/>
      <w:bookmarkStart w:id="199" w:name="_Toc426369521"/>
      <w:bookmarkStart w:id="200" w:name="_Toc30009"/>
      <w:r>
        <w:rPr>
          <w:rFonts w:hint="eastAsia" w:ascii="宋体" w:hAnsi="宋体" w:eastAsia="宋体" w:cs="宋体"/>
          <w:color w:val="auto"/>
          <w:sz w:val="24"/>
          <w:szCs w:val="24"/>
          <w:highlight w:val="none"/>
        </w:rPr>
        <w:t>8. 重新招标</w:t>
      </w:r>
      <w:bookmarkEnd w:id="195"/>
      <w:bookmarkEnd w:id="196"/>
      <w:bookmarkEnd w:id="197"/>
      <w:bookmarkEnd w:id="198"/>
      <w:bookmarkEnd w:id="199"/>
      <w:bookmarkEnd w:id="200"/>
    </w:p>
    <w:p w14:paraId="3470101A">
      <w:pPr>
        <w:spacing w:line="500" w:lineRule="exact"/>
        <w:ind w:firstLine="482" w:firstLineChars="200"/>
        <w:rPr>
          <w:rFonts w:ascii="宋体" w:hAnsi="宋体" w:eastAsia="宋体" w:cs="宋体"/>
          <w:b/>
          <w:bCs/>
          <w:color w:val="auto"/>
          <w:sz w:val="24"/>
          <w:highlight w:val="none"/>
        </w:rPr>
      </w:pPr>
      <w:bookmarkStart w:id="201" w:name="_Toc274249615"/>
      <w:bookmarkStart w:id="202" w:name="_Toc426369522"/>
      <w:bookmarkStart w:id="203" w:name="_Toc403122532"/>
      <w:bookmarkStart w:id="204" w:name="_Toc279599811"/>
      <w:r>
        <w:rPr>
          <w:rFonts w:hint="eastAsia" w:ascii="宋体" w:hAnsi="宋体" w:eastAsia="宋体" w:cs="宋体"/>
          <w:b/>
          <w:bCs/>
          <w:color w:val="auto"/>
          <w:sz w:val="24"/>
          <w:highlight w:val="none"/>
        </w:rPr>
        <w:t>8.1 重新招标</w:t>
      </w:r>
      <w:bookmarkEnd w:id="201"/>
      <w:bookmarkEnd w:id="202"/>
      <w:bookmarkEnd w:id="203"/>
      <w:bookmarkEnd w:id="204"/>
    </w:p>
    <w:p w14:paraId="4936457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有下列情形之一的，采购人将重新招标： </w:t>
      </w:r>
    </w:p>
    <w:p w14:paraId="0C724BA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（1）投标截止时间止，供应商少于3个的； </w:t>
      </w:r>
    </w:p>
    <w:p w14:paraId="057A3BB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（2）经评标委员会评审后否决所有投标的。 </w:t>
      </w:r>
    </w:p>
    <w:p w14:paraId="4E7EEF2C">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205" w:name="_Toc426369523"/>
      <w:bookmarkStart w:id="206" w:name="_Toc14622"/>
      <w:bookmarkStart w:id="207" w:name="_Toc403122533"/>
      <w:bookmarkStart w:id="208" w:name="_Toc10372"/>
      <w:bookmarkStart w:id="209" w:name="_Toc27398"/>
      <w:bookmarkStart w:id="210" w:name="_Toc3760"/>
      <w:r>
        <w:rPr>
          <w:rFonts w:hint="eastAsia" w:ascii="宋体" w:hAnsi="宋体" w:eastAsia="宋体" w:cs="宋体"/>
          <w:color w:val="auto"/>
          <w:sz w:val="24"/>
          <w:szCs w:val="24"/>
          <w:highlight w:val="none"/>
        </w:rPr>
        <w:t>9. 纪律和监督</w:t>
      </w:r>
      <w:bookmarkEnd w:id="205"/>
      <w:bookmarkEnd w:id="206"/>
      <w:bookmarkEnd w:id="207"/>
      <w:bookmarkEnd w:id="208"/>
      <w:bookmarkEnd w:id="209"/>
      <w:bookmarkEnd w:id="210"/>
    </w:p>
    <w:p w14:paraId="5A010E9D">
      <w:pPr>
        <w:spacing w:line="500" w:lineRule="exact"/>
        <w:ind w:firstLine="482" w:firstLineChars="200"/>
        <w:rPr>
          <w:rFonts w:ascii="宋体" w:hAnsi="宋体" w:eastAsia="宋体" w:cs="宋体"/>
          <w:b/>
          <w:bCs/>
          <w:color w:val="auto"/>
          <w:sz w:val="24"/>
          <w:highlight w:val="none"/>
        </w:rPr>
      </w:pPr>
      <w:bookmarkStart w:id="211" w:name="_Toc426369524"/>
      <w:bookmarkStart w:id="212" w:name="_Toc403122534"/>
      <w:bookmarkStart w:id="213" w:name="_Toc279599814"/>
      <w:bookmarkStart w:id="214" w:name="_Toc274249618"/>
      <w:r>
        <w:rPr>
          <w:rFonts w:hint="eastAsia" w:ascii="宋体" w:hAnsi="宋体" w:eastAsia="宋体" w:cs="宋体"/>
          <w:b/>
          <w:bCs/>
          <w:color w:val="auto"/>
          <w:sz w:val="24"/>
          <w:highlight w:val="none"/>
        </w:rPr>
        <w:t>9.1 对采购人的纪律要求</w:t>
      </w:r>
      <w:bookmarkEnd w:id="211"/>
      <w:bookmarkEnd w:id="212"/>
      <w:bookmarkEnd w:id="213"/>
      <w:bookmarkEnd w:id="214"/>
    </w:p>
    <w:p w14:paraId="5DDF55DD">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采购人不得泄漏招标投标活动中应当保密的情况和资料，不得与供应商串通损害国家利益、社会公共利益或者他人合法权益。 </w:t>
      </w:r>
    </w:p>
    <w:p w14:paraId="4E59FBBF">
      <w:pPr>
        <w:spacing w:line="500" w:lineRule="exact"/>
        <w:ind w:firstLine="482" w:firstLineChars="200"/>
        <w:rPr>
          <w:rFonts w:ascii="宋体" w:hAnsi="宋体" w:eastAsia="宋体" w:cs="宋体"/>
          <w:b/>
          <w:bCs/>
          <w:color w:val="auto"/>
          <w:sz w:val="24"/>
          <w:highlight w:val="none"/>
        </w:rPr>
      </w:pPr>
      <w:bookmarkStart w:id="215" w:name="_Toc274249619"/>
      <w:bookmarkStart w:id="216" w:name="_Toc279599815"/>
      <w:bookmarkStart w:id="217" w:name="_Toc403122535"/>
      <w:bookmarkStart w:id="218" w:name="_Toc426369525"/>
      <w:r>
        <w:rPr>
          <w:rFonts w:hint="eastAsia" w:ascii="宋体" w:hAnsi="宋体" w:eastAsia="宋体" w:cs="宋体"/>
          <w:b/>
          <w:bCs/>
          <w:color w:val="auto"/>
          <w:sz w:val="24"/>
          <w:highlight w:val="none"/>
        </w:rPr>
        <w:t>9.2 对供应商的纪律要求</w:t>
      </w:r>
      <w:bookmarkEnd w:id="215"/>
      <w:bookmarkEnd w:id="216"/>
      <w:bookmarkEnd w:id="217"/>
      <w:bookmarkEnd w:id="218"/>
    </w:p>
    <w:p w14:paraId="37704EAC">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7FF30BC2">
      <w:pPr>
        <w:spacing w:line="500" w:lineRule="exact"/>
        <w:ind w:firstLine="482" w:firstLineChars="200"/>
        <w:rPr>
          <w:rFonts w:ascii="宋体" w:hAnsi="宋体" w:eastAsia="宋体" w:cs="宋体"/>
          <w:b/>
          <w:bCs/>
          <w:color w:val="auto"/>
          <w:sz w:val="24"/>
          <w:highlight w:val="none"/>
        </w:rPr>
      </w:pPr>
      <w:bookmarkStart w:id="219" w:name="_Toc403122536"/>
      <w:bookmarkStart w:id="220" w:name="_Toc426369526"/>
      <w:bookmarkStart w:id="221" w:name="_Toc279599816"/>
      <w:bookmarkStart w:id="222" w:name="_Toc274249620"/>
      <w:r>
        <w:rPr>
          <w:rFonts w:hint="eastAsia" w:ascii="宋体" w:hAnsi="宋体" w:eastAsia="宋体" w:cs="宋体"/>
          <w:b/>
          <w:bCs/>
          <w:color w:val="auto"/>
          <w:sz w:val="24"/>
          <w:highlight w:val="none"/>
        </w:rPr>
        <w:t>9.3 对评标委员会成员的纪律要求</w:t>
      </w:r>
      <w:bookmarkEnd w:id="219"/>
      <w:bookmarkEnd w:id="220"/>
      <w:bookmarkEnd w:id="221"/>
      <w:bookmarkEnd w:id="222"/>
    </w:p>
    <w:p w14:paraId="75A9BBAD">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03933CD4">
      <w:pPr>
        <w:spacing w:line="500" w:lineRule="exact"/>
        <w:ind w:firstLine="482" w:firstLineChars="200"/>
        <w:rPr>
          <w:rFonts w:ascii="宋体" w:hAnsi="宋体" w:eastAsia="宋体" w:cs="宋体"/>
          <w:b/>
          <w:bCs/>
          <w:color w:val="auto"/>
          <w:sz w:val="24"/>
          <w:highlight w:val="none"/>
        </w:rPr>
      </w:pPr>
      <w:bookmarkStart w:id="223" w:name="_Toc274249621"/>
      <w:bookmarkStart w:id="224" w:name="_Toc279599817"/>
      <w:bookmarkStart w:id="225" w:name="_Toc426369527"/>
      <w:bookmarkStart w:id="226" w:name="_Toc403122537"/>
      <w:r>
        <w:rPr>
          <w:rFonts w:hint="eastAsia" w:ascii="宋体" w:hAnsi="宋体" w:eastAsia="宋体" w:cs="宋体"/>
          <w:b/>
          <w:bCs/>
          <w:color w:val="auto"/>
          <w:sz w:val="24"/>
          <w:highlight w:val="none"/>
        </w:rPr>
        <w:t>9.4 对与评标活动有关的工作人员的纪律要求</w:t>
      </w:r>
      <w:bookmarkEnd w:id="223"/>
      <w:bookmarkEnd w:id="224"/>
      <w:bookmarkEnd w:id="225"/>
      <w:bookmarkEnd w:id="226"/>
    </w:p>
    <w:p w14:paraId="252F005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0B33125">
      <w:pPr>
        <w:spacing w:line="500" w:lineRule="exact"/>
        <w:ind w:firstLine="482" w:firstLineChars="200"/>
        <w:rPr>
          <w:rFonts w:ascii="宋体" w:hAnsi="宋体" w:eastAsia="宋体" w:cs="宋体"/>
          <w:b/>
          <w:bCs/>
          <w:color w:val="auto"/>
          <w:sz w:val="24"/>
          <w:highlight w:val="none"/>
        </w:rPr>
      </w:pPr>
      <w:bookmarkStart w:id="227" w:name="_Toc403122538"/>
      <w:bookmarkStart w:id="228" w:name="_Toc274249622"/>
      <w:bookmarkStart w:id="229" w:name="_Toc279599818"/>
      <w:bookmarkStart w:id="230" w:name="_Toc426369528"/>
      <w:r>
        <w:rPr>
          <w:rFonts w:hint="eastAsia" w:ascii="宋体" w:hAnsi="宋体" w:eastAsia="宋体" w:cs="宋体"/>
          <w:b/>
          <w:bCs/>
          <w:color w:val="auto"/>
          <w:sz w:val="24"/>
          <w:highlight w:val="none"/>
        </w:rPr>
        <w:t>9.5 投诉</w:t>
      </w:r>
      <w:bookmarkEnd w:id="227"/>
      <w:bookmarkEnd w:id="228"/>
      <w:bookmarkEnd w:id="229"/>
      <w:bookmarkEnd w:id="230"/>
    </w:p>
    <w:p w14:paraId="30038B0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供应商和其他利害关系人认为本次招标活动违反法律、法规和规章规定的，有权向有关行政监督部门投诉。 </w:t>
      </w:r>
    </w:p>
    <w:p w14:paraId="4459B44E">
      <w:pPr>
        <w:pStyle w:val="18"/>
        <w:spacing w:before="120" w:after="120" w:line="500" w:lineRule="exact"/>
        <w:ind w:right="-1029" w:rightChars="-490" w:firstLine="482" w:firstLineChars="200"/>
        <w:jc w:val="both"/>
        <w:outlineLvl w:val="1"/>
        <w:rPr>
          <w:rFonts w:ascii="宋体" w:hAnsi="宋体" w:eastAsia="宋体" w:cs="宋体"/>
          <w:color w:val="auto"/>
          <w:sz w:val="24"/>
          <w:szCs w:val="24"/>
          <w:highlight w:val="none"/>
        </w:rPr>
      </w:pPr>
      <w:bookmarkStart w:id="231" w:name="_Toc426369529"/>
      <w:bookmarkStart w:id="232" w:name="_Toc26812"/>
      <w:bookmarkStart w:id="233" w:name="_Toc10880"/>
      <w:bookmarkStart w:id="234" w:name="_Toc25080"/>
      <w:bookmarkStart w:id="235" w:name="_Toc13281"/>
      <w:bookmarkStart w:id="236" w:name="_Toc403122539"/>
      <w:r>
        <w:rPr>
          <w:rFonts w:hint="eastAsia" w:ascii="宋体" w:hAnsi="宋体" w:eastAsia="宋体" w:cs="宋体"/>
          <w:color w:val="auto"/>
          <w:sz w:val="24"/>
          <w:szCs w:val="24"/>
          <w:highlight w:val="none"/>
        </w:rPr>
        <w:t>10. 需要补充的其他内容</w:t>
      </w:r>
      <w:bookmarkEnd w:id="231"/>
      <w:bookmarkEnd w:id="232"/>
      <w:bookmarkEnd w:id="233"/>
      <w:bookmarkEnd w:id="234"/>
      <w:bookmarkEnd w:id="235"/>
      <w:bookmarkEnd w:id="236"/>
    </w:p>
    <w:p w14:paraId="0A275E66">
      <w:pPr>
        <w:autoSpaceDE w:val="0"/>
        <w:autoSpaceDN w:val="0"/>
        <w:adjustRightInd w:val="0"/>
        <w:spacing w:line="440" w:lineRule="exact"/>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10.1 费用承担</w:t>
      </w:r>
    </w:p>
    <w:p w14:paraId="2BE4FE2F">
      <w:pPr>
        <w:autoSpaceDE w:val="0"/>
        <w:autoSpaceDN w:val="0"/>
        <w:adjustRightInd w:val="0"/>
        <w:spacing w:line="440" w:lineRule="exact"/>
        <w:ind w:left="17" w:leftChars="8" w:firstLine="420" w:firstLineChars="200"/>
        <w:jc w:val="left"/>
        <w:rPr>
          <w:rFonts w:ascii="宋体" w:hAnsi="宋体" w:cs="宋体"/>
          <w:color w:val="auto"/>
          <w:szCs w:val="21"/>
          <w:highlight w:val="none"/>
        </w:rPr>
      </w:pPr>
      <w:r>
        <w:rPr>
          <w:rFonts w:hint="eastAsia" w:ascii="宋体" w:hAnsi="宋体" w:cs="宋体"/>
          <w:color w:val="auto"/>
          <w:szCs w:val="21"/>
          <w:highlight w:val="none"/>
        </w:rPr>
        <w:t>（1）无论投标结果如何，供应商应自行承担所有参与投标的全部费用，采购人和采购代理机构在任何情况下均无义务和责任承担上述费用。</w:t>
      </w:r>
    </w:p>
    <w:p w14:paraId="534CBA56">
      <w:pPr>
        <w:autoSpaceDE w:val="0"/>
        <w:autoSpaceDN w:val="0"/>
        <w:adjustRightInd w:val="0"/>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（2）招标代理服务费由中标人支付。</w:t>
      </w:r>
    </w:p>
    <w:p w14:paraId="4D35CC33">
      <w:pPr>
        <w:autoSpaceDE w:val="0"/>
        <w:autoSpaceDN w:val="0"/>
        <w:adjustRightInd w:val="0"/>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（3）供应商与采购人签订合同后，将合同报采购代理机构备案。</w:t>
      </w:r>
    </w:p>
    <w:p w14:paraId="22E37B17">
      <w:pPr>
        <w:pStyle w:val="31"/>
        <w:ind w:firstLine="482" w:firstLineChars="200"/>
        <w:rPr>
          <w:rFonts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10.2本招标文件未尽事宜，按《中华人民共和国政府采购法》等法律法规的有关规定执行。</w:t>
      </w:r>
    </w:p>
    <w:p w14:paraId="01BD6FC5">
      <w:pPr>
        <w:pStyle w:val="10"/>
        <w:rPr>
          <w:rFonts w:ascii="宋体" w:hAnsi="宋体" w:eastAsia="宋体" w:cs="宋体"/>
          <w:color w:val="auto"/>
          <w:highlight w:val="none"/>
        </w:rPr>
      </w:pPr>
      <w:r>
        <w:rPr>
          <w:rFonts w:hint="eastAsia" w:ascii="宋体" w:hAnsi="宋体" w:eastAsia="宋体" w:cs="宋体"/>
          <w:color w:val="auto"/>
          <w:highlight w:val="none"/>
        </w:rPr>
        <w:br w:type="page"/>
      </w:r>
    </w:p>
    <w:p w14:paraId="5E32289E">
      <w:pPr>
        <w:pStyle w:val="18"/>
        <w:numPr>
          <w:ilvl w:val="0"/>
          <w:numId w:val="5"/>
        </w:numPr>
        <w:spacing w:line="600" w:lineRule="exact"/>
        <w:ind w:right="-63" w:rightChars="-30"/>
        <w:rPr>
          <w:rFonts w:ascii="宋体" w:hAnsi="宋体" w:eastAsia="宋体" w:cs="宋体"/>
          <w:color w:val="auto"/>
          <w:sz w:val="36"/>
          <w:szCs w:val="36"/>
          <w:highlight w:val="none"/>
        </w:rPr>
      </w:pPr>
      <w:bookmarkStart w:id="237" w:name="_Toc403122540"/>
      <w:bookmarkStart w:id="238" w:name="_Toc28433"/>
      <w:bookmarkStart w:id="239" w:name="_Toc426369530"/>
      <w:bookmarkStart w:id="240" w:name="_Toc8251"/>
      <w:bookmarkStart w:id="241" w:name="_Toc32119"/>
      <w:r>
        <w:rPr>
          <w:rFonts w:hint="eastAsia" w:ascii="宋体" w:hAnsi="宋体" w:eastAsia="宋体" w:cs="宋体"/>
          <w:color w:val="auto"/>
          <w:sz w:val="36"/>
          <w:szCs w:val="36"/>
          <w:highlight w:val="none"/>
        </w:rPr>
        <w:t>评标办法</w:t>
      </w:r>
      <w:bookmarkEnd w:id="237"/>
      <w:bookmarkEnd w:id="238"/>
      <w:bookmarkEnd w:id="239"/>
      <w:r>
        <w:rPr>
          <w:rFonts w:hint="eastAsia" w:ascii="宋体" w:hAnsi="宋体" w:eastAsia="宋体" w:cs="宋体"/>
          <w:color w:val="auto"/>
          <w:sz w:val="36"/>
          <w:szCs w:val="36"/>
          <w:highlight w:val="none"/>
        </w:rPr>
        <w:t>（综合评分法）</w:t>
      </w:r>
      <w:bookmarkEnd w:id="240"/>
      <w:bookmarkEnd w:id="241"/>
    </w:p>
    <w:p w14:paraId="4B07009A">
      <w:pPr>
        <w:pStyle w:val="32"/>
        <w:spacing w:line="540" w:lineRule="exact"/>
        <w:jc w:val="center"/>
        <w:outlineLvl w:val="1"/>
        <w:rPr>
          <w:rFonts w:ascii="宋体" w:hAnsi="宋体" w:eastAsia="宋体" w:cs="宋体"/>
          <w:b/>
          <w:bCs/>
          <w:color w:val="auto"/>
          <w:sz w:val="28"/>
          <w:szCs w:val="28"/>
          <w:highlight w:val="none"/>
        </w:rPr>
      </w:pPr>
      <w:bookmarkStart w:id="242" w:name="_Toc9561"/>
      <w:bookmarkStart w:id="243" w:name="_Toc29947"/>
      <w:bookmarkStart w:id="244" w:name="_Toc21885"/>
      <w:bookmarkStart w:id="245" w:name="_Toc30933"/>
      <w:bookmarkStart w:id="246" w:name="_Toc17859"/>
      <w:bookmarkStart w:id="247" w:name="_Toc16529"/>
      <w:bookmarkStart w:id="248" w:name="_Toc2761070"/>
      <w:r>
        <w:rPr>
          <w:rFonts w:hint="eastAsia" w:ascii="宋体" w:hAnsi="宋体" w:eastAsia="宋体" w:cs="宋体"/>
          <w:b/>
          <w:bCs/>
          <w:color w:val="auto"/>
          <w:sz w:val="28"/>
          <w:szCs w:val="28"/>
          <w:highlight w:val="none"/>
        </w:rPr>
        <w:t>评分办法前附表</w:t>
      </w:r>
      <w:bookmarkEnd w:id="242"/>
      <w:bookmarkEnd w:id="243"/>
      <w:bookmarkEnd w:id="244"/>
      <w:bookmarkEnd w:id="245"/>
      <w:bookmarkEnd w:id="246"/>
    </w:p>
    <w:bookmarkEnd w:id="247"/>
    <w:tbl>
      <w:tblPr>
        <w:tblStyle w:val="21"/>
        <w:tblpPr w:leftFromText="180" w:rightFromText="180" w:vertAnchor="text" w:horzAnchor="page" w:tblpX="1155" w:tblpY="363"/>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2711"/>
        <w:gridCol w:w="4975"/>
      </w:tblGrid>
      <w:tr w14:paraId="33D2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095" w:type="dxa"/>
            <w:vAlign w:val="center"/>
          </w:tcPr>
          <w:p w14:paraId="0F5D29AB">
            <w:pPr>
              <w:spacing w:line="440" w:lineRule="exact"/>
              <w:jc w:val="center"/>
              <w:rPr>
                <w:rFonts w:ascii="宋体" w:hAnsi="宋体" w:cs="宋体"/>
                <w:b/>
                <w:color w:val="auto"/>
                <w:szCs w:val="21"/>
                <w:highlight w:val="none"/>
              </w:rPr>
            </w:pPr>
            <w:bookmarkStart w:id="249" w:name="_Toc426369531"/>
            <w:bookmarkStart w:id="250" w:name="_Toc403122541"/>
            <w:bookmarkStart w:id="251" w:name="_Toc31084"/>
            <w:r>
              <w:rPr>
                <w:rFonts w:hint="eastAsia" w:ascii="宋体" w:hAnsi="宋体" w:cs="宋体"/>
                <w:b/>
                <w:bCs/>
                <w:color w:val="auto"/>
                <w:kern w:val="0"/>
                <w:szCs w:val="21"/>
                <w:highlight w:val="none"/>
              </w:rPr>
              <w:t>审查主体</w:t>
            </w:r>
          </w:p>
        </w:tc>
        <w:tc>
          <w:tcPr>
            <w:tcW w:w="3806" w:type="dxa"/>
            <w:gridSpan w:val="2"/>
            <w:vAlign w:val="center"/>
          </w:tcPr>
          <w:p w14:paraId="219A4AA2">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975" w:type="dxa"/>
            <w:vAlign w:val="center"/>
          </w:tcPr>
          <w:p w14:paraId="7C0B41D7">
            <w:pPr>
              <w:tabs>
                <w:tab w:val="left" w:pos="417"/>
                <w:tab w:val="center" w:pos="2999"/>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ab/>
            </w:r>
            <w:r>
              <w:rPr>
                <w:rFonts w:hint="eastAsia" w:ascii="宋体" w:hAnsi="宋体" w:cs="宋体"/>
                <w:b/>
                <w:color w:val="auto"/>
                <w:szCs w:val="21"/>
                <w:highlight w:val="none"/>
              </w:rPr>
              <w:tab/>
            </w:r>
            <w:r>
              <w:rPr>
                <w:rFonts w:hint="eastAsia" w:ascii="宋体" w:hAnsi="宋体" w:cs="宋体"/>
                <w:b/>
                <w:color w:val="auto"/>
                <w:szCs w:val="21"/>
                <w:highlight w:val="none"/>
              </w:rPr>
              <w:t>评审标准</w:t>
            </w:r>
          </w:p>
        </w:tc>
      </w:tr>
      <w:tr w14:paraId="53A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1095" w:type="dxa"/>
            <w:vMerge w:val="restart"/>
            <w:vAlign w:val="center"/>
          </w:tcPr>
          <w:p w14:paraId="1571688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资格审查小组</w:t>
            </w:r>
          </w:p>
        </w:tc>
        <w:tc>
          <w:tcPr>
            <w:tcW w:w="1095" w:type="dxa"/>
            <w:vMerge w:val="restart"/>
            <w:vAlign w:val="center"/>
          </w:tcPr>
          <w:p w14:paraId="42CE3FD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一、资格评审标准</w:t>
            </w:r>
          </w:p>
        </w:tc>
        <w:tc>
          <w:tcPr>
            <w:tcW w:w="2711" w:type="dxa"/>
            <w:vAlign w:val="center"/>
          </w:tcPr>
          <w:p w14:paraId="3D665EBF">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4975" w:type="dxa"/>
            <w:vAlign w:val="center"/>
          </w:tcPr>
          <w:p w14:paraId="74C3CF2C">
            <w:pPr>
              <w:spacing w:line="320" w:lineRule="exact"/>
              <w:rPr>
                <w:rFonts w:ascii="宋体" w:hAnsi="宋体" w:cs="宋体"/>
                <w:color w:val="auto"/>
                <w:szCs w:val="21"/>
                <w:highlight w:val="none"/>
              </w:rPr>
            </w:pPr>
            <w:r>
              <w:rPr>
                <w:rFonts w:hint="eastAsia" w:ascii="宋体" w:hAnsi="宋体" w:cs="宋体"/>
                <w:color w:val="auto"/>
                <w:szCs w:val="21"/>
                <w:highlight w:val="none"/>
              </w:rPr>
              <w:t>提供资格承诺函</w:t>
            </w:r>
          </w:p>
        </w:tc>
      </w:tr>
      <w:tr w14:paraId="557C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trPr>
        <w:tc>
          <w:tcPr>
            <w:tcW w:w="1095" w:type="dxa"/>
            <w:vMerge w:val="continue"/>
            <w:vAlign w:val="center"/>
          </w:tcPr>
          <w:p w14:paraId="22CCF40F">
            <w:pPr>
              <w:spacing w:line="440" w:lineRule="exact"/>
              <w:jc w:val="center"/>
              <w:rPr>
                <w:rFonts w:ascii="宋体" w:hAnsi="宋体" w:cs="宋体"/>
                <w:color w:val="auto"/>
                <w:szCs w:val="21"/>
                <w:highlight w:val="none"/>
              </w:rPr>
            </w:pPr>
          </w:p>
        </w:tc>
        <w:tc>
          <w:tcPr>
            <w:tcW w:w="1095" w:type="dxa"/>
            <w:vMerge w:val="continue"/>
            <w:vAlign w:val="center"/>
          </w:tcPr>
          <w:p w14:paraId="335248ED">
            <w:pPr>
              <w:spacing w:line="440" w:lineRule="exact"/>
              <w:jc w:val="center"/>
              <w:rPr>
                <w:rFonts w:ascii="宋体" w:hAnsi="宋体" w:cs="宋体"/>
                <w:color w:val="auto"/>
                <w:szCs w:val="21"/>
                <w:highlight w:val="none"/>
              </w:rPr>
            </w:pPr>
          </w:p>
        </w:tc>
        <w:tc>
          <w:tcPr>
            <w:tcW w:w="2711" w:type="dxa"/>
            <w:vAlign w:val="center"/>
          </w:tcPr>
          <w:p w14:paraId="0DF077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符合《中华人民共和国政府采购法》第二十二条之规定</w:t>
            </w:r>
          </w:p>
        </w:tc>
        <w:tc>
          <w:tcPr>
            <w:tcW w:w="4975" w:type="dxa"/>
            <w:vAlign w:val="center"/>
          </w:tcPr>
          <w:p w14:paraId="5F9516A7">
            <w:pPr>
              <w:spacing w:line="360" w:lineRule="exact"/>
              <w:rPr>
                <w:rFonts w:ascii="宋体" w:hAnsi="宋体" w:cs="宋体"/>
                <w:color w:val="auto"/>
                <w:szCs w:val="21"/>
                <w:highlight w:val="none"/>
              </w:rPr>
            </w:pPr>
            <w:r>
              <w:rPr>
                <w:rFonts w:hint="eastAsia" w:ascii="宋体" w:hAnsi="宋体" w:cs="宋体"/>
                <w:color w:val="auto"/>
                <w:szCs w:val="21"/>
                <w:highlight w:val="none"/>
              </w:rPr>
              <w:t>提供资格承诺函</w:t>
            </w:r>
          </w:p>
        </w:tc>
      </w:tr>
      <w:tr w14:paraId="20E3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095" w:type="dxa"/>
            <w:vMerge w:val="continue"/>
            <w:vAlign w:val="center"/>
          </w:tcPr>
          <w:p w14:paraId="0D3081CD">
            <w:pPr>
              <w:spacing w:line="440" w:lineRule="exact"/>
              <w:jc w:val="center"/>
              <w:rPr>
                <w:rFonts w:ascii="宋体" w:hAnsi="宋体" w:cs="宋体"/>
                <w:color w:val="auto"/>
                <w:szCs w:val="21"/>
                <w:highlight w:val="none"/>
              </w:rPr>
            </w:pPr>
          </w:p>
        </w:tc>
        <w:tc>
          <w:tcPr>
            <w:tcW w:w="1095" w:type="dxa"/>
            <w:vMerge w:val="continue"/>
            <w:vAlign w:val="center"/>
          </w:tcPr>
          <w:p w14:paraId="19D8C92D">
            <w:pPr>
              <w:spacing w:line="440" w:lineRule="exact"/>
              <w:jc w:val="center"/>
              <w:rPr>
                <w:rFonts w:ascii="宋体" w:hAnsi="宋体" w:cs="宋体"/>
                <w:color w:val="auto"/>
                <w:szCs w:val="21"/>
                <w:highlight w:val="none"/>
              </w:rPr>
            </w:pPr>
          </w:p>
        </w:tc>
        <w:tc>
          <w:tcPr>
            <w:tcW w:w="2711" w:type="dxa"/>
            <w:vAlign w:val="center"/>
          </w:tcPr>
          <w:p w14:paraId="4958C3D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法定代表人证明或法人授权委托书</w:t>
            </w:r>
          </w:p>
        </w:tc>
        <w:tc>
          <w:tcPr>
            <w:tcW w:w="4975" w:type="dxa"/>
            <w:vAlign w:val="center"/>
          </w:tcPr>
          <w:p w14:paraId="0A44E8E7">
            <w:pPr>
              <w:spacing w:line="360" w:lineRule="exact"/>
              <w:rPr>
                <w:rFonts w:ascii="宋体" w:hAnsi="宋体" w:cs="宋体"/>
                <w:color w:val="auto"/>
                <w:szCs w:val="21"/>
                <w:highlight w:val="none"/>
              </w:rPr>
            </w:pPr>
            <w:r>
              <w:rPr>
                <w:rFonts w:hint="eastAsia" w:ascii="宋体" w:hAnsi="宋体" w:cs="宋体"/>
                <w:color w:val="auto"/>
                <w:szCs w:val="21"/>
                <w:highlight w:val="none"/>
              </w:rPr>
              <w:t>提供法定代表人（负责人）证明或法人授权委托书</w:t>
            </w:r>
          </w:p>
        </w:tc>
      </w:tr>
      <w:tr w14:paraId="7AB5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exact"/>
        </w:trPr>
        <w:tc>
          <w:tcPr>
            <w:tcW w:w="1095" w:type="dxa"/>
            <w:vMerge w:val="continue"/>
            <w:vAlign w:val="center"/>
          </w:tcPr>
          <w:p w14:paraId="208723A1">
            <w:pPr>
              <w:spacing w:line="440" w:lineRule="exact"/>
              <w:jc w:val="center"/>
              <w:rPr>
                <w:rFonts w:ascii="宋体" w:hAnsi="宋体" w:cs="宋体"/>
                <w:color w:val="auto"/>
                <w:szCs w:val="21"/>
                <w:highlight w:val="none"/>
              </w:rPr>
            </w:pPr>
          </w:p>
        </w:tc>
        <w:tc>
          <w:tcPr>
            <w:tcW w:w="1095" w:type="dxa"/>
            <w:vMerge w:val="continue"/>
            <w:vAlign w:val="center"/>
          </w:tcPr>
          <w:p w14:paraId="4BDA4148">
            <w:pPr>
              <w:spacing w:line="440" w:lineRule="exact"/>
              <w:jc w:val="center"/>
              <w:rPr>
                <w:rFonts w:ascii="宋体" w:hAnsi="宋体" w:cs="宋体"/>
                <w:color w:val="auto"/>
                <w:szCs w:val="21"/>
                <w:highlight w:val="none"/>
              </w:rPr>
            </w:pPr>
          </w:p>
        </w:tc>
        <w:tc>
          <w:tcPr>
            <w:tcW w:w="2711" w:type="dxa"/>
            <w:vAlign w:val="center"/>
          </w:tcPr>
          <w:p w14:paraId="0B7CCE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信誉要求</w:t>
            </w:r>
          </w:p>
        </w:tc>
        <w:tc>
          <w:tcPr>
            <w:tcW w:w="4975" w:type="dxa"/>
            <w:vAlign w:val="center"/>
          </w:tcPr>
          <w:p w14:paraId="6B3BA8A8">
            <w:pPr>
              <w:spacing w:line="360" w:lineRule="exact"/>
              <w:rPr>
                <w:rFonts w:ascii="宋体" w:hAnsi="宋体" w:cs="宋体"/>
                <w:color w:val="auto"/>
                <w:szCs w:val="21"/>
                <w:highlight w:val="none"/>
              </w:rPr>
            </w:pPr>
            <w:r>
              <w:rPr>
                <w:rFonts w:hint="eastAsia" w:ascii="宋体" w:hAnsi="宋体" w:cs="宋体"/>
                <w:color w:val="auto"/>
                <w:szCs w:val="21"/>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p>
        </w:tc>
      </w:tr>
      <w:tr w14:paraId="3705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095" w:type="dxa"/>
            <w:vMerge w:val="continue"/>
            <w:tcBorders>
              <w:bottom w:val="single" w:color="auto" w:sz="4" w:space="0"/>
            </w:tcBorders>
            <w:vAlign w:val="center"/>
          </w:tcPr>
          <w:p w14:paraId="35F151B0">
            <w:pPr>
              <w:spacing w:line="440" w:lineRule="exact"/>
              <w:jc w:val="center"/>
              <w:rPr>
                <w:rFonts w:ascii="宋体" w:hAnsi="宋体" w:cs="宋体"/>
                <w:color w:val="auto"/>
                <w:szCs w:val="21"/>
                <w:highlight w:val="none"/>
              </w:rPr>
            </w:pPr>
          </w:p>
        </w:tc>
        <w:tc>
          <w:tcPr>
            <w:tcW w:w="1095" w:type="dxa"/>
            <w:vMerge w:val="continue"/>
            <w:tcBorders>
              <w:bottom w:val="single" w:color="auto" w:sz="4" w:space="0"/>
            </w:tcBorders>
            <w:vAlign w:val="center"/>
          </w:tcPr>
          <w:p w14:paraId="1B717589">
            <w:pPr>
              <w:spacing w:line="440" w:lineRule="exact"/>
              <w:jc w:val="center"/>
              <w:rPr>
                <w:rFonts w:ascii="宋体" w:hAnsi="宋体" w:cs="宋体"/>
                <w:color w:val="auto"/>
                <w:szCs w:val="21"/>
                <w:highlight w:val="none"/>
              </w:rPr>
            </w:pPr>
          </w:p>
        </w:tc>
        <w:tc>
          <w:tcPr>
            <w:tcW w:w="2711" w:type="dxa"/>
            <w:tcBorders>
              <w:bottom w:val="single" w:color="auto" w:sz="4" w:space="0"/>
            </w:tcBorders>
            <w:vAlign w:val="center"/>
          </w:tcPr>
          <w:p w14:paraId="280B41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4975" w:type="dxa"/>
            <w:tcBorders>
              <w:bottom w:val="single" w:color="auto" w:sz="4" w:space="0"/>
            </w:tcBorders>
            <w:vAlign w:val="center"/>
          </w:tcPr>
          <w:p w14:paraId="5F5A0719">
            <w:pPr>
              <w:spacing w:line="360" w:lineRule="exact"/>
              <w:rPr>
                <w:rFonts w:ascii="宋体" w:hAnsi="宋体" w:cs="宋体"/>
                <w:color w:val="auto"/>
                <w:szCs w:val="21"/>
                <w:highlight w:val="none"/>
              </w:rPr>
            </w:pPr>
            <w:r>
              <w:rPr>
                <w:rFonts w:hint="eastAsia" w:ascii="宋体" w:hAnsi="宋体" w:cs="宋体"/>
                <w:color w:val="auto"/>
                <w:szCs w:val="21"/>
                <w:highlight w:val="none"/>
              </w:rPr>
              <w:t>符合招标文件资格要求的其他要求</w:t>
            </w:r>
          </w:p>
        </w:tc>
      </w:tr>
      <w:tr w14:paraId="0880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095" w:type="dxa"/>
            <w:vMerge w:val="restart"/>
            <w:tcBorders>
              <w:top w:val="single" w:color="auto" w:sz="4" w:space="0"/>
              <w:left w:val="single" w:color="auto" w:sz="4" w:space="0"/>
              <w:bottom w:val="single" w:color="auto" w:sz="4" w:space="0"/>
              <w:right w:val="single" w:color="auto" w:sz="4" w:space="0"/>
            </w:tcBorders>
            <w:vAlign w:val="center"/>
          </w:tcPr>
          <w:p w14:paraId="2D7FBAE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2B1F27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二、形式评审标准</w:t>
            </w:r>
          </w:p>
        </w:tc>
        <w:tc>
          <w:tcPr>
            <w:tcW w:w="2711" w:type="dxa"/>
            <w:tcBorders>
              <w:top w:val="single" w:color="auto" w:sz="4" w:space="0"/>
              <w:left w:val="single" w:color="auto" w:sz="4" w:space="0"/>
              <w:bottom w:val="single" w:color="auto" w:sz="4" w:space="0"/>
              <w:right w:val="single" w:color="auto" w:sz="4" w:space="0"/>
            </w:tcBorders>
            <w:vAlign w:val="center"/>
          </w:tcPr>
          <w:p w14:paraId="4EC3FF4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供应商名称</w:t>
            </w:r>
          </w:p>
        </w:tc>
        <w:tc>
          <w:tcPr>
            <w:tcW w:w="4975" w:type="dxa"/>
            <w:tcBorders>
              <w:top w:val="single" w:color="auto" w:sz="4" w:space="0"/>
              <w:left w:val="single" w:color="auto" w:sz="4" w:space="0"/>
              <w:bottom w:val="single" w:color="auto" w:sz="4" w:space="0"/>
              <w:right w:val="single" w:color="auto" w:sz="4" w:space="0"/>
            </w:tcBorders>
            <w:vAlign w:val="center"/>
          </w:tcPr>
          <w:p w14:paraId="0AF3F0E1">
            <w:pPr>
              <w:spacing w:line="440" w:lineRule="exact"/>
              <w:rPr>
                <w:rFonts w:ascii="宋体" w:hAnsi="宋体" w:cs="宋体"/>
                <w:color w:val="auto"/>
                <w:szCs w:val="21"/>
                <w:highlight w:val="none"/>
              </w:rPr>
            </w:pPr>
            <w:r>
              <w:rPr>
                <w:rFonts w:hint="eastAsia" w:ascii="宋体" w:hAnsi="宋体" w:cs="宋体"/>
                <w:color w:val="auto"/>
                <w:szCs w:val="21"/>
                <w:highlight w:val="none"/>
              </w:rPr>
              <w:t>与营业执照等证件一致</w:t>
            </w:r>
          </w:p>
        </w:tc>
      </w:tr>
      <w:tr w14:paraId="7B06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70E7F718">
            <w:pPr>
              <w:spacing w:line="440" w:lineRule="exact"/>
              <w:jc w:val="center"/>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50D2FEB">
            <w:pPr>
              <w:spacing w:line="440" w:lineRule="exact"/>
              <w:jc w:val="center"/>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718DA4D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投标函签字盖章</w:t>
            </w:r>
          </w:p>
        </w:tc>
        <w:tc>
          <w:tcPr>
            <w:tcW w:w="4975" w:type="dxa"/>
            <w:tcBorders>
              <w:top w:val="single" w:color="auto" w:sz="4" w:space="0"/>
              <w:left w:val="single" w:color="auto" w:sz="4" w:space="0"/>
              <w:bottom w:val="single" w:color="auto" w:sz="4" w:space="0"/>
              <w:right w:val="single" w:color="auto" w:sz="4" w:space="0"/>
            </w:tcBorders>
            <w:vAlign w:val="center"/>
          </w:tcPr>
          <w:p w14:paraId="7E35CE67">
            <w:pPr>
              <w:spacing w:line="440" w:lineRule="exact"/>
              <w:rPr>
                <w:rFonts w:ascii="宋体" w:hAnsi="宋体" w:cs="宋体"/>
                <w:color w:val="auto"/>
                <w:szCs w:val="21"/>
                <w:highlight w:val="none"/>
              </w:rPr>
            </w:pPr>
            <w:r>
              <w:rPr>
                <w:rFonts w:hint="eastAsia" w:ascii="宋体" w:hAnsi="宋体" w:cs="宋体"/>
                <w:color w:val="auto"/>
                <w:szCs w:val="21"/>
                <w:highlight w:val="none"/>
              </w:rPr>
              <w:t>加盖单位公章并有法定代表人或其委托代理人签字或盖章</w:t>
            </w:r>
          </w:p>
        </w:tc>
      </w:tr>
      <w:tr w14:paraId="7984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4988245E">
            <w:pPr>
              <w:spacing w:line="440" w:lineRule="exact"/>
              <w:jc w:val="center"/>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777821B">
            <w:pPr>
              <w:spacing w:line="440" w:lineRule="exact"/>
              <w:jc w:val="center"/>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6A04116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4975" w:type="dxa"/>
            <w:tcBorders>
              <w:top w:val="single" w:color="auto" w:sz="4" w:space="0"/>
              <w:left w:val="single" w:color="auto" w:sz="4" w:space="0"/>
              <w:bottom w:val="single" w:color="auto" w:sz="4" w:space="0"/>
              <w:right w:val="single" w:color="auto" w:sz="4" w:space="0"/>
            </w:tcBorders>
            <w:vAlign w:val="center"/>
          </w:tcPr>
          <w:p w14:paraId="7E7D2985">
            <w:pPr>
              <w:spacing w:line="360" w:lineRule="exact"/>
              <w:rPr>
                <w:rFonts w:ascii="宋体" w:hAnsi="宋体" w:cs="宋体"/>
                <w:color w:val="auto"/>
                <w:szCs w:val="21"/>
                <w:highlight w:val="none"/>
              </w:rPr>
            </w:pPr>
            <w:r>
              <w:rPr>
                <w:rFonts w:hint="eastAsia" w:ascii="宋体" w:hAnsi="宋体" w:cs="宋体"/>
                <w:color w:val="auto"/>
                <w:szCs w:val="21"/>
                <w:highlight w:val="none"/>
              </w:rPr>
              <w:t>符合招标文件格式要求</w:t>
            </w:r>
          </w:p>
        </w:tc>
      </w:tr>
      <w:tr w14:paraId="0AF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6C1E6422">
            <w:pPr>
              <w:spacing w:line="440" w:lineRule="exact"/>
              <w:jc w:val="center"/>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83FFF11">
            <w:pPr>
              <w:spacing w:line="440" w:lineRule="exact"/>
              <w:jc w:val="center"/>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375350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报价唯一</w:t>
            </w:r>
          </w:p>
        </w:tc>
        <w:tc>
          <w:tcPr>
            <w:tcW w:w="4975" w:type="dxa"/>
            <w:tcBorders>
              <w:top w:val="single" w:color="auto" w:sz="4" w:space="0"/>
              <w:left w:val="single" w:color="auto" w:sz="4" w:space="0"/>
              <w:bottom w:val="single" w:color="auto" w:sz="4" w:space="0"/>
              <w:right w:val="single" w:color="auto" w:sz="4" w:space="0"/>
            </w:tcBorders>
            <w:vAlign w:val="center"/>
          </w:tcPr>
          <w:p w14:paraId="3B276195">
            <w:pPr>
              <w:spacing w:line="440" w:lineRule="exact"/>
              <w:rPr>
                <w:rFonts w:ascii="宋体" w:hAnsi="宋体" w:cs="宋体"/>
                <w:color w:val="auto"/>
                <w:szCs w:val="21"/>
                <w:highlight w:val="none"/>
              </w:rPr>
            </w:pPr>
            <w:r>
              <w:rPr>
                <w:rFonts w:hint="eastAsia" w:ascii="宋体" w:hAnsi="宋体" w:cs="宋体"/>
                <w:color w:val="auto"/>
                <w:szCs w:val="21"/>
                <w:highlight w:val="none"/>
              </w:rPr>
              <w:t>只能有一个有效报价</w:t>
            </w:r>
          </w:p>
        </w:tc>
      </w:tr>
      <w:tr w14:paraId="66E3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E53E839">
            <w:pPr>
              <w:spacing w:line="440" w:lineRule="exact"/>
              <w:jc w:val="center"/>
              <w:rPr>
                <w:rFonts w:ascii="宋体" w:hAnsi="宋体" w:cs="宋体"/>
                <w:color w:val="auto"/>
                <w:szCs w:val="21"/>
                <w:highlight w:val="none"/>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4C78CC1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三、响应性评审标准</w:t>
            </w:r>
          </w:p>
        </w:tc>
        <w:tc>
          <w:tcPr>
            <w:tcW w:w="2711" w:type="dxa"/>
            <w:tcBorders>
              <w:top w:val="single" w:color="auto" w:sz="4" w:space="0"/>
              <w:left w:val="single" w:color="auto" w:sz="4" w:space="0"/>
              <w:bottom w:val="single" w:color="auto" w:sz="4" w:space="0"/>
              <w:right w:val="single" w:color="auto" w:sz="4" w:space="0"/>
            </w:tcBorders>
            <w:vAlign w:val="center"/>
          </w:tcPr>
          <w:p w14:paraId="211C7587">
            <w:pPr>
              <w:spacing w:line="440" w:lineRule="exact"/>
              <w:jc w:val="center"/>
              <w:rPr>
                <w:rFonts w:ascii="宋体" w:hAnsi="宋体" w:cs="宋体"/>
                <w:color w:val="auto"/>
                <w:szCs w:val="21"/>
                <w:highlight w:val="none"/>
              </w:rPr>
            </w:pPr>
            <w:r>
              <w:rPr>
                <w:rFonts w:hint="eastAsia" w:ascii="宋体" w:hAnsi="宋体" w:cs="宋体"/>
                <w:bCs/>
                <w:iCs/>
                <w:color w:val="auto"/>
                <w:szCs w:val="21"/>
                <w:highlight w:val="none"/>
                <w:lang w:val="en-US" w:eastAsia="zh-CN"/>
              </w:rPr>
              <w:t>合同履行期限</w:t>
            </w:r>
          </w:p>
        </w:tc>
        <w:tc>
          <w:tcPr>
            <w:tcW w:w="4975" w:type="dxa"/>
            <w:tcBorders>
              <w:top w:val="single" w:color="auto" w:sz="4" w:space="0"/>
              <w:left w:val="single" w:color="auto" w:sz="4" w:space="0"/>
              <w:bottom w:val="single" w:color="auto" w:sz="4" w:space="0"/>
              <w:right w:val="single" w:color="auto" w:sz="4" w:space="0"/>
            </w:tcBorders>
            <w:vAlign w:val="center"/>
          </w:tcPr>
          <w:p w14:paraId="126EB8C0">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合同签订后30日历天 </w:t>
            </w:r>
          </w:p>
        </w:tc>
      </w:tr>
      <w:tr w14:paraId="2D07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423A8F19">
            <w:pPr>
              <w:spacing w:line="440" w:lineRule="exact"/>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72DB2E39">
            <w:pPr>
              <w:spacing w:line="440" w:lineRule="exact"/>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307D4FB2">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要求</w:t>
            </w:r>
          </w:p>
        </w:tc>
        <w:tc>
          <w:tcPr>
            <w:tcW w:w="4975" w:type="dxa"/>
            <w:tcBorders>
              <w:top w:val="single" w:color="auto" w:sz="4" w:space="0"/>
              <w:left w:val="single" w:color="auto" w:sz="4" w:space="0"/>
              <w:bottom w:val="single" w:color="auto" w:sz="4" w:space="0"/>
              <w:right w:val="single" w:color="auto" w:sz="4" w:space="0"/>
            </w:tcBorders>
            <w:vAlign w:val="center"/>
          </w:tcPr>
          <w:p w14:paraId="0E7006B4">
            <w:pPr>
              <w:spacing w:line="440" w:lineRule="exact"/>
              <w:rPr>
                <w:rFonts w:ascii="宋体" w:hAnsi="宋体" w:cs="宋体"/>
                <w:color w:val="auto"/>
                <w:szCs w:val="21"/>
                <w:highlight w:val="none"/>
              </w:rPr>
            </w:pPr>
            <w:r>
              <w:rPr>
                <w:rFonts w:hint="eastAsia" w:ascii="宋体" w:hAnsi="宋体" w:cs="宋体"/>
                <w:color w:val="auto"/>
                <w:szCs w:val="21"/>
                <w:highlight w:val="none"/>
              </w:rPr>
              <w:t>合格，符合国家及行业规范标准</w:t>
            </w:r>
          </w:p>
        </w:tc>
      </w:tr>
      <w:tr w14:paraId="485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3ACE69E7">
            <w:pPr>
              <w:spacing w:line="440" w:lineRule="exact"/>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3BCD0021">
            <w:pPr>
              <w:spacing w:line="440" w:lineRule="exact"/>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59BCED0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商务报价</w:t>
            </w:r>
          </w:p>
        </w:tc>
        <w:tc>
          <w:tcPr>
            <w:tcW w:w="4975" w:type="dxa"/>
            <w:tcBorders>
              <w:top w:val="single" w:color="auto" w:sz="4" w:space="0"/>
              <w:left w:val="single" w:color="auto" w:sz="4" w:space="0"/>
              <w:bottom w:val="single" w:color="auto" w:sz="4" w:space="0"/>
              <w:right w:val="single" w:color="auto" w:sz="4" w:space="0"/>
            </w:tcBorders>
            <w:vAlign w:val="center"/>
          </w:tcPr>
          <w:p w14:paraId="7EBDCDDD">
            <w:pPr>
              <w:spacing w:line="360" w:lineRule="exact"/>
              <w:rPr>
                <w:rFonts w:ascii="宋体" w:hAnsi="宋体" w:cs="宋体"/>
                <w:color w:val="auto"/>
                <w:szCs w:val="21"/>
                <w:highlight w:val="none"/>
              </w:rPr>
            </w:pPr>
            <w:r>
              <w:rPr>
                <w:rFonts w:hint="eastAsia" w:ascii="宋体" w:hAnsi="宋体" w:cs="宋体"/>
                <w:color w:val="auto"/>
                <w:szCs w:val="21"/>
                <w:highlight w:val="none"/>
              </w:rPr>
              <w:t>只能有一个有效报价，且不能超过招标控制价</w:t>
            </w:r>
          </w:p>
        </w:tc>
      </w:tr>
      <w:tr w14:paraId="7EA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57ECAB68">
            <w:pPr>
              <w:spacing w:line="440" w:lineRule="exact"/>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67CDDA70">
            <w:pPr>
              <w:spacing w:line="440" w:lineRule="exact"/>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06FF3D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4975" w:type="dxa"/>
            <w:tcBorders>
              <w:top w:val="single" w:color="auto" w:sz="4" w:space="0"/>
              <w:left w:val="single" w:color="auto" w:sz="4" w:space="0"/>
              <w:bottom w:val="single" w:color="auto" w:sz="4" w:space="0"/>
              <w:right w:val="single" w:color="auto" w:sz="4" w:space="0"/>
            </w:tcBorders>
            <w:vAlign w:val="center"/>
          </w:tcPr>
          <w:p w14:paraId="29C2F0B4">
            <w:pPr>
              <w:spacing w:line="440" w:lineRule="exact"/>
              <w:rPr>
                <w:rFonts w:ascii="宋体" w:hAnsi="宋体" w:cs="宋体"/>
                <w:color w:val="auto"/>
                <w:szCs w:val="21"/>
                <w:highlight w:val="none"/>
              </w:rPr>
            </w:pPr>
            <w:r>
              <w:rPr>
                <w:rFonts w:hint="eastAsia" w:ascii="宋体" w:hAnsi="宋体" w:cs="宋体"/>
                <w:color w:val="auto"/>
                <w:szCs w:val="21"/>
                <w:highlight w:val="none"/>
              </w:rPr>
              <w:t>60日历天（从投标截止之日算起）</w:t>
            </w:r>
          </w:p>
        </w:tc>
      </w:tr>
      <w:tr w14:paraId="2597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4FA41514">
            <w:pPr>
              <w:spacing w:line="440" w:lineRule="exact"/>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7E83F825">
            <w:pPr>
              <w:spacing w:line="440" w:lineRule="exact"/>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7F2553A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权利义务</w:t>
            </w:r>
          </w:p>
        </w:tc>
        <w:tc>
          <w:tcPr>
            <w:tcW w:w="4975" w:type="dxa"/>
            <w:tcBorders>
              <w:top w:val="single" w:color="auto" w:sz="4" w:space="0"/>
              <w:left w:val="single" w:color="auto" w:sz="4" w:space="0"/>
              <w:bottom w:val="single" w:color="auto" w:sz="4" w:space="0"/>
              <w:right w:val="single" w:color="auto" w:sz="4" w:space="0"/>
            </w:tcBorders>
            <w:vAlign w:val="center"/>
          </w:tcPr>
          <w:p w14:paraId="57C18E7A">
            <w:pPr>
              <w:spacing w:line="440" w:lineRule="exact"/>
              <w:rPr>
                <w:rFonts w:ascii="宋体" w:hAnsi="宋体" w:cs="宋体"/>
                <w:color w:val="auto"/>
                <w:szCs w:val="21"/>
                <w:highlight w:val="none"/>
              </w:rPr>
            </w:pPr>
            <w:r>
              <w:rPr>
                <w:rFonts w:hint="eastAsia" w:ascii="宋体" w:hAnsi="宋体" w:cs="宋体"/>
                <w:color w:val="auto"/>
                <w:szCs w:val="21"/>
                <w:highlight w:val="none"/>
              </w:rPr>
              <w:t>符合招标文件第四章“合同条款及格式”规定</w:t>
            </w:r>
          </w:p>
        </w:tc>
      </w:tr>
      <w:tr w14:paraId="6E5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02D2A04B">
            <w:pPr>
              <w:spacing w:line="440" w:lineRule="exact"/>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12B2C743">
            <w:pPr>
              <w:spacing w:line="440" w:lineRule="exact"/>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601EF9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技术标准和要求</w:t>
            </w:r>
          </w:p>
        </w:tc>
        <w:tc>
          <w:tcPr>
            <w:tcW w:w="4975" w:type="dxa"/>
            <w:tcBorders>
              <w:top w:val="single" w:color="auto" w:sz="4" w:space="0"/>
              <w:left w:val="single" w:color="auto" w:sz="4" w:space="0"/>
              <w:bottom w:val="single" w:color="auto" w:sz="4" w:space="0"/>
              <w:right w:val="single" w:color="auto" w:sz="4" w:space="0"/>
            </w:tcBorders>
            <w:vAlign w:val="center"/>
          </w:tcPr>
          <w:p w14:paraId="47A8097D">
            <w:pPr>
              <w:spacing w:line="440" w:lineRule="exact"/>
              <w:rPr>
                <w:rFonts w:ascii="宋体" w:hAnsi="宋体" w:cs="宋体"/>
                <w:color w:val="auto"/>
                <w:szCs w:val="21"/>
                <w:highlight w:val="none"/>
              </w:rPr>
            </w:pPr>
            <w:r>
              <w:rPr>
                <w:rFonts w:hint="eastAsia" w:ascii="宋体" w:hAnsi="宋体" w:cs="宋体"/>
                <w:color w:val="auto"/>
                <w:szCs w:val="21"/>
                <w:highlight w:val="none"/>
              </w:rPr>
              <w:t>符合“采购内容及要求”规定，若不符合技术标准和要求规定，将不再进行评审</w:t>
            </w:r>
          </w:p>
        </w:tc>
      </w:tr>
      <w:tr w14:paraId="67DA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7EC98948">
            <w:pPr>
              <w:spacing w:line="440" w:lineRule="exact"/>
              <w:rPr>
                <w:rFonts w:ascii="宋体" w:hAnsi="宋体" w:cs="宋体"/>
                <w:color w:val="auto"/>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0D317922">
            <w:pPr>
              <w:spacing w:line="440" w:lineRule="exact"/>
              <w:rPr>
                <w:rFonts w:ascii="宋体" w:hAnsi="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vAlign w:val="center"/>
          </w:tcPr>
          <w:p w14:paraId="171B379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投标文件的其他响应</w:t>
            </w:r>
          </w:p>
        </w:tc>
        <w:tc>
          <w:tcPr>
            <w:tcW w:w="4975" w:type="dxa"/>
            <w:tcBorders>
              <w:top w:val="single" w:color="auto" w:sz="4" w:space="0"/>
              <w:left w:val="single" w:color="auto" w:sz="4" w:space="0"/>
              <w:bottom w:val="single" w:color="auto" w:sz="4" w:space="0"/>
              <w:right w:val="single" w:color="auto" w:sz="4" w:space="0"/>
            </w:tcBorders>
            <w:vAlign w:val="center"/>
          </w:tcPr>
          <w:p w14:paraId="432C4F71">
            <w:pPr>
              <w:spacing w:line="360" w:lineRule="exact"/>
              <w:rPr>
                <w:rFonts w:ascii="宋体" w:hAnsi="宋体" w:cs="宋体"/>
                <w:color w:val="auto"/>
                <w:szCs w:val="21"/>
                <w:highlight w:val="none"/>
              </w:rPr>
            </w:pPr>
            <w:r>
              <w:rPr>
                <w:rFonts w:hint="eastAsia" w:ascii="宋体" w:hAnsi="宋体" w:cs="宋体"/>
                <w:color w:val="auto"/>
                <w:szCs w:val="21"/>
                <w:highlight w:val="none"/>
              </w:rPr>
              <w:t>符合法律、法规和招标文件中规定的其他实质性要求的</w:t>
            </w:r>
          </w:p>
        </w:tc>
      </w:tr>
    </w:tbl>
    <w:p w14:paraId="3D71F777">
      <w:pPr>
        <w:widowControl/>
        <w:jc w:val="center"/>
        <w:rPr>
          <w:rFonts w:hint="eastAsia" w:ascii="宋体" w:hAnsi="宋体" w:cs="宋体"/>
          <w:b/>
          <w:color w:val="auto"/>
          <w:sz w:val="24"/>
          <w:highlight w:val="none"/>
        </w:rPr>
      </w:pPr>
    </w:p>
    <w:p w14:paraId="78E08C86">
      <w:pPr>
        <w:widowControl/>
        <w:jc w:val="center"/>
        <w:rPr>
          <w:rFonts w:ascii="宋体" w:hAnsi="宋体" w:cs="宋体"/>
          <w:color w:val="auto"/>
          <w:sz w:val="24"/>
          <w:highlight w:val="none"/>
        </w:rPr>
      </w:pPr>
      <w:r>
        <w:rPr>
          <w:rFonts w:hint="eastAsia" w:ascii="宋体" w:hAnsi="宋体" w:cs="宋体"/>
          <w:b/>
          <w:color w:val="auto"/>
          <w:sz w:val="24"/>
          <w:highlight w:val="none"/>
        </w:rPr>
        <w:t>评分标准</w:t>
      </w:r>
    </w:p>
    <w:tbl>
      <w:tblPr>
        <w:tblStyle w:val="21"/>
        <w:tblW w:w="10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893"/>
        <w:gridCol w:w="1159"/>
        <w:gridCol w:w="1060"/>
        <w:gridCol w:w="6279"/>
      </w:tblGrid>
      <w:tr w14:paraId="6ACB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678" w:type="dxa"/>
            <w:vAlign w:val="center"/>
          </w:tcPr>
          <w:p w14:paraId="63A5C2B7">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93" w:type="dxa"/>
            <w:vAlign w:val="center"/>
          </w:tcPr>
          <w:p w14:paraId="6AEE1226">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159" w:type="dxa"/>
            <w:vAlign w:val="center"/>
          </w:tcPr>
          <w:p w14:paraId="4810B5AD">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评标因素</w:t>
            </w:r>
          </w:p>
        </w:tc>
        <w:tc>
          <w:tcPr>
            <w:tcW w:w="1060" w:type="dxa"/>
            <w:vAlign w:val="center"/>
          </w:tcPr>
          <w:p w14:paraId="54AE372F">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279" w:type="dxa"/>
            <w:vAlign w:val="center"/>
          </w:tcPr>
          <w:p w14:paraId="26144ECC">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197C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78" w:type="dxa"/>
            <w:vAlign w:val="center"/>
          </w:tcPr>
          <w:p w14:paraId="57B7D13F">
            <w:pPr>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1</w:t>
            </w:r>
          </w:p>
        </w:tc>
        <w:tc>
          <w:tcPr>
            <w:tcW w:w="893" w:type="dxa"/>
            <w:vAlign w:val="center"/>
          </w:tcPr>
          <w:p w14:paraId="48FBCE2E">
            <w:pPr>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59" w:type="dxa"/>
            <w:vAlign w:val="center"/>
          </w:tcPr>
          <w:p w14:paraId="5386D9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060" w:type="dxa"/>
            <w:vAlign w:val="center"/>
          </w:tcPr>
          <w:p w14:paraId="14A95D93">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279" w:type="dxa"/>
            <w:vAlign w:val="center"/>
          </w:tcPr>
          <w:p w14:paraId="7BAA946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投标报价分采用低价优先法计算，即满足招标文件要求且投标报价</w:t>
            </w:r>
          </w:p>
          <w:p w14:paraId="765E20B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最低的为评审基准价，其价格分为满分（即</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分）。其他投标人</w:t>
            </w:r>
          </w:p>
          <w:p w14:paraId="53A3D59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的价格分统一按照下列公式计算：</w:t>
            </w:r>
          </w:p>
          <w:p w14:paraId="793CF5D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报价得分=(评标基准价／投标报价)×价格权值（</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214DB2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注：以上计算过程中按四舍五入保留两位小数。</w:t>
            </w:r>
          </w:p>
          <w:p w14:paraId="2511EC08">
            <w:pPr>
              <w:numPr>
                <w:ilvl w:val="0"/>
                <w:numId w:val="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1406E23">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对小型或微型企业投标的扶持：（如有）</w:t>
            </w:r>
          </w:p>
          <w:p w14:paraId="339B3EE0">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2.1投标供应商为小型或微型企业时，报价给予C1的价格扣除（C1的取值为</w:t>
            </w:r>
            <w:r>
              <w:rPr>
                <w:rFonts w:hint="eastAsia" w:ascii="宋体" w:hAnsi="宋体" w:eastAsia="宋体" w:cs="宋体"/>
                <w:color w:val="auto"/>
                <w:spacing w:val="0"/>
                <w:sz w:val="21"/>
                <w:szCs w:val="21"/>
                <w:highlight w:val="none"/>
                <w:lang w:val="en-US" w:eastAsia="zh-CN"/>
              </w:rPr>
              <w:t>20</w:t>
            </w:r>
            <w:r>
              <w:rPr>
                <w:rFonts w:hint="eastAsia" w:ascii="宋体" w:hAnsi="宋体" w:eastAsia="宋体" w:cs="宋体"/>
                <w:color w:val="auto"/>
                <w:spacing w:val="0"/>
                <w:sz w:val="21"/>
                <w:szCs w:val="21"/>
                <w:highlight w:val="none"/>
              </w:rPr>
              <w:t>%），即：评标价＝投标报价（最后报价）×(1－C1）；</w:t>
            </w:r>
          </w:p>
          <w:p w14:paraId="51664D40">
            <w:pPr>
              <w:widowControl/>
              <w:spacing w:line="400" w:lineRule="exact"/>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小微企业应当提供《中小企业声明函》（见格式）。</w:t>
            </w:r>
          </w:p>
          <w:p w14:paraId="4347AF2F">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2.2按照《政府采购促进中小企业发展管理办法》有关规定，中小企业的标准为：</w:t>
            </w:r>
          </w:p>
          <w:p w14:paraId="1EB3CAE6">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2.2.1提供本企业制造的货物、承担的工程或者服务，或者提供其他中小企业制造的货物，不包括提供或使用大型企业注册商标的货物；</w:t>
            </w:r>
          </w:p>
          <w:p w14:paraId="41E14E69">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2.2.2本规定所称中小企业划分标准，是指国务院有关部门根据企业从业人员、营业收入、资产总额等指标制定的中小企业划型标准（工信部联企业[2011]300号）；</w:t>
            </w:r>
          </w:p>
          <w:p w14:paraId="5D1D6CBB">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2.2.3小型、微型企业提供有中型企业制造的货物的，视同为中型企业；小型、微型、中型企业提供有大型企业制造的货物的，视同为大型企业。</w:t>
            </w:r>
          </w:p>
          <w:p w14:paraId="62CBA38E">
            <w:pPr>
              <w:widowControl/>
              <w:spacing w:line="400" w:lineRule="exact"/>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w:t>
            </w:r>
            <w:r>
              <w:rPr>
                <w:rFonts w:hint="eastAsia" w:ascii="宋体" w:hAnsi="宋体" w:eastAsia="宋体" w:cs="宋体"/>
                <w:color w:val="auto"/>
                <w:spacing w:val="0"/>
                <w:sz w:val="21"/>
                <w:szCs w:val="21"/>
                <w:highlight w:val="none"/>
                <w:lang w:val="en-US" w:eastAsia="zh-CN"/>
              </w:rPr>
              <w:t>20</w:t>
            </w:r>
            <w:r>
              <w:rPr>
                <w:rFonts w:hint="eastAsia" w:ascii="宋体" w:hAnsi="宋体" w:eastAsia="宋体" w:cs="宋体"/>
                <w:color w:val="auto"/>
                <w:spacing w:val="0"/>
                <w:sz w:val="21"/>
                <w:szCs w:val="21"/>
                <w:highlight w:val="none"/>
              </w:rPr>
              <w:t>%的扣除。</w:t>
            </w:r>
          </w:p>
          <w:p w14:paraId="3134E4E8">
            <w:pPr>
              <w:numPr>
                <w:ilvl w:val="0"/>
                <w:numId w:val="6"/>
              </w:numP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同一投标人，小微企业、监狱、残疾人福利性企业同一产品价格扣除优惠只享受一次，不得重复享受。</w:t>
            </w:r>
          </w:p>
        </w:tc>
      </w:tr>
      <w:tr w14:paraId="3BF3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678" w:type="dxa"/>
            <w:vMerge w:val="restart"/>
            <w:vAlign w:val="center"/>
          </w:tcPr>
          <w:p w14:paraId="73497C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93" w:type="dxa"/>
            <w:vMerge w:val="restart"/>
            <w:vAlign w:val="center"/>
          </w:tcPr>
          <w:p w14:paraId="0D131E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2219" w:type="dxa"/>
            <w:gridSpan w:val="2"/>
            <w:vAlign w:val="center"/>
          </w:tcPr>
          <w:p w14:paraId="121BC1C2">
            <w:pPr>
              <w:keepNext w:val="0"/>
              <w:keepLines w:val="0"/>
              <w:widowControl/>
              <w:suppressLineNumbers w:val="0"/>
              <w:jc w:val="center"/>
              <w:rPr>
                <w:rFonts w:hint="eastAsia" w:ascii="宋体" w:hAnsi="宋体" w:cs="宋体"/>
                <w:color w:val="auto"/>
                <w:kern w:val="0"/>
                <w:sz w:val="21"/>
                <w:szCs w:val="21"/>
                <w:lang w:val="en-US" w:eastAsia="zh-CN" w:bidi="ar"/>
              </w:rPr>
            </w:pPr>
          </w:p>
          <w:p w14:paraId="6BF89A57">
            <w:pPr>
              <w:pStyle w:val="39"/>
              <w:spacing w:before="78" w:line="220" w:lineRule="auto"/>
              <w:ind w:left="19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项目建设背景理解</w:t>
            </w:r>
          </w:p>
          <w:p w14:paraId="246D863E">
            <w:pPr>
              <w:pStyle w:val="39"/>
              <w:spacing w:before="180" w:line="220" w:lineRule="auto"/>
              <w:ind w:left="189"/>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和需求分析</w:t>
            </w:r>
          </w:p>
          <w:p w14:paraId="5F63D7BE">
            <w:pPr>
              <w:pStyle w:val="39"/>
              <w:spacing w:before="180" w:line="220" w:lineRule="auto"/>
              <w:ind w:left="189"/>
              <w:jc w:val="center"/>
              <w:rPr>
                <w:rFonts w:hint="eastAsia" w:ascii="宋体" w:hAnsi="宋体" w:cs="宋体"/>
                <w:color w:val="auto"/>
                <w:sz w:val="21"/>
                <w:szCs w:val="21"/>
                <w:highlight w:val="none"/>
                <w:lang w:val="en-US" w:eastAsia="zh-CN"/>
              </w:rPr>
            </w:pPr>
            <w:r>
              <w:rPr>
                <w:rFonts w:hint="eastAsia" w:ascii="宋体" w:hAnsi="宋体" w:cs="宋体"/>
                <w:color w:val="auto"/>
                <w:kern w:val="0"/>
                <w:sz w:val="21"/>
                <w:szCs w:val="21"/>
                <w:lang w:val="en-US" w:eastAsia="zh-CN" w:bidi="ar"/>
              </w:rPr>
              <w:t>（</w:t>
            </w:r>
            <w:r>
              <w:rPr>
                <w:rFonts w:hint="eastAsia" w:cs="宋体"/>
                <w:color w:val="auto"/>
                <w:kern w:val="0"/>
                <w:sz w:val="21"/>
                <w:szCs w:val="21"/>
                <w:lang w:val="en-US" w:eastAsia="zh-CN" w:bidi="ar"/>
              </w:rPr>
              <w:t>7</w:t>
            </w:r>
            <w:r>
              <w:rPr>
                <w:rFonts w:hint="eastAsia" w:ascii="宋体" w:hAnsi="宋体" w:cs="宋体"/>
                <w:color w:val="auto"/>
                <w:kern w:val="0"/>
                <w:sz w:val="21"/>
                <w:szCs w:val="21"/>
                <w:lang w:val="en-US" w:eastAsia="zh-CN" w:bidi="ar"/>
              </w:rPr>
              <w:t>分）</w:t>
            </w:r>
          </w:p>
        </w:tc>
        <w:tc>
          <w:tcPr>
            <w:tcW w:w="6279" w:type="dxa"/>
            <w:vAlign w:val="center"/>
          </w:tcPr>
          <w:p w14:paraId="00728A17">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根据供应商对项目建设背景理解内容的全面性，分析具体程度，是否响应建设目标要求进行评审：</w:t>
            </w:r>
          </w:p>
          <w:p w14:paraId="44C482A6">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1.对项目建设背景理解全面、需求分析准确度高的得7分；</w:t>
            </w:r>
          </w:p>
          <w:p w14:paraId="44C53BB8">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2.对项目建设背景理解比较全面、需求分析准确度一般的得4分；</w:t>
            </w:r>
          </w:p>
          <w:p w14:paraId="5B5FC0BD">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3.对项目建设背景理解不太全面、需求分析准确度较低的得1分；</w:t>
            </w:r>
          </w:p>
          <w:p w14:paraId="026B0737">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4.未提供者不得分。</w:t>
            </w:r>
          </w:p>
        </w:tc>
      </w:tr>
      <w:tr w14:paraId="3FD6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678" w:type="dxa"/>
            <w:vMerge w:val="continue"/>
            <w:vAlign w:val="center"/>
          </w:tcPr>
          <w:p w14:paraId="7D00C4CD">
            <w:pPr>
              <w:jc w:val="center"/>
              <w:rPr>
                <w:rFonts w:hint="eastAsia" w:ascii="宋体" w:hAnsi="宋体" w:eastAsia="宋体" w:cs="宋体"/>
                <w:color w:val="auto"/>
                <w:sz w:val="21"/>
                <w:szCs w:val="21"/>
                <w:highlight w:val="none"/>
              </w:rPr>
            </w:pPr>
          </w:p>
        </w:tc>
        <w:tc>
          <w:tcPr>
            <w:tcW w:w="893" w:type="dxa"/>
            <w:vMerge w:val="continue"/>
            <w:vAlign w:val="center"/>
          </w:tcPr>
          <w:p w14:paraId="2E4D4173">
            <w:pPr>
              <w:jc w:val="center"/>
              <w:rPr>
                <w:rFonts w:hint="eastAsia" w:ascii="宋体" w:hAnsi="宋体" w:eastAsia="宋体" w:cs="宋体"/>
                <w:color w:val="auto"/>
                <w:sz w:val="21"/>
                <w:szCs w:val="21"/>
                <w:highlight w:val="none"/>
              </w:rPr>
            </w:pPr>
          </w:p>
        </w:tc>
        <w:tc>
          <w:tcPr>
            <w:tcW w:w="2219" w:type="dxa"/>
            <w:gridSpan w:val="2"/>
            <w:vAlign w:val="center"/>
          </w:tcPr>
          <w:p w14:paraId="3C059F2E">
            <w:pPr>
              <w:pStyle w:val="20"/>
              <w:ind w:firstLine="0" w:firstLineChars="0"/>
              <w:jc w:val="both"/>
              <w:rPr>
                <w:rFonts w:hint="eastAsia" w:ascii="宋体" w:hAnsi="宋体" w:eastAsia="宋体" w:cs="宋体"/>
                <w:color w:val="auto"/>
                <w:sz w:val="21"/>
                <w:szCs w:val="21"/>
                <w:highlight w:val="none"/>
                <w:lang w:val="en-US" w:eastAsia="zh-CN"/>
              </w:rPr>
            </w:pPr>
          </w:p>
          <w:p w14:paraId="20F4E9D0">
            <w:pPr>
              <w:pStyle w:val="20"/>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服务方案</w:t>
            </w:r>
          </w:p>
          <w:p w14:paraId="368D2EEF">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c>
          <w:tcPr>
            <w:tcW w:w="6279" w:type="dxa"/>
            <w:vAlign w:val="center"/>
          </w:tcPr>
          <w:p w14:paraId="5AFBF5A7">
            <w:pPr>
              <w:keepNext w:val="0"/>
              <w:keepLines w:val="0"/>
              <w:widowControl/>
              <w:numPr>
                <w:ilvl w:val="0"/>
                <w:numId w:val="0"/>
              </w:numPr>
              <w:suppressLineNumbers w:val="0"/>
              <w:jc w:val="left"/>
              <w:rPr>
                <w:color w:val="auto"/>
                <w:sz w:val="21"/>
                <w:szCs w:val="21"/>
              </w:rPr>
            </w:pPr>
            <w:r>
              <w:rPr>
                <w:rFonts w:hint="eastAsia" w:ascii="宋体" w:hAnsi="宋体" w:cs="宋体"/>
                <w:color w:val="auto"/>
                <w:kern w:val="0"/>
                <w:sz w:val="21"/>
                <w:szCs w:val="21"/>
                <w:lang w:val="en-US" w:eastAsia="zh-CN" w:bidi="ar"/>
              </w:rPr>
              <w:t>1.</w:t>
            </w:r>
            <w:r>
              <w:rPr>
                <w:rFonts w:hint="eastAsia" w:ascii="宋体" w:hAnsi="宋体" w:cs="宋体"/>
                <w:color w:val="auto"/>
                <w:sz w:val="21"/>
                <w:szCs w:val="21"/>
                <w:highlight w:val="none"/>
                <w:lang w:val="en-US" w:eastAsia="zh-CN"/>
              </w:rPr>
              <w:t>投标人提供的</w:t>
            </w:r>
            <w:r>
              <w:rPr>
                <w:rFonts w:hint="eastAsia" w:ascii="宋体" w:hAnsi="宋体" w:cs="宋体"/>
                <w:color w:val="auto"/>
                <w:kern w:val="0"/>
                <w:sz w:val="21"/>
                <w:szCs w:val="21"/>
                <w:lang w:val="en-US" w:eastAsia="zh-CN" w:bidi="ar"/>
              </w:rPr>
              <w:t>服务方案</w:t>
            </w:r>
            <w:r>
              <w:rPr>
                <w:rFonts w:hint="eastAsia" w:ascii="宋体" w:hAnsi="宋体" w:eastAsia="宋体" w:cs="宋体"/>
                <w:color w:val="auto"/>
                <w:kern w:val="0"/>
                <w:sz w:val="21"/>
                <w:szCs w:val="21"/>
                <w:lang w:val="en-US" w:eastAsia="zh-CN" w:bidi="ar"/>
              </w:rPr>
              <w:t>内容能够针对各个建设模块且针对性强，</w:t>
            </w:r>
            <w:r>
              <w:rPr>
                <w:rFonts w:hint="eastAsia" w:ascii="宋体" w:hAnsi="宋体" w:cs="宋体"/>
                <w:color w:val="auto"/>
                <w:kern w:val="0"/>
                <w:sz w:val="21"/>
                <w:szCs w:val="21"/>
                <w:lang w:val="en-US" w:eastAsia="zh-CN" w:bidi="ar"/>
              </w:rPr>
              <w:t>服务方案</w:t>
            </w:r>
            <w:r>
              <w:rPr>
                <w:rFonts w:hint="eastAsia" w:ascii="宋体" w:hAnsi="宋体" w:eastAsia="宋体" w:cs="宋体"/>
                <w:color w:val="auto"/>
                <w:kern w:val="0"/>
                <w:sz w:val="21"/>
                <w:szCs w:val="21"/>
                <w:lang w:val="en-US" w:eastAsia="zh-CN" w:bidi="ar"/>
              </w:rPr>
              <w:t xml:space="preserve">内容详细全面，且能结合采购人实际情况，得 </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 xml:space="preserve">分； </w:t>
            </w:r>
          </w:p>
          <w:p w14:paraId="27A7C0C4">
            <w:pPr>
              <w:keepNext w:val="0"/>
              <w:keepLines w:val="0"/>
              <w:widowControl/>
              <w:suppressLineNumbers w:val="0"/>
              <w:jc w:val="left"/>
              <w:rPr>
                <w:color w:val="auto"/>
                <w:sz w:val="21"/>
                <w:szCs w:val="21"/>
              </w:rPr>
            </w:pPr>
            <w:r>
              <w:rPr>
                <w:rFonts w:hint="eastAsia" w:ascii="宋体" w:hAnsi="宋体" w:cs="宋体"/>
                <w:color w:val="auto"/>
                <w:kern w:val="0"/>
                <w:sz w:val="21"/>
                <w:szCs w:val="21"/>
                <w:lang w:val="en-US" w:eastAsia="zh-CN" w:bidi="ar"/>
              </w:rPr>
              <w:t>2.</w:t>
            </w:r>
            <w:r>
              <w:rPr>
                <w:rFonts w:hint="eastAsia" w:ascii="宋体" w:hAnsi="宋体" w:cs="宋体"/>
                <w:color w:val="auto"/>
                <w:sz w:val="21"/>
                <w:szCs w:val="21"/>
                <w:highlight w:val="none"/>
                <w:lang w:val="en-US" w:eastAsia="zh-CN"/>
              </w:rPr>
              <w:t>投标人提供的</w:t>
            </w:r>
            <w:r>
              <w:rPr>
                <w:rFonts w:hint="eastAsia" w:ascii="宋体" w:hAnsi="宋体" w:cs="宋体"/>
                <w:color w:val="auto"/>
                <w:kern w:val="0"/>
                <w:sz w:val="21"/>
                <w:szCs w:val="21"/>
                <w:lang w:val="en-US" w:eastAsia="zh-CN" w:bidi="ar"/>
              </w:rPr>
              <w:t>服务方案</w:t>
            </w:r>
            <w:r>
              <w:rPr>
                <w:rFonts w:hint="eastAsia" w:ascii="宋体" w:hAnsi="宋体" w:eastAsia="宋体" w:cs="宋体"/>
                <w:color w:val="auto"/>
                <w:kern w:val="0"/>
                <w:sz w:val="21"/>
                <w:szCs w:val="21"/>
                <w:lang w:val="en-US" w:eastAsia="zh-CN" w:bidi="ar"/>
              </w:rPr>
              <w:t>内容能够针对部分建设模块且针对性一般，</w:t>
            </w:r>
            <w:r>
              <w:rPr>
                <w:rFonts w:hint="eastAsia" w:ascii="宋体" w:hAnsi="宋体" w:cs="宋体"/>
                <w:color w:val="auto"/>
                <w:kern w:val="0"/>
                <w:sz w:val="21"/>
                <w:szCs w:val="21"/>
                <w:lang w:val="en-US" w:eastAsia="zh-CN" w:bidi="ar"/>
              </w:rPr>
              <w:t>服务方案</w:t>
            </w:r>
            <w:r>
              <w:rPr>
                <w:rFonts w:hint="eastAsia" w:ascii="宋体" w:hAnsi="宋体" w:eastAsia="宋体" w:cs="宋体"/>
                <w:color w:val="auto"/>
                <w:kern w:val="0"/>
                <w:sz w:val="21"/>
                <w:szCs w:val="21"/>
                <w:lang w:val="en-US" w:eastAsia="zh-CN" w:bidi="ar"/>
              </w:rPr>
              <w:t xml:space="preserve">内容一般，但能结合采购人实际情况，得 </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 xml:space="preserve">分； </w:t>
            </w:r>
          </w:p>
          <w:p w14:paraId="2B644F67">
            <w:pPr>
              <w:keepNext w:val="0"/>
              <w:keepLines w:val="0"/>
              <w:widowControl/>
              <w:suppressLineNumbers w:val="0"/>
              <w:jc w:val="left"/>
              <w:rPr>
                <w:color w:val="auto"/>
                <w:sz w:val="21"/>
                <w:szCs w:val="21"/>
              </w:rPr>
            </w:pPr>
            <w:r>
              <w:rPr>
                <w:rFonts w:hint="eastAsia" w:ascii="宋体" w:hAnsi="宋体" w:cs="宋体"/>
                <w:color w:val="auto"/>
                <w:kern w:val="0"/>
                <w:sz w:val="21"/>
                <w:szCs w:val="21"/>
                <w:lang w:val="en-US" w:eastAsia="zh-CN" w:bidi="ar"/>
              </w:rPr>
              <w:t>3.</w:t>
            </w:r>
            <w:r>
              <w:rPr>
                <w:rFonts w:hint="eastAsia" w:ascii="宋体" w:hAnsi="宋体" w:cs="宋体"/>
                <w:color w:val="auto"/>
                <w:sz w:val="21"/>
                <w:szCs w:val="21"/>
                <w:highlight w:val="none"/>
                <w:lang w:val="en-US" w:eastAsia="zh-CN"/>
              </w:rPr>
              <w:t>投标人提供的</w:t>
            </w:r>
            <w:r>
              <w:rPr>
                <w:rFonts w:hint="eastAsia" w:ascii="宋体" w:hAnsi="宋体" w:cs="宋体"/>
                <w:color w:val="auto"/>
                <w:kern w:val="0"/>
                <w:sz w:val="21"/>
                <w:szCs w:val="21"/>
                <w:lang w:val="en-US" w:eastAsia="zh-CN" w:bidi="ar"/>
              </w:rPr>
              <w:t>服务方案</w:t>
            </w:r>
            <w:r>
              <w:rPr>
                <w:rFonts w:hint="eastAsia" w:ascii="宋体" w:hAnsi="宋体" w:eastAsia="宋体" w:cs="宋体"/>
                <w:color w:val="auto"/>
                <w:kern w:val="0"/>
                <w:sz w:val="21"/>
                <w:szCs w:val="21"/>
                <w:lang w:val="en-US" w:eastAsia="zh-CN" w:bidi="ar"/>
              </w:rPr>
              <w:t>内容针对性不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强，</w:t>
            </w:r>
            <w:r>
              <w:rPr>
                <w:rFonts w:hint="eastAsia" w:ascii="宋体" w:hAnsi="宋体" w:cs="宋体"/>
                <w:color w:val="auto"/>
                <w:kern w:val="0"/>
                <w:sz w:val="21"/>
                <w:szCs w:val="21"/>
                <w:lang w:val="en-US" w:eastAsia="zh-CN" w:bidi="ar"/>
              </w:rPr>
              <w:t>服务方案</w:t>
            </w:r>
            <w:r>
              <w:rPr>
                <w:rFonts w:hint="eastAsia" w:ascii="宋体" w:hAnsi="宋体" w:eastAsia="宋体" w:cs="宋体"/>
                <w:color w:val="auto"/>
                <w:kern w:val="0"/>
                <w:sz w:val="21"/>
                <w:szCs w:val="21"/>
                <w:lang w:val="en-US" w:eastAsia="zh-CN" w:bidi="ar"/>
              </w:rPr>
              <w:t>内容不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完善，不能</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结合采购人实际情况，得</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 xml:space="preserve"> 分； </w:t>
            </w:r>
          </w:p>
          <w:p w14:paraId="6DC08CD1">
            <w:pPr>
              <w:keepNext w:val="0"/>
              <w:keepLines w:val="0"/>
              <w:widowControl/>
              <w:suppressLineNumbers w:val="0"/>
              <w:jc w:val="left"/>
              <w:rPr>
                <w:rFonts w:hint="eastAsia" w:ascii="宋体" w:hAnsi="宋体" w:eastAsia="宋体" w:cs="宋体"/>
                <w:color w:val="auto"/>
                <w:sz w:val="21"/>
                <w:szCs w:val="21"/>
                <w:highlight w:val="none"/>
                <w:lang w:val="en-US"/>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未提供不得分。</w:t>
            </w:r>
          </w:p>
        </w:tc>
      </w:tr>
      <w:tr w14:paraId="47F7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678" w:type="dxa"/>
            <w:vMerge w:val="continue"/>
            <w:vAlign w:val="center"/>
          </w:tcPr>
          <w:p w14:paraId="22CF5BB3">
            <w:pPr>
              <w:jc w:val="center"/>
              <w:rPr>
                <w:rFonts w:hint="eastAsia" w:ascii="宋体" w:hAnsi="宋体" w:eastAsia="宋体" w:cs="宋体"/>
                <w:color w:val="auto"/>
                <w:sz w:val="21"/>
                <w:szCs w:val="21"/>
                <w:highlight w:val="none"/>
              </w:rPr>
            </w:pPr>
          </w:p>
        </w:tc>
        <w:tc>
          <w:tcPr>
            <w:tcW w:w="893" w:type="dxa"/>
            <w:vMerge w:val="continue"/>
            <w:vAlign w:val="center"/>
          </w:tcPr>
          <w:p w14:paraId="3B732013">
            <w:pPr>
              <w:jc w:val="center"/>
              <w:rPr>
                <w:rFonts w:hint="eastAsia" w:ascii="宋体" w:hAnsi="宋体" w:eastAsia="宋体" w:cs="宋体"/>
                <w:color w:val="auto"/>
                <w:sz w:val="21"/>
                <w:szCs w:val="21"/>
                <w:highlight w:val="none"/>
              </w:rPr>
            </w:pPr>
          </w:p>
        </w:tc>
        <w:tc>
          <w:tcPr>
            <w:tcW w:w="2219" w:type="dxa"/>
            <w:gridSpan w:val="2"/>
            <w:vAlign w:val="center"/>
          </w:tcPr>
          <w:p w14:paraId="1891F5BC">
            <w:pPr>
              <w:keepNext w:val="0"/>
              <w:keepLines w:val="0"/>
              <w:widowControl/>
              <w:numPr>
                <w:ilvl w:val="0"/>
                <w:numId w:val="0"/>
              </w:numPr>
              <w:suppressLineNumbers w:val="0"/>
              <w:ind w:left="105" w:lef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系</w:t>
            </w:r>
            <w:r>
              <w:rPr>
                <w:rFonts w:hint="eastAsia" w:ascii="宋体" w:hAnsi="宋体" w:eastAsia="宋体" w:cs="宋体"/>
                <w:color w:val="auto"/>
                <w:kern w:val="0"/>
                <w:sz w:val="21"/>
                <w:szCs w:val="21"/>
                <w:highlight w:val="none"/>
                <w:lang w:val="en-US" w:eastAsia="zh-CN" w:bidi="ar"/>
              </w:rPr>
              <w:t>统稳定性</w:t>
            </w:r>
            <w:r>
              <w:rPr>
                <w:rFonts w:hint="eastAsia" w:ascii="宋体" w:hAnsi="宋体" w:cs="宋体"/>
                <w:color w:val="auto"/>
                <w:kern w:val="0"/>
                <w:sz w:val="21"/>
                <w:szCs w:val="21"/>
                <w:highlight w:val="none"/>
                <w:lang w:val="en-US" w:eastAsia="zh-CN" w:bidi="ar"/>
              </w:rPr>
              <w:t>、系统安全性</w:t>
            </w:r>
            <w:r>
              <w:rPr>
                <w:rFonts w:hint="eastAsia" w:ascii="宋体" w:hAnsi="宋体" w:eastAsia="宋体" w:cs="宋体"/>
                <w:color w:val="auto"/>
                <w:kern w:val="0"/>
                <w:sz w:val="21"/>
                <w:szCs w:val="21"/>
                <w:highlight w:val="none"/>
                <w:lang w:val="en-US" w:eastAsia="zh-CN" w:bidi="ar"/>
              </w:rPr>
              <w:t>保障措施</w:t>
            </w:r>
          </w:p>
          <w:p w14:paraId="3F323FC7">
            <w:pPr>
              <w:jc w:val="center"/>
              <w:rPr>
                <w:rFonts w:hint="eastAsia" w:ascii="宋体" w:hAnsi="宋体" w:eastAsia="宋体" w:cs="宋体"/>
                <w:color w:val="auto"/>
                <w:sz w:val="21"/>
                <w:szCs w:val="21"/>
                <w:highlight w:val="none"/>
                <w:lang w:val="en-US"/>
              </w:rPr>
            </w:pP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rPr>
              <w:t>分</w:t>
            </w:r>
            <w:r>
              <w:rPr>
                <w:rFonts w:hint="eastAsia" w:ascii="宋体" w:hAnsi="宋体" w:cs="宋体"/>
                <w:color w:val="auto"/>
                <w:sz w:val="21"/>
                <w:szCs w:val="21"/>
                <w:highlight w:val="none"/>
                <w:lang w:eastAsia="zh-CN"/>
              </w:rPr>
              <w:t>）</w:t>
            </w:r>
          </w:p>
        </w:tc>
        <w:tc>
          <w:tcPr>
            <w:tcW w:w="6279" w:type="dxa"/>
            <w:vAlign w:val="center"/>
          </w:tcPr>
          <w:p w14:paraId="424E832B">
            <w:pPr>
              <w:keepNext w:val="0"/>
              <w:keepLines w:val="0"/>
              <w:widowControl/>
              <w:suppressLineNumbers w:val="0"/>
              <w:jc w:val="left"/>
              <w:rPr>
                <w:color w:val="auto"/>
                <w:sz w:val="21"/>
                <w:szCs w:val="21"/>
              </w:rPr>
            </w:pPr>
            <w:r>
              <w:rPr>
                <w:rFonts w:hint="eastAsia" w:ascii="宋体" w:hAnsi="宋体" w:cs="宋体"/>
                <w:color w:val="auto"/>
                <w:kern w:val="0"/>
                <w:sz w:val="21"/>
                <w:szCs w:val="21"/>
                <w:lang w:val="en-US" w:eastAsia="zh-CN" w:bidi="ar"/>
              </w:rPr>
              <w:t>1.</w:t>
            </w:r>
            <w:r>
              <w:rPr>
                <w:rFonts w:hint="eastAsia" w:ascii="宋体" w:hAnsi="宋体" w:cs="宋体"/>
                <w:color w:val="auto"/>
                <w:sz w:val="21"/>
                <w:szCs w:val="21"/>
                <w:highlight w:val="none"/>
                <w:lang w:val="en-US" w:eastAsia="zh-CN"/>
              </w:rPr>
              <w:t>投标人提供的</w:t>
            </w:r>
            <w:r>
              <w:rPr>
                <w:rFonts w:hint="eastAsia" w:ascii="宋体" w:hAnsi="宋体" w:eastAsia="宋体" w:cs="宋体"/>
                <w:color w:val="auto"/>
                <w:kern w:val="0"/>
                <w:sz w:val="21"/>
                <w:szCs w:val="21"/>
                <w:lang w:val="en-US" w:eastAsia="zh-CN" w:bidi="ar"/>
              </w:rPr>
              <w:t>系统稳定性保障措施针对性强，保证措施完善，且能结合采购人实际情况，得</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 xml:space="preserve">分； </w:t>
            </w:r>
          </w:p>
          <w:p w14:paraId="17A2D81A">
            <w:pPr>
              <w:keepNext w:val="0"/>
              <w:keepLines w:val="0"/>
              <w:widowControl/>
              <w:suppressLineNumbers w:val="0"/>
              <w:jc w:val="left"/>
              <w:rPr>
                <w:color w:val="auto"/>
                <w:sz w:val="21"/>
                <w:szCs w:val="21"/>
              </w:rPr>
            </w:pPr>
            <w:r>
              <w:rPr>
                <w:rFonts w:hint="eastAsia" w:ascii="宋体" w:hAnsi="宋体" w:cs="宋体"/>
                <w:color w:val="auto"/>
                <w:sz w:val="21"/>
                <w:szCs w:val="21"/>
                <w:highlight w:val="none"/>
                <w:lang w:val="en-US" w:eastAsia="zh-CN"/>
              </w:rPr>
              <w:t>2.投标人提供的</w:t>
            </w:r>
            <w:r>
              <w:rPr>
                <w:rFonts w:hint="eastAsia" w:ascii="宋体" w:hAnsi="宋体" w:eastAsia="宋体" w:cs="宋体"/>
                <w:color w:val="auto"/>
                <w:kern w:val="0"/>
                <w:sz w:val="21"/>
                <w:szCs w:val="21"/>
                <w:lang w:val="en-US" w:eastAsia="zh-CN" w:bidi="ar"/>
              </w:rPr>
              <w:t xml:space="preserve">系统稳定性保障措施针对性及保证措施一般，但能结合采购人实际情况，得 </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 xml:space="preserve">分； </w:t>
            </w:r>
          </w:p>
          <w:p w14:paraId="64CE0232">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r>
              <w:rPr>
                <w:rFonts w:hint="eastAsia" w:ascii="宋体" w:hAnsi="宋体" w:cs="宋体"/>
                <w:color w:val="auto"/>
                <w:sz w:val="21"/>
                <w:szCs w:val="21"/>
                <w:highlight w:val="none"/>
                <w:lang w:val="en-US" w:eastAsia="zh-CN"/>
              </w:rPr>
              <w:t>投标人提供的</w:t>
            </w:r>
            <w:r>
              <w:rPr>
                <w:rFonts w:hint="eastAsia" w:ascii="宋体" w:hAnsi="宋体" w:eastAsia="宋体" w:cs="宋体"/>
                <w:color w:val="auto"/>
                <w:kern w:val="0"/>
                <w:sz w:val="21"/>
                <w:szCs w:val="21"/>
                <w:lang w:val="en-US" w:eastAsia="zh-CN" w:bidi="ar"/>
              </w:rPr>
              <w:t>系统稳定性保障措施针对性不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强，保证措施不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完善，不能</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结合采购人实际情况</w:t>
            </w:r>
            <w:r>
              <w:rPr>
                <w:rFonts w:hint="eastAsia" w:ascii="宋体" w:hAnsi="宋体" w:cs="宋体"/>
                <w:color w:val="auto"/>
                <w:kern w:val="0"/>
                <w:sz w:val="21"/>
                <w:szCs w:val="21"/>
                <w:lang w:val="en-US" w:eastAsia="zh-CN" w:bidi="ar"/>
              </w:rPr>
              <w:t>得1分；</w:t>
            </w:r>
          </w:p>
          <w:p w14:paraId="78FC9CFB">
            <w:pPr>
              <w:keepNext w:val="0"/>
              <w:keepLines w:val="0"/>
              <w:widowControl/>
              <w:suppressLineNumbers w:val="0"/>
              <w:jc w:val="left"/>
              <w:rPr>
                <w:rFonts w:hint="eastAsia" w:ascii="宋体" w:hAnsi="宋体" w:eastAsia="宋体" w:cs="宋体"/>
                <w:color w:val="auto"/>
                <w:sz w:val="21"/>
                <w:szCs w:val="21"/>
                <w:highlight w:val="none"/>
                <w:lang w:val="en-US"/>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未提供不得分。</w:t>
            </w:r>
          </w:p>
        </w:tc>
      </w:tr>
      <w:tr w14:paraId="7B1E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678" w:type="dxa"/>
            <w:vMerge w:val="continue"/>
            <w:vAlign w:val="center"/>
          </w:tcPr>
          <w:p w14:paraId="48931F20">
            <w:pPr>
              <w:jc w:val="center"/>
              <w:rPr>
                <w:rFonts w:hint="eastAsia" w:ascii="宋体" w:hAnsi="宋体" w:eastAsia="宋体" w:cs="宋体"/>
                <w:color w:val="auto"/>
                <w:sz w:val="21"/>
                <w:szCs w:val="21"/>
                <w:highlight w:val="none"/>
              </w:rPr>
            </w:pPr>
          </w:p>
        </w:tc>
        <w:tc>
          <w:tcPr>
            <w:tcW w:w="893" w:type="dxa"/>
            <w:vMerge w:val="continue"/>
            <w:vAlign w:val="center"/>
          </w:tcPr>
          <w:p w14:paraId="65FE72D8">
            <w:pPr>
              <w:jc w:val="center"/>
              <w:rPr>
                <w:rFonts w:hint="eastAsia" w:ascii="宋体" w:hAnsi="宋体" w:eastAsia="宋体" w:cs="宋体"/>
                <w:color w:val="auto"/>
                <w:sz w:val="21"/>
                <w:szCs w:val="21"/>
                <w:highlight w:val="none"/>
              </w:rPr>
            </w:pPr>
          </w:p>
        </w:tc>
        <w:tc>
          <w:tcPr>
            <w:tcW w:w="2219" w:type="dxa"/>
            <w:gridSpan w:val="2"/>
            <w:vAlign w:val="center"/>
          </w:tcPr>
          <w:p w14:paraId="793885DF">
            <w:pPr>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人员培训方案</w:t>
            </w:r>
          </w:p>
          <w:p w14:paraId="5A189DDE">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c>
          <w:tcPr>
            <w:tcW w:w="6279" w:type="dxa"/>
            <w:vAlign w:val="center"/>
          </w:tcPr>
          <w:p w14:paraId="5C0DE697">
            <w:pPr>
              <w:keepNext w:val="0"/>
              <w:keepLines w:val="0"/>
              <w:widowControl/>
              <w:suppressLineNumbers w:val="0"/>
              <w:jc w:val="left"/>
              <w:rPr>
                <w:color w:val="auto"/>
                <w:sz w:val="21"/>
                <w:szCs w:val="21"/>
              </w:rPr>
            </w:pPr>
            <w:r>
              <w:rPr>
                <w:rFonts w:hint="eastAsia" w:ascii="宋体" w:hAnsi="宋体" w:cs="宋体"/>
                <w:color w:val="auto"/>
                <w:sz w:val="21"/>
                <w:szCs w:val="21"/>
                <w:highlight w:val="none"/>
                <w:lang w:val="en-US" w:eastAsia="zh-CN"/>
              </w:rPr>
              <w:t>1.</w:t>
            </w:r>
            <w:r>
              <w:rPr>
                <w:rFonts w:hint="eastAsia" w:ascii="宋体" w:hAnsi="宋体" w:eastAsia="宋体" w:cs="宋体"/>
                <w:color w:val="auto"/>
                <w:kern w:val="0"/>
                <w:sz w:val="21"/>
                <w:szCs w:val="21"/>
                <w:lang w:val="en-US" w:eastAsia="zh-CN" w:bidi="ar"/>
              </w:rPr>
              <w:t xml:space="preserve">投标人提供的本项目的人员培训方案内容针对性强，保证措施完善，且能结合采购人实际情况，得 </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 xml:space="preserve">分； </w:t>
            </w:r>
          </w:p>
          <w:p w14:paraId="48B8D2AD">
            <w:pPr>
              <w:keepNext w:val="0"/>
              <w:keepLines w:val="0"/>
              <w:widowControl/>
              <w:suppressLineNumbers w:val="0"/>
              <w:jc w:val="left"/>
              <w:rPr>
                <w:color w:val="auto"/>
                <w:sz w:val="21"/>
                <w:szCs w:val="21"/>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投标人提供的本项目的人员培训方案内容针对性及保证措施一般，但能结合采购人实际情况，得</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 xml:space="preserve">分； </w:t>
            </w:r>
          </w:p>
          <w:p w14:paraId="584BDD09">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投标人提供的本项目的人员培训方案内容针对性不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强，保证措施不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完善，不能</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结合采购人实际情况</w:t>
            </w:r>
            <w:r>
              <w:rPr>
                <w:rFonts w:hint="eastAsia" w:ascii="宋体" w:hAnsi="宋体" w:cs="宋体"/>
                <w:color w:val="auto"/>
                <w:kern w:val="0"/>
                <w:sz w:val="21"/>
                <w:szCs w:val="21"/>
                <w:lang w:val="en-US" w:eastAsia="zh-CN" w:bidi="ar"/>
              </w:rPr>
              <w:t>，得1分；</w:t>
            </w:r>
          </w:p>
          <w:p w14:paraId="64626999">
            <w:pPr>
              <w:keepNext w:val="0"/>
              <w:keepLines w:val="0"/>
              <w:widowControl/>
              <w:suppressLineNumbers w:val="0"/>
              <w:jc w:val="left"/>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未提供不得分。</w:t>
            </w:r>
          </w:p>
        </w:tc>
      </w:tr>
      <w:tr w14:paraId="4227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8" w:hRule="atLeast"/>
        </w:trPr>
        <w:tc>
          <w:tcPr>
            <w:tcW w:w="678" w:type="dxa"/>
            <w:vMerge w:val="continue"/>
            <w:vAlign w:val="center"/>
          </w:tcPr>
          <w:p w14:paraId="3553ECE3">
            <w:pPr>
              <w:keepNext w:val="0"/>
              <w:keepLines w:val="0"/>
              <w:widowControl/>
              <w:suppressLineNumbers w:val="0"/>
              <w:jc w:val="left"/>
              <w:rPr>
                <w:rFonts w:hint="eastAsia" w:ascii="宋体" w:hAnsi="宋体" w:eastAsia="宋体" w:cs="宋体"/>
                <w:color w:val="auto"/>
                <w:kern w:val="0"/>
                <w:sz w:val="20"/>
                <w:szCs w:val="20"/>
                <w:lang w:val="en-US" w:eastAsia="zh-CN" w:bidi="ar"/>
              </w:rPr>
            </w:pPr>
          </w:p>
        </w:tc>
        <w:tc>
          <w:tcPr>
            <w:tcW w:w="893" w:type="dxa"/>
            <w:vMerge w:val="continue"/>
            <w:vAlign w:val="center"/>
          </w:tcPr>
          <w:p w14:paraId="07BA6242">
            <w:pPr>
              <w:keepNext w:val="0"/>
              <w:keepLines w:val="0"/>
              <w:widowControl/>
              <w:suppressLineNumbers w:val="0"/>
              <w:jc w:val="left"/>
              <w:rPr>
                <w:rFonts w:hint="eastAsia" w:ascii="宋体" w:hAnsi="宋体" w:eastAsia="宋体" w:cs="宋体"/>
                <w:color w:val="auto"/>
                <w:kern w:val="0"/>
                <w:sz w:val="20"/>
                <w:szCs w:val="20"/>
                <w:lang w:val="en-US" w:eastAsia="zh-CN" w:bidi="ar"/>
              </w:rPr>
            </w:pPr>
          </w:p>
        </w:tc>
        <w:tc>
          <w:tcPr>
            <w:tcW w:w="2219" w:type="dxa"/>
            <w:gridSpan w:val="2"/>
            <w:vAlign w:val="center"/>
          </w:tcPr>
          <w:p w14:paraId="4454787F">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售后服务承诺</w:t>
            </w:r>
          </w:p>
          <w:p w14:paraId="1C34DA97">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（7分）</w:t>
            </w:r>
          </w:p>
        </w:tc>
        <w:tc>
          <w:tcPr>
            <w:tcW w:w="6279" w:type="dxa"/>
            <w:vAlign w:val="center"/>
          </w:tcPr>
          <w:p w14:paraId="24DCBF60">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针对本项目的特点和要求，对项目售后服务期内（外）服务内容、标准、措施的承诺，内容包括但不限于：服务期内（外）服务内容、维护计划、故障响应方式、售后服务人员、应急响应预案等。</w:t>
            </w:r>
          </w:p>
          <w:p w14:paraId="1149077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服务期内（外）服务体系及服务措施承诺及计划内容详细完善合理，人员安排合理，服务配合度高，跟踪服务到位，能主动配合，应急响应预案详细全面得</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分；</w:t>
            </w:r>
          </w:p>
          <w:p w14:paraId="6C2F674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服务期内（外）服务体系及服务措施承诺及计划内容完整，有服务响应、人员安排计划，能配合开展工作，有应急响应预案，得</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w:t>
            </w:r>
          </w:p>
          <w:p w14:paraId="34B20F2C">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服务期内（外）服务体系及服务措施承诺及计划内容不</w:t>
            </w:r>
            <w:r>
              <w:rPr>
                <w:rFonts w:hint="eastAsia" w:ascii="宋体" w:hAnsi="宋体" w:cs="宋体"/>
                <w:color w:val="auto"/>
                <w:kern w:val="0"/>
                <w:sz w:val="21"/>
                <w:szCs w:val="21"/>
                <w:lang w:val="en-US" w:eastAsia="zh-CN" w:bidi="ar"/>
              </w:rPr>
              <w:t>太</w:t>
            </w:r>
            <w:r>
              <w:rPr>
                <w:rFonts w:hint="eastAsia" w:ascii="宋体" w:hAnsi="宋体" w:eastAsia="宋体" w:cs="宋体"/>
                <w:color w:val="auto"/>
                <w:kern w:val="0"/>
                <w:sz w:val="21"/>
                <w:szCs w:val="21"/>
                <w:lang w:val="en-US" w:eastAsia="zh-CN" w:bidi="ar"/>
              </w:rPr>
              <w:t>完善，缺少服务响应、人员安排计划得</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w:t>
            </w:r>
          </w:p>
          <w:p w14:paraId="37243813">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未提供者不得分。</w:t>
            </w:r>
          </w:p>
        </w:tc>
      </w:tr>
      <w:tr w14:paraId="4BCF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3" w:hRule="atLeast"/>
        </w:trPr>
        <w:tc>
          <w:tcPr>
            <w:tcW w:w="678" w:type="dxa"/>
            <w:vMerge w:val="continue"/>
            <w:vAlign w:val="center"/>
          </w:tcPr>
          <w:p w14:paraId="2A1CBEB0">
            <w:pPr>
              <w:keepNext w:val="0"/>
              <w:keepLines w:val="0"/>
              <w:widowControl/>
              <w:suppressLineNumbers w:val="0"/>
              <w:jc w:val="left"/>
              <w:rPr>
                <w:rFonts w:hint="eastAsia" w:ascii="宋体" w:hAnsi="宋体" w:eastAsia="宋体" w:cs="宋体"/>
                <w:color w:val="auto"/>
                <w:kern w:val="0"/>
                <w:sz w:val="20"/>
                <w:szCs w:val="20"/>
                <w:lang w:val="en-US" w:eastAsia="zh-CN" w:bidi="ar"/>
              </w:rPr>
            </w:pPr>
          </w:p>
        </w:tc>
        <w:tc>
          <w:tcPr>
            <w:tcW w:w="893" w:type="dxa"/>
            <w:vMerge w:val="continue"/>
            <w:vAlign w:val="center"/>
          </w:tcPr>
          <w:p w14:paraId="6240860E">
            <w:pPr>
              <w:keepNext w:val="0"/>
              <w:keepLines w:val="0"/>
              <w:widowControl/>
              <w:suppressLineNumbers w:val="0"/>
              <w:jc w:val="left"/>
              <w:rPr>
                <w:rFonts w:hint="eastAsia" w:ascii="宋体" w:hAnsi="宋体" w:eastAsia="宋体" w:cs="宋体"/>
                <w:color w:val="auto"/>
                <w:kern w:val="0"/>
                <w:sz w:val="20"/>
                <w:szCs w:val="20"/>
                <w:lang w:val="en-US" w:eastAsia="zh-CN" w:bidi="ar"/>
              </w:rPr>
            </w:pPr>
          </w:p>
        </w:tc>
        <w:tc>
          <w:tcPr>
            <w:tcW w:w="2219" w:type="dxa"/>
            <w:gridSpan w:val="2"/>
            <w:vAlign w:val="center"/>
          </w:tcPr>
          <w:p w14:paraId="11CAB647">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技术参数（</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w:t>
            </w:r>
          </w:p>
        </w:tc>
        <w:tc>
          <w:tcPr>
            <w:tcW w:w="6279" w:type="dxa"/>
            <w:vAlign w:val="center"/>
          </w:tcPr>
          <w:p w14:paraId="05B8C68B">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所投产品完全满足招标文件 第五章 采购内容及技术要求里的技术参数要求得</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分， 参数中标“★”的技术指标为重要技术指标，需提供相关证明材料，每有一条不满足扣 1 分；未带“★”的，每有一项不满足扣 0.5 分，扣完为止。</w:t>
            </w:r>
          </w:p>
        </w:tc>
      </w:tr>
      <w:tr w14:paraId="452B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rPr>
        <w:tc>
          <w:tcPr>
            <w:tcW w:w="678" w:type="dxa"/>
            <w:vMerge w:val="restart"/>
            <w:vAlign w:val="center"/>
          </w:tcPr>
          <w:p w14:paraId="4C20B41D">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893" w:type="dxa"/>
            <w:vMerge w:val="restart"/>
            <w:vAlign w:val="center"/>
          </w:tcPr>
          <w:p w14:paraId="0F583F54">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综合得分（</w:t>
            </w:r>
            <w:r>
              <w:rPr>
                <w:rFonts w:hint="eastAsia" w:ascii="宋体" w:hAnsi="宋体" w:cs="宋体"/>
                <w:color w:val="auto"/>
                <w:kern w:val="0"/>
                <w:sz w:val="21"/>
                <w:szCs w:val="21"/>
                <w:lang w:val="en-US" w:eastAsia="zh-CN" w:bidi="ar"/>
              </w:rPr>
              <w:t>40</w:t>
            </w:r>
            <w:r>
              <w:rPr>
                <w:rFonts w:hint="eastAsia" w:ascii="宋体" w:hAnsi="宋体" w:eastAsia="宋体" w:cs="宋体"/>
                <w:color w:val="auto"/>
                <w:kern w:val="0"/>
                <w:sz w:val="21"/>
                <w:szCs w:val="21"/>
                <w:lang w:val="en-US" w:eastAsia="zh-CN" w:bidi="ar"/>
              </w:rPr>
              <w:t>分）</w:t>
            </w:r>
          </w:p>
        </w:tc>
        <w:tc>
          <w:tcPr>
            <w:tcW w:w="2219" w:type="dxa"/>
            <w:gridSpan w:val="2"/>
            <w:vAlign w:val="center"/>
          </w:tcPr>
          <w:p w14:paraId="62597B96">
            <w:pPr>
              <w:keepNext w:val="0"/>
              <w:keepLines w:val="0"/>
              <w:widowControl/>
              <w:suppressLineNumbers w:val="0"/>
              <w:jc w:val="center"/>
              <w:rPr>
                <w:rFonts w:hint="eastAsia" w:ascii="宋体" w:hAnsi="宋体" w:eastAsia="宋体" w:cs="宋体"/>
                <w:color w:val="auto"/>
                <w:kern w:val="0"/>
                <w:sz w:val="21"/>
                <w:szCs w:val="21"/>
                <w:lang w:val="en-US" w:eastAsia="zh-CN" w:bidi="ar"/>
              </w:rPr>
            </w:pPr>
          </w:p>
          <w:p w14:paraId="7281EB2E">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业绩</w:t>
            </w:r>
          </w:p>
          <w:p w14:paraId="532C8CF6">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分）</w:t>
            </w:r>
          </w:p>
        </w:tc>
        <w:tc>
          <w:tcPr>
            <w:tcW w:w="6279" w:type="dxa"/>
            <w:vAlign w:val="center"/>
          </w:tcPr>
          <w:p w14:paraId="35DB4678">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投标人2022年1月1日以来具有相关类似业绩的，每有一项得</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分，最多得</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分。（提供合同扫描件，时间以合同签订时间为准）</w:t>
            </w:r>
          </w:p>
        </w:tc>
      </w:tr>
      <w:tr w14:paraId="4C86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atLeast"/>
        </w:trPr>
        <w:tc>
          <w:tcPr>
            <w:tcW w:w="678" w:type="dxa"/>
            <w:vMerge w:val="continue"/>
            <w:vAlign w:val="center"/>
          </w:tcPr>
          <w:p w14:paraId="50E747FE">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893" w:type="dxa"/>
            <w:vMerge w:val="continue"/>
            <w:vAlign w:val="center"/>
          </w:tcPr>
          <w:p w14:paraId="162D64DB">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2219" w:type="dxa"/>
            <w:gridSpan w:val="2"/>
            <w:vAlign w:val="center"/>
          </w:tcPr>
          <w:p w14:paraId="055406A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w:t>
            </w:r>
            <w:r>
              <w:rPr>
                <w:rFonts w:hint="eastAsia" w:ascii="宋体" w:hAnsi="宋体" w:eastAsia="宋体" w:cs="宋体"/>
                <w:color w:val="auto"/>
                <w:kern w:val="0"/>
                <w:sz w:val="21"/>
                <w:szCs w:val="21"/>
                <w:highlight w:val="none"/>
                <w:lang w:val="en-US" w:eastAsia="zh-CN" w:bidi="ar"/>
              </w:rPr>
              <w:t>标人拟派项目团队成员配置</w:t>
            </w:r>
          </w:p>
          <w:p w14:paraId="4381A1E2">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分）</w:t>
            </w:r>
          </w:p>
        </w:tc>
        <w:tc>
          <w:tcPr>
            <w:tcW w:w="6279" w:type="dxa"/>
            <w:vAlign w:val="center"/>
          </w:tcPr>
          <w:p w14:paraId="168F5F95">
            <w:pPr>
              <w:keepNext w:val="0"/>
              <w:keepLines w:val="0"/>
              <w:widowControl/>
              <w:numPr>
                <w:ilvl w:val="0"/>
                <w:numId w:val="7"/>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拟派项目负责人具</w:t>
            </w:r>
            <w:r>
              <w:rPr>
                <w:rFonts w:hint="eastAsia" w:ascii="宋体" w:hAnsi="宋体" w:cs="宋体"/>
                <w:color w:val="auto"/>
                <w:kern w:val="0"/>
                <w:sz w:val="21"/>
                <w:szCs w:val="21"/>
                <w:highlight w:val="none"/>
                <w:lang w:val="en-US" w:eastAsia="zh-CN" w:bidi="ar"/>
              </w:rPr>
              <w:t>有</w:t>
            </w:r>
            <w:r>
              <w:rPr>
                <w:rFonts w:hint="eastAsia" w:ascii="宋体" w:hAnsi="宋体" w:eastAsia="宋体" w:cs="宋体"/>
                <w:color w:val="auto"/>
                <w:kern w:val="0"/>
                <w:sz w:val="21"/>
                <w:szCs w:val="21"/>
                <w:highlight w:val="none"/>
                <w:lang w:val="en-US" w:eastAsia="zh-CN" w:bidi="ar"/>
              </w:rPr>
              <w:t>信息系统项目管理师</w:t>
            </w:r>
            <w:r>
              <w:rPr>
                <w:rFonts w:hint="eastAsia" w:ascii="宋体" w:hAnsi="宋体" w:cs="宋体"/>
                <w:color w:val="auto"/>
                <w:kern w:val="0"/>
                <w:sz w:val="21"/>
                <w:szCs w:val="21"/>
                <w:highlight w:val="none"/>
                <w:lang w:val="en-US" w:eastAsia="zh-CN" w:bidi="ar"/>
              </w:rPr>
              <w:t>或</w:t>
            </w:r>
            <w:r>
              <w:rPr>
                <w:rFonts w:hint="eastAsia" w:ascii="宋体" w:hAnsi="宋体" w:eastAsia="宋体" w:cs="宋体"/>
                <w:color w:val="auto"/>
                <w:kern w:val="0"/>
                <w:sz w:val="21"/>
                <w:szCs w:val="21"/>
                <w:highlight w:val="none"/>
                <w:lang w:val="en-US" w:eastAsia="zh-CN" w:bidi="ar"/>
              </w:rPr>
              <w:t>系统架构设计师高级资格证书</w:t>
            </w:r>
            <w:r>
              <w:rPr>
                <w:rFonts w:hint="eastAsia" w:ascii="宋体" w:hAnsi="宋体" w:cs="宋体"/>
                <w:color w:val="auto"/>
                <w:kern w:val="0"/>
                <w:sz w:val="21"/>
                <w:szCs w:val="21"/>
                <w:highlight w:val="none"/>
                <w:lang w:val="en-US" w:eastAsia="zh-CN" w:bidi="ar"/>
              </w:rPr>
              <w:t>的，每提供一个证书得2分，最多得4分。</w:t>
            </w:r>
          </w:p>
          <w:p w14:paraId="367FAED6">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2、拟派项目团队成员中（除项目负责人外）具有相关专业</w:t>
            </w:r>
            <w:r>
              <w:rPr>
                <w:rFonts w:hint="eastAsia" w:ascii="宋体" w:hAnsi="宋体" w:cs="宋体"/>
                <w:color w:val="auto"/>
                <w:kern w:val="0"/>
                <w:sz w:val="21"/>
                <w:szCs w:val="21"/>
                <w:highlight w:val="none"/>
                <w:lang w:val="en-US" w:eastAsia="zh-CN" w:bidi="ar"/>
              </w:rPr>
              <w:t>中级及以上</w:t>
            </w:r>
            <w:r>
              <w:rPr>
                <w:rFonts w:hint="eastAsia" w:ascii="宋体" w:hAnsi="宋体" w:eastAsia="宋体" w:cs="宋体"/>
                <w:color w:val="auto"/>
                <w:kern w:val="0"/>
                <w:sz w:val="21"/>
                <w:szCs w:val="21"/>
                <w:highlight w:val="none"/>
                <w:lang w:val="en-US" w:eastAsia="zh-CN" w:bidi="ar"/>
              </w:rPr>
              <w:t>资格证书</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val="en-US" w:eastAsia="zh-CN" w:bidi="ar"/>
              </w:rPr>
              <w:t>，每提供一项得</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分，最多得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p>
          <w:p w14:paraId="2804AEC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注：需提供证书原件扫描件以及自2025年</w:t>
            </w:r>
            <w:r>
              <w:rPr>
                <w:rFonts w:hint="default"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月1日以来任意</w:t>
            </w:r>
            <w:r>
              <w:rPr>
                <w:rFonts w:hint="default"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val="en-US" w:eastAsia="zh-CN" w:bidi="ar"/>
              </w:rPr>
              <w:t>个月的社保缴纳证明</w:t>
            </w:r>
            <w:r>
              <w:rPr>
                <w:rFonts w:hint="eastAsia" w:ascii="宋体" w:hAnsi="宋体" w:cs="宋体"/>
                <w:color w:val="auto"/>
                <w:kern w:val="0"/>
                <w:sz w:val="21"/>
                <w:szCs w:val="21"/>
                <w:highlight w:val="none"/>
                <w:lang w:val="en-US" w:eastAsia="zh-CN" w:bidi="ar"/>
              </w:rPr>
              <w:t>。</w:t>
            </w:r>
          </w:p>
        </w:tc>
      </w:tr>
      <w:tr w14:paraId="6873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2" w:hRule="atLeast"/>
        </w:trPr>
        <w:tc>
          <w:tcPr>
            <w:tcW w:w="678" w:type="dxa"/>
            <w:vMerge w:val="continue"/>
            <w:vAlign w:val="center"/>
          </w:tcPr>
          <w:p w14:paraId="3ADEC2C9">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893" w:type="dxa"/>
            <w:vMerge w:val="continue"/>
            <w:vAlign w:val="center"/>
          </w:tcPr>
          <w:p w14:paraId="480AD4A6">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2219" w:type="dxa"/>
            <w:gridSpan w:val="2"/>
            <w:vAlign w:val="center"/>
          </w:tcPr>
          <w:p w14:paraId="49E68CB4">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企业综合实力</w:t>
            </w:r>
          </w:p>
          <w:p w14:paraId="622EAEE1">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val="en-US" w:eastAsia="zh-CN" w:bidi="ar"/>
              </w:rPr>
              <w:t>分）</w:t>
            </w:r>
          </w:p>
        </w:tc>
        <w:tc>
          <w:tcPr>
            <w:tcW w:w="6279" w:type="dxa"/>
            <w:vAlign w:val="center"/>
          </w:tcPr>
          <w:p w14:paraId="7ADC7DED">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lang w:val="en-US" w:eastAsia="zh-CN" w:bidi="ar"/>
              </w:rPr>
              <w:t>、终端安全厂商具有国家互联网应急响应中心网络安全应急服务国家级支撑单位的得</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分，省级支撑单位得</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分。提供证书复印件、官网查询链接和查询截图并加盖公章；</w:t>
            </w:r>
          </w:p>
          <w:p w14:paraId="5CD91600">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2、终端安全厂商具有中国网络安全审查技术与认证中心（CCRC）信息安全服务资质软件安全开发认证，其中一级认证得3分，二级认证得1分，提供证有效证书复印件并加盖公章，不提供者不得分；</w:t>
            </w:r>
          </w:p>
          <w:p w14:paraId="1B1566C2">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default" w:ascii="宋体" w:hAnsi="宋体" w:eastAsia="宋体" w:cs="宋体"/>
                <w:color w:val="auto"/>
                <w:kern w:val="0"/>
                <w:sz w:val="21"/>
                <w:szCs w:val="21"/>
                <w:lang w:val="en-US" w:eastAsia="zh-CN" w:bidi="ar"/>
              </w:rPr>
              <w:t>为保障</w:t>
            </w:r>
            <w:r>
              <w:rPr>
                <w:rFonts w:hint="eastAsia" w:ascii="宋体" w:hAnsi="宋体" w:eastAsia="宋体" w:cs="宋体"/>
                <w:color w:val="auto"/>
                <w:kern w:val="0"/>
                <w:sz w:val="21"/>
                <w:szCs w:val="21"/>
                <w:lang w:val="en-US" w:eastAsia="zh-CN" w:bidi="ar"/>
              </w:rPr>
              <w:t>对于云主机的安全防护能力，</w:t>
            </w:r>
            <w:r>
              <w:rPr>
                <w:rFonts w:hint="default" w:ascii="宋体" w:hAnsi="宋体" w:eastAsia="宋体" w:cs="宋体"/>
                <w:color w:val="auto"/>
                <w:kern w:val="0"/>
                <w:sz w:val="21"/>
                <w:szCs w:val="21"/>
                <w:lang w:val="en-US" w:eastAsia="zh-CN" w:bidi="ar"/>
              </w:rPr>
              <w:t>云安全能力的成熟度与技术程度，</w:t>
            </w:r>
            <w:r>
              <w:rPr>
                <w:rFonts w:hint="eastAsia" w:ascii="宋体" w:hAnsi="宋体" w:eastAsia="宋体" w:cs="宋体"/>
                <w:color w:val="auto"/>
                <w:kern w:val="0"/>
                <w:sz w:val="21"/>
                <w:szCs w:val="21"/>
                <w:lang w:val="en-US" w:eastAsia="zh-CN" w:bidi="ar"/>
              </w:rPr>
              <w:t>终端安全厂商</w:t>
            </w:r>
            <w:r>
              <w:rPr>
                <w:rFonts w:hint="default" w:ascii="宋体" w:hAnsi="宋体" w:eastAsia="宋体" w:cs="宋体"/>
                <w:color w:val="auto"/>
                <w:kern w:val="0"/>
                <w:sz w:val="21"/>
                <w:szCs w:val="21"/>
                <w:lang w:val="en-US" w:eastAsia="zh-CN" w:bidi="ar"/>
              </w:rPr>
              <w:t>云平台需</w:t>
            </w:r>
            <w:r>
              <w:rPr>
                <w:rFonts w:hint="eastAsia" w:ascii="宋体" w:hAnsi="宋体" w:eastAsia="宋体" w:cs="宋体"/>
                <w:color w:val="auto"/>
                <w:kern w:val="0"/>
                <w:sz w:val="21"/>
                <w:szCs w:val="21"/>
                <w:lang w:val="en-US" w:eastAsia="zh-CN" w:bidi="ar"/>
              </w:rPr>
              <w:t>有</w:t>
            </w:r>
            <w:r>
              <w:rPr>
                <w:rFonts w:hint="default" w:ascii="宋体" w:hAnsi="宋体" w:eastAsia="宋体" w:cs="宋体"/>
                <w:color w:val="auto"/>
                <w:kern w:val="0"/>
                <w:sz w:val="21"/>
                <w:szCs w:val="21"/>
                <w:lang w:val="en-US" w:eastAsia="zh-CN" w:bidi="ar"/>
              </w:rPr>
              <w:t xml:space="preserve">云安全能力成熟度集成认证证书， CS-CMMI5 级得 </w:t>
            </w:r>
            <w:r>
              <w:rPr>
                <w:rFonts w:hint="eastAsia" w:ascii="宋体" w:hAnsi="宋体" w:eastAsia="宋体" w:cs="宋体"/>
                <w:color w:val="auto"/>
                <w:kern w:val="0"/>
                <w:sz w:val="21"/>
                <w:szCs w:val="21"/>
                <w:lang w:val="en-US" w:eastAsia="zh-CN" w:bidi="ar"/>
              </w:rPr>
              <w:t>3</w:t>
            </w:r>
            <w:r>
              <w:rPr>
                <w:rFonts w:hint="default" w:ascii="宋体" w:hAnsi="宋体" w:eastAsia="宋体" w:cs="宋体"/>
                <w:color w:val="auto"/>
                <w:kern w:val="0"/>
                <w:sz w:val="21"/>
                <w:szCs w:val="21"/>
                <w:lang w:val="en-US" w:eastAsia="zh-CN" w:bidi="ar"/>
              </w:rPr>
              <w:t>分,</w:t>
            </w:r>
            <w:r>
              <w:rPr>
                <w:rFonts w:hint="eastAsia" w:ascii="宋体" w:hAnsi="宋体" w:eastAsia="宋体" w:cs="宋体"/>
                <w:color w:val="auto"/>
                <w:kern w:val="0"/>
                <w:sz w:val="21"/>
                <w:szCs w:val="21"/>
                <w:lang w:val="en-US" w:eastAsia="zh-CN" w:bidi="ar"/>
              </w:rPr>
              <w:t>CS-CMMI3以下得1分，需提供</w:t>
            </w:r>
            <w:r>
              <w:rPr>
                <w:rFonts w:hint="default" w:ascii="宋体" w:hAnsi="宋体" w:eastAsia="宋体" w:cs="宋体"/>
                <w:color w:val="auto"/>
                <w:kern w:val="0"/>
                <w:sz w:val="21"/>
                <w:szCs w:val="21"/>
                <w:lang w:val="en-US" w:eastAsia="zh-CN" w:bidi="ar"/>
              </w:rPr>
              <w:t>认证证书复印件加盖厂商公章</w:t>
            </w:r>
            <w:r>
              <w:rPr>
                <w:rFonts w:hint="eastAsia" w:ascii="宋体" w:hAnsi="宋体" w:eastAsia="宋体" w:cs="宋体"/>
                <w:color w:val="auto"/>
                <w:kern w:val="0"/>
                <w:sz w:val="21"/>
                <w:szCs w:val="21"/>
                <w:lang w:val="en-US" w:eastAsia="zh-CN" w:bidi="ar"/>
              </w:rPr>
              <w:t>，</w:t>
            </w:r>
            <w:r>
              <w:rPr>
                <w:rFonts w:hint="default" w:ascii="宋体" w:hAnsi="宋体" w:eastAsia="宋体" w:cs="宋体"/>
                <w:color w:val="auto"/>
                <w:kern w:val="0"/>
                <w:sz w:val="21"/>
                <w:szCs w:val="21"/>
                <w:lang w:val="en-US" w:eastAsia="zh-CN" w:bidi="ar"/>
              </w:rPr>
              <w:t>否则不得分；</w:t>
            </w:r>
          </w:p>
          <w:p w14:paraId="61B10CF0">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4、具有党建引领网格化基层治理平台计算机软件著作权登记证书</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实景三维建模云平台计算机软件著作权登记证书，每提供一个证书得</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分，最多得</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分。</w:t>
            </w:r>
          </w:p>
          <w:p w14:paraId="3EDC79FA">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5、投标人须具备以下证书：质量管理体系、信息技术服务管理体系、信息安全管理体系、职业健康安全管理体系、信息安全服务资质认证证书每提供一个证书得</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分，最多得</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w:t>
            </w:r>
          </w:p>
          <w:p w14:paraId="4814FA0F">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注：投标文件中需提供相关证书的原件扫描件，否则不予认定。</w:t>
            </w:r>
          </w:p>
          <w:p w14:paraId="180CC1C3">
            <w:pPr>
              <w:keepNext w:val="0"/>
              <w:keepLines w:val="0"/>
              <w:widowControl/>
              <w:suppressLineNumbers w:val="0"/>
              <w:jc w:val="left"/>
              <w:rPr>
                <w:rFonts w:hint="default" w:ascii="宋体" w:hAnsi="宋体" w:eastAsia="宋体" w:cs="宋体"/>
                <w:color w:val="auto"/>
                <w:kern w:val="0"/>
                <w:sz w:val="21"/>
                <w:szCs w:val="21"/>
                <w:lang w:val="en-US" w:eastAsia="zh-CN" w:bidi="ar"/>
              </w:rPr>
            </w:pPr>
          </w:p>
        </w:tc>
      </w:tr>
      <w:tr w14:paraId="55B4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0069" w:type="dxa"/>
            <w:gridSpan w:val="5"/>
            <w:vAlign w:val="center"/>
          </w:tcPr>
          <w:p w14:paraId="49170597">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投标人综合得分=投标报价得分+技术部分得分+综合部分得分。</w:t>
            </w:r>
          </w:p>
          <w:p w14:paraId="520CD6F0">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投标人最终得分:</w:t>
            </w:r>
          </w:p>
          <w:p w14:paraId="1891A39D">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1.评标委员会完成评审后，取全部得分算术平均值，作为该投标人的最终得分。</w:t>
            </w:r>
          </w:p>
          <w:p w14:paraId="5DEE3D6C">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2.本办法计算过程中分值按四舍五入保留二位小数。</w:t>
            </w:r>
          </w:p>
          <w:p w14:paraId="5AD8BE9B">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评标委员会对通过以上评审的投标人，按最终得分从高到低排序，推荐3名中标候选人。当投标人最终得分相等时，按照报价从低到高进行排序，排序第1的为中标人；最终得分相等，报价得分也相等按技术指标优劣排列确定中标人。</w:t>
            </w:r>
          </w:p>
        </w:tc>
      </w:tr>
    </w:tbl>
    <w:p w14:paraId="081A3DB2">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 评标方法</w:t>
      </w:r>
    </w:p>
    <w:p w14:paraId="01BD6484">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评标采用综合评分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按技术指标优劣排列确定中标人。</w:t>
      </w:r>
    </w:p>
    <w:p w14:paraId="6E54FD70">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 评审标准</w:t>
      </w:r>
    </w:p>
    <w:p w14:paraId="1F13F19C">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2.1 初步评审标准</w:t>
      </w:r>
    </w:p>
    <w:p w14:paraId="55892E6E">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2.1.1 形式评审标准：见评标办法前附表。</w:t>
      </w:r>
    </w:p>
    <w:p w14:paraId="6AC4B309">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2.1.2 资格评审标准：见评标办法前附表。</w:t>
      </w:r>
    </w:p>
    <w:p w14:paraId="35A6C64A">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2.1.3 响应性评审标准：见评标办法前附表。</w:t>
      </w:r>
    </w:p>
    <w:p w14:paraId="75E4DDEE">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2.2 分值构成与评分标准</w:t>
      </w:r>
    </w:p>
    <w:p w14:paraId="64C61C66">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2.2.1 分值构成</w:t>
      </w:r>
    </w:p>
    <w:p w14:paraId="7F926813">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详细评分分值：见评标办法前附表。</w:t>
      </w:r>
    </w:p>
    <w:p w14:paraId="4E79460C">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2.2.3 评分标准</w:t>
      </w:r>
    </w:p>
    <w:p w14:paraId="1ADF22C7">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详细评分标准：见评标办法前附表。</w:t>
      </w:r>
    </w:p>
    <w:p w14:paraId="0E2550E3">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 评标程序</w:t>
      </w:r>
    </w:p>
    <w:p w14:paraId="2AC1899E">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3.1 初步评审</w:t>
      </w:r>
    </w:p>
    <w:p w14:paraId="5BD4A994">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评标委员会依据本章第2.1款规定的标准对投标文件进行初步评审。有一项不符合评审标准的，作废标处理。</w:t>
      </w:r>
    </w:p>
    <w:p w14:paraId="63E966EF">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3.1.2 投标人有以下情形之一的，其投标作废标处理：</w:t>
      </w:r>
    </w:p>
    <w:p w14:paraId="2C1604C0">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（1）第二章“投标人须知”第1.4.3项规定的任何一种情形的；</w:t>
      </w:r>
    </w:p>
    <w:p w14:paraId="426794D8">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（2）串通投标或弄虚作假或有其他违法行为的；</w:t>
      </w:r>
    </w:p>
    <w:p w14:paraId="0B403A5D">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（3）不按评标委员会要求澄清、说明或补正的。</w:t>
      </w:r>
    </w:p>
    <w:p w14:paraId="1F13F7A5">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3.1.3投标报价有算术错误的，评标委员会按以下原则对投标报价进行修正，修正的价格经投标人确认后具有约束力。投标人不接受修正价格的，其投标作废标处理。</w:t>
      </w:r>
    </w:p>
    <w:p w14:paraId="097C0786">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49141DC5">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17F9EEA3">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3.2 详细评审</w:t>
      </w:r>
    </w:p>
    <w:p w14:paraId="3DCDD291">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3.2.1 评标委员会按本章第2.2款规定的量化因素和分值进行打分，并计算出综合得分。</w:t>
      </w:r>
    </w:p>
    <w:p w14:paraId="108B9698">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（1）按本章规定的评审因素和分值对</w:t>
      </w:r>
      <w:r>
        <w:rPr>
          <w:rFonts w:hint="eastAsia" w:ascii="宋体" w:hAnsi="宋体" w:eastAsia="宋体" w:cs="宋体"/>
          <w:color w:val="auto"/>
          <w:highlight w:val="none"/>
          <w:lang w:val="en-US" w:eastAsia="zh-CN"/>
        </w:rPr>
        <w:t>报价得分</w:t>
      </w:r>
      <w:r>
        <w:rPr>
          <w:rFonts w:hint="eastAsia" w:ascii="宋体" w:hAnsi="宋体" w:eastAsia="宋体" w:cs="宋体"/>
          <w:color w:val="auto"/>
          <w:highlight w:val="none"/>
        </w:rPr>
        <w:t>计算出得分A；</w:t>
      </w:r>
    </w:p>
    <w:p w14:paraId="27764B3D">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（2）按本章规定的评审因素和分值对技术</w:t>
      </w:r>
      <w:r>
        <w:rPr>
          <w:rFonts w:hint="eastAsia" w:ascii="宋体" w:hAnsi="宋体" w:eastAsia="宋体" w:cs="宋体"/>
          <w:color w:val="auto"/>
          <w:highlight w:val="none"/>
          <w:lang w:val="en-US" w:eastAsia="zh-CN"/>
        </w:rPr>
        <w:t>得分</w:t>
      </w:r>
      <w:r>
        <w:rPr>
          <w:rFonts w:hint="eastAsia" w:ascii="宋体" w:hAnsi="宋体" w:eastAsia="宋体" w:cs="宋体"/>
          <w:color w:val="auto"/>
          <w:highlight w:val="none"/>
        </w:rPr>
        <w:t>计算出得分B；</w:t>
      </w:r>
    </w:p>
    <w:p w14:paraId="7C8AB94C">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（3）按本章规定的评审因素和分值对综合</w:t>
      </w:r>
      <w:r>
        <w:rPr>
          <w:rFonts w:hint="eastAsia" w:ascii="宋体" w:hAnsi="宋体" w:eastAsia="宋体" w:cs="宋体"/>
          <w:color w:val="auto"/>
          <w:highlight w:val="none"/>
          <w:lang w:val="en-US" w:eastAsia="zh-CN"/>
        </w:rPr>
        <w:t>得分</w:t>
      </w:r>
      <w:r>
        <w:rPr>
          <w:rFonts w:hint="eastAsia" w:ascii="宋体" w:hAnsi="宋体" w:eastAsia="宋体" w:cs="宋体"/>
          <w:color w:val="auto"/>
          <w:highlight w:val="none"/>
        </w:rPr>
        <w:t>计算出得分C；</w:t>
      </w:r>
    </w:p>
    <w:p w14:paraId="3723D1E7">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3.2.2 评分分值计算保留小数点后两位，小数点后第三位“四舍五入”。</w:t>
      </w:r>
    </w:p>
    <w:p w14:paraId="562CE68C">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3.2.3 投标人得分=A+B+C。</w:t>
      </w:r>
    </w:p>
    <w:p w14:paraId="010B349D">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6CA4B2D3">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3.3 投标文件的澄清和补正</w:t>
      </w:r>
    </w:p>
    <w:p w14:paraId="26FAA953">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3.3.1在评标过程中，评标委员会可以要求投标人对所提交投标文件中不明确的内容进行澄清或说明，或者对细微偏差进行补正。评标委员会不接受投标人主动提出的澄清、说明或补正。</w:t>
      </w:r>
    </w:p>
    <w:p w14:paraId="38894524">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3.3.2 澄清、说明和补正不得改变投标文件的实质性内容（算术性错误修正的除外）。投标人的澄清、说明和补正属于投标文件的组成部分。</w:t>
      </w:r>
    </w:p>
    <w:p w14:paraId="41C697EC">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3.3.3 评标委员会对投标人提交的澄清、说明或补正有疑问的，可以要求投标人进一步澄清、说明或补正，直至满足评标委员会的要求。</w:t>
      </w:r>
    </w:p>
    <w:p w14:paraId="61CC33F3">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3.4 评标结果</w:t>
      </w:r>
    </w:p>
    <w:p w14:paraId="4E7A02DA">
      <w:pPr>
        <w:tabs>
          <w:tab w:val="left" w:pos="720"/>
        </w:tabs>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3.4.1除第二章“投标人须知”前附表授权直接确定中标人外，评标委员会按照得分由高到低的顺序推荐中标候选人。</w:t>
      </w:r>
    </w:p>
    <w:p w14:paraId="7409BBDD">
      <w:pPr>
        <w:tabs>
          <w:tab w:val="left" w:pos="720"/>
        </w:tabs>
        <w:spacing w:line="440" w:lineRule="exact"/>
        <w:ind w:firstLine="420" w:firstLineChars="200"/>
        <w:rPr>
          <w:rFonts w:ascii="宋体" w:hAnsi="宋体" w:eastAsia="宋体" w:cs="宋体"/>
          <w:color w:val="auto"/>
          <w:szCs w:val="28"/>
          <w:highlight w:val="none"/>
        </w:rPr>
      </w:pPr>
      <w:r>
        <w:rPr>
          <w:rFonts w:hint="eastAsia" w:ascii="宋体" w:hAnsi="宋体" w:eastAsia="宋体" w:cs="宋体"/>
          <w:color w:val="auto"/>
          <w:highlight w:val="none"/>
        </w:rPr>
        <w:t>3.4.2 评标委员会完成评标后，应当向采购人提交评标报告。</w:t>
      </w:r>
    </w:p>
    <w:p w14:paraId="1F17254C">
      <w:pPr>
        <w:pStyle w:val="18"/>
        <w:numPr>
          <w:ilvl w:val="0"/>
          <w:numId w:val="5"/>
        </w:numPr>
        <w:spacing w:line="600" w:lineRule="exact"/>
        <w:ind w:right="-63" w:rightChars="-30"/>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 xml:space="preserve"> </w:t>
      </w:r>
      <w:bookmarkStart w:id="252" w:name="_Toc27443"/>
      <w:bookmarkStart w:id="253" w:name="_Toc7325"/>
      <w:r>
        <w:rPr>
          <w:rFonts w:hint="eastAsia" w:ascii="宋体" w:hAnsi="宋体" w:eastAsia="宋体" w:cs="宋体"/>
          <w:color w:val="auto"/>
          <w:sz w:val="36"/>
          <w:szCs w:val="36"/>
          <w:highlight w:val="none"/>
        </w:rPr>
        <w:t>合同条款及格式</w:t>
      </w:r>
      <w:bookmarkEnd w:id="249"/>
      <w:bookmarkEnd w:id="250"/>
      <w:bookmarkEnd w:id="251"/>
      <w:bookmarkEnd w:id="252"/>
      <w:bookmarkEnd w:id="253"/>
    </w:p>
    <w:p w14:paraId="6FFFD644">
      <w:pPr>
        <w:rPr>
          <w:color w:val="auto"/>
          <w:highlight w:val="none"/>
        </w:rPr>
      </w:pPr>
      <w:r>
        <w:rPr>
          <w:rFonts w:hint="eastAsia"/>
          <w:color w:val="auto"/>
          <w:highlight w:val="none"/>
        </w:rPr>
        <w:t xml:space="preserve">                             </w:t>
      </w:r>
      <w:r>
        <w:rPr>
          <w:rFonts w:hint="eastAsia"/>
          <w:color w:val="auto"/>
          <w:sz w:val="28"/>
          <w:szCs w:val="28"/>
          <w:highlight w:val="none"/>
        </w:rPr>
        <w:t xml:space="preserve">    </w:t>
      </w:r>
      <w:r>
        <w:rPr>
          <w:rFonts w:hint="eastAsia"/>
          <w:b/>
          <w:bCs/>
          <w:color w:val="auto"/>
          <w:sz w:val="28"/>
          <w:szCs w:val="28"/>
          <w:highlight w:val="none"/>
        </w:rPr>
        <w:t xml:space="preserve">  （仅供参考）</w:t>
      </w:r>
    </w:p>
    <w:tbl>
      <w:tblPr>
        <w:tblStyle w:val="21"/>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1C09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514" w:type="dxa"/>
            <w:vAlign w:val="top"/>
          </w:tcPr>
          <w:p w14:paraId="2BE2CB10">
            <w:pPr>
              <w:rPr>
                <w:rFonts w:hint="eastAsia"/>
                <w:color w:val="auto"/>
                <w:kern w:val="0"/>
                <w:sz w:val="20"/>
                <w:highlight w:val="none"/>
              </w:rPr>
            </w:pPr>
            <w:r>
              <w:rPr>
                <w:rFonts w:hint="eastAsia"/>
                <w:color w:val="auto"/>
                <w:kern w:val="0"/>
                <w:sz w:val="20"/>
                <w:highlight w:val="none"/>
              </w:rPr>
              <w:t>注释：</w:t>
            </w:r>
          </w:p>
          <w:p w14:paraId="091D795A">
            <w:pPr>
              <w:rPr>
                <w:rFonts w:hint="eastAsia"/>
                <w:color w:val="auto"/>
                <w:kern w:val="0"/>
                <w:sz w:val="20"/>
                <w:highlight w:val="none"/>
              </w:rPr>
            </w:pPr>
            <w:r>
              <w:rPr>
                <w:rFonts w:hint="eastAsia"/>
                <w:color w:val="auto"/>
                <w:kern w:val="0"/>
                <w:sz w:val="20"/>
                <w:highlight w:val="none"/>
              </w:rPr>
              <w:t>本文条款仅作为双方签订合同的参考，为阐明各方的权利和义务，经协商可增加新的条款。但不得与招标文件、投标文件的实质性内容相背离。</w:t>
            </w:r>
          </w:p>
        </w:tc>
      </w:tr>
    </w:tbl>
    <w:p w14:paraId="1D0F3A59">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以下为合同签订时的基本内容，</w:t>
      </w:r>
      <w:r>
        <w:rPr>
          <w:rFonts w:hint="eastAsia" w:ascii="宋体" w:hAnsi="宋体"/>
          <w:color w:val="auto"/>
          <w:szCs w:val="21"/>
          <w:highlight w:val="none"/>
        </w:rPr>
        <w:t>若需修改及未尽事宜，待投标人中标后签订合同时与</w:t>
      </w:r>
      <w:r>
        <w:rPr>
          <w:rFonts w:hint="eastAsia" w:ascii="宋体" w:hAnsi="宋体"/>
          <w:bCs/>
          <w:color w:val="auto"/>
          <w:szCs w:val="21"/>
          <w:highlight w:val="none"/>
        </w:rPr>
        <w:t>招标人</w:t>
      </w:r>
      <w:r>
        <w:rPr>
          <w:rFonts w:hint="eastAsia" w:ascii="宋体" w:hAnsi="宋体"/>
          <w:color w:val="auto"/>
          <w:szCs w:val="21"/>
          <w:highlight w:val="none"/>
        </w:rPr>
        <w:t>协商确定。</w:t>
      </w:r>
      <w:r>
        <w:rPr>
          <w:rFonts w:hint="eastAsia" w:ascii="宋体" w:hAnsi="宋体"/>
          <w:bCs/>
          <w:color w:val="auto"/>
          <w:szCs w:val="21"/>
          <w:highlight w:val="none"/>
        </w:rPr>
        <w:t>最终文本是以招标人招标文件和中标人投标文件（包括评标时质询文件）相关内容为基础，经双方谈判后形成的</w:t>
      </w:r>
      <w:r>
        <w:rPr>
          <w:rFonts w:hint="eastAsia" w:ascii="宋体" w:hAnsi="宋体"/>
          <w:color w:val="auto"/>
          <w:szCs w:val="21"/>
          <w:highlight w:val="none"/>
        </w:rPr>
        <w:t>合同文本</w:t>
      </w:r>
      <w:r>
        <w:rPr>
          <w:rFonts w:hint="eastAsia" w:ascii="宋体" w:hAnsi="宋体"/>
          <w:bCs/>
          <w:color w:val="auto"/>
          <w:szCs w:val="21"/>
          <w:highlight w:val="none"/>
        </w:rPr>
        <w:t>。</w:t>
      </w:r>
    </w:p>
    <w:p w14:paraId="0966A8A0">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甲方（需方）：_________</w:t>
      </w:r>
    </w:p>
    <w:p w14:paraId="552C3F4B">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乙方（供方）：_________</w:t>
      </w:r>
    </w:p>
    <w:p w14:paraId="478DCCC5">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经过双方友好协商，依据《</w:t>
      </w:r>
      <w:r>
        <w:rPr>
          <w:rFonts w:hint="eastAsia" w:ascii="宋体" w:hAnsi="宋体"/>
          <w:bCs/>
          <w:color w:val="auto"/>
          <w:szCs w:val="21"/>
          <w:highlight w:val="none"/>
        </w:rPr>
        <w:t>中华人民共和国民法典合同编</w:t>
      </w:r>
      <w:r>
        <w:rPr>
          <w:rFonts w:hint="eastAsia" w:ascii="宋体" w:hAnsi="宋体"/>
          <w:color w:val="auto"/>
          <w:szCs w:val="21"/>
          <w:highlight w:val="none"/>
        </w:rPr>
        <w:t>》，双方同意签订以下合同条款，以便双方共同遵守、履行合同。</w:t>
      </w:r>
    </w:p>
    <w:p w14:paraId="1CAB8B22">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1. 项目信息 </w:t>
      </w:r>
    </w:p>
    <w:p w14:paraId="2C95B370">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（1）采购项目名称： </w:t>
      </w:r>
    </w:p>
    <w:p w14:paraId="292833CF">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（2）采购计划编号： </w:t>
      </w:r>
    </w:p>
    <w:p w14:paraId="660AE1A1">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（3）项目内容： </w:t>
      </w:r>
    </w:p>
    <w:p w14:paraId="33C435E5">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2. 合同金额 </w:t>
      </w:r>
    </w:p>
    <w:p w14:paraId="62BFC329">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（1）合同金额小写： 大写： </w:t>
      </w:r>
    </w:p>
    <w:p w14:paraId="250EDFCA">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（2）具体标的见附件。 </w:t>
      </w:r>
    </w:p>
    <w:p w14:paraId="2D5D3CE5">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（3）合同价格形式：</w:t>
      </w:r>
      <w:r>
        <w:rPr>
          <w:rFonts w:hint="eastAsia" w:ascii="宋体" w:hAnsi="宋体"/>
          <w:bCs/>
          <w:color w:val="auto"/>
          <w:szCs w:val="21"/>
          <w:highlight w:val="none"/>
          <w:lang w:val="en-US" w:eastAsia="zh-CN"/>
        </w:rPr>
        <w:t xml:space="preserve">     </w:t>
      </w:r>
      <w:r>
        <w:rPr>
          <w:rFonts w:ascii="宋体" w:hAnsi="宋体"/>
          <w:bCs/>
          <w:color w:val="auto"/>
          <w:szCs w:val="21"/>
          <w:highlight w:val="none"/>
        </w:rPr>
        <w:t>固定</w:t>
      </w:r>
      <w:r>
        <w:rPr>
          <w:rFonts w:hint="eastAsia" w:ascii="宋体" w:hAnsi="宋体"/>
          <w:bCs/>
          <w:color w:val="auto"/>
          <w:szCs w:val="21"/>
          <w:highlight w:val="none"/>
          <w:lang w:val="en-US" w:eastAsia="zh-CN"/>
        </w:rPr>
        <w:t>单价</w:t>
      </w:r>
      <w:r>
        <w:rPr>
          <w:rFonts w:ascii="宋体" w:hAnsi="宋体"/>
          <w:bCs/>
          <w:color w:val="auto"/>
          <w:szCs w:val="21"/>
          <w:highlight w:val="none"/>
        </w:rPr>
        <w:t xml:space="preserve">合同 。 </w:t>
      </w:r>
    </w:p>
    <w:p w14:paraId="2BAE24D6">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3. 履行合同的时间、地点及方式 </w:t>
      </w:r>
    </w:p>
    <w:p w14:paraId="2F0CF20A">
      <w:pPr>
        <w:spacing w:line="440" w:lineRule="exact"/>
        <w:ind w:firstLine="630" w:firstLineChars="300"/>
        <w:jc w:val="left"/>
        <w:rPr>
          <w:rFonts w:hint="eastAsia" w:ascii="宋体" w:hAnsi="宋体"/>
          <w:bCs/>
          <w:color w:val="auto"/>
          <w:szCs w:val="21"/>
          <w:highlight w:val="none"/>
        </w:rPr>
      </w:pPr>
      <w:r>
        <w:rPr>
          <w:rFonts w:ascii="宋体" w:hAnsi="宋体"/>
          <w:bCs/>
          <w:color w:val="auto"/>
          <w:szCs w:val="21"/>
          <w:highlight w:val="none"/>
        </w:rPr>
        <w:t xml:space="preserve">起始日期： </w:t>
      </w:r>
    </w:p>
    <w:p w14:paraId="3969359A">
      <w:pPr>
        <w:spacing w:line="440" w:lineRule="exact"/>
        <w:ind w:firstLine="630" w:firstLineChars="300"/>
        <w:jc w:val="left"/>
        <w:rPr>
          <w:rFonts w:hint="eastAsia" w:ascii="宋体" w:hAnsi="宋体"/>
          <w:bCs/>
          <w:color w:val="auto"/>
          <w:szCs w:val="21"/>
          <w:highlight w:val="none"/>
        </w:rPr>
      </w:pPr>
      <w:r>
        <w:rPr>
          <w:rFonts w:ascii="宋体" w:hAnsi="宋体"/>
          <w:bCs/>
          <w:color w:val="auto"/>
          <w:szCs w:val="21"/>
          <w:highlight w:val="none"/>
        </w:rPr>
        <w:t xml:space="preserve">地点： </w:t>
      </w:r>
    </w:p>
    <w:p w14:paraId="7EAB60F7">
      <w:pPr>
        <w:spacing w:line="440" w:lineRule="exact"/>
        <w:ind w:firstLine="630" w:firstLineChars="300"/>
        <w:jc w:val="left"/>
        <w:rPr>
          <w:rFonts w:hint="eastAsia" w:ascii="宋体" w:hAnsi="宋体"/>
          <w:bCs/>
          <w:color w:val="auto"/>
          <w:szCs w:val="21"/>
          <w:highlight w:val="none"/>
        </w:rPr>
      </w:pPr>
      <w:r>
        <w:rPr>
          <w:rFonts w:ascii="宋体" w:hAnsi="宋体"/>
          <w:bCs/>
          <w:color w:val="auto"/>
          <w:szCs w:val="21"/>
          <w:highlight w:val="none"/>
        </w:rPr>
        <w:t xml:space="preserve">方式： </w:t>
      </w:r>
    </w:p>
    <w:p w14:paraId="53F4AC19">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4. 解决合同纠纷方式 首先通过双方协商解决，协商解决不成，则通过以下途径之一解决纠纷。 </w:t>
      </w:r>
    </w:p>
    <w:p w14:paraId="452FE065">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5. 组成合同的文件 </w:t>
      </w:r>
    </w:p>
    <w:p w14:paraId="42B6B545">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本协议书与下列文件一起构成合同文件，如下述文件之间有任何抵触、矛盾或歧义，应 按以下顺序解释： </w:t>
      </w:r>
    </w:p>
    <w:p w14:paraId="51108488">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（1）在采购或合同履行过程中乙方作出的承诺以及双方协商达成的变更或补充协议 </w:t>
      </w:r>
    </w:p>
    <w:p w14:paraId="75D98F37">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（2）中标通知书 </w:t>
      </w:r>
    </w:p>
    <w:p w14:paraId="16E5813E">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（3）投标文件 </w:t>
      </w:r>
    </w:p>
    <w:p w14:paraId="6910BED3">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（4）政府采购合同格式条款及其附件</w:t>
      </w:r>
    </w:p>
    <w:p w14:paraId="31C16030">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 （5）专用合同条款 </w:t>
      </w:r>
    </w:p>
    <w:p w14:paraId="71A705A8">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（6）通用合同条款（如果有） </w:t>
      </w:r>
    </w:p>
    <w:p w14:paraId="45B70295">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（7）标准、规范及有关技术文件 </w:t>
      </w:r>
    </w:p>
    <w:p w14:paraId="17DCA1E5">
      <w:pPr>
        <w:spacing w:line="440" w:lineRule="exact"/>
        <w:ind w:firstLine="420" w:firstLineChars="200"/>
        <w:jc w:val="left"/>
        <w:rPr>
          <w:rFonts w:hint="eastAsia" w:ascii="宋体" w:hAnsi="宋体"/>
          <w:bCs/>
          <w:color w:val="auto"/>
          <w:szCs w:val="21"/>
          <w:highlight w:val="none"/>
        </w:rPr>
      </w:pPr>
      <w:r>
        <w:rPr>
          <w:rFonts w:ascii="宋体" w:hAnsi="宋体"/>
          <w:bCs/>
          <w:color w:val="auto"/>
          <w:szCs w:val="21"/>
          <w:highlight w:val="none"/>
        </w:rPr>
        <w:t xml:space="preserve">（8）其他合同文件。 </w:t>
      </w:r>
    </w:p>
    <w:p w14:paraId="588D06FF">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6.其它</w:t>
      </w:r>
    </w:p>
    <w:p w14:paraId="4AEF6872">
      <w:pPr>
        <w:spacing w:line="440" w:lineRule="exact"/>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6.1．本合同一式肆份，甲乙双方各执贰份，</w:t>
      </w:r>
      <w:r>
        <w:rPr>
          <w:rFonts w:hint="eastAsia" w:ascii="宋体" w:hAnsi="宋体"/>
          <w:color w:val="auto"/>
          <w:szCs w:val="21"/>
          <w:highlight w:val="none"/>
        </w:rPr>
        <w:t>；</w:t>
      </w:r>
    </w:p>
    <w:p w14:paraId="0CAC3FDB">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6.2．本合同自签订之日起生效；</w:t>
      </w:r>
    </w:p>
    <w:p w14:paraId="302F8F58">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6.3．本项目的招标文件、投标文件、中标通知书是合同的附件，与合同具有同等的法律效力；</w:t>
      </w:r>
    </w:p>
    <w:p w14:paraId="04361F88">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6.4．其它未尽事宜，由双方友好协商解决，并参照《中华人民共和国民法典合同编》有关条款执行。</w:t>
      </w:r>
    </w:p>
    <w:p w14:paraId="307C759A">
      <w:pPr>
        <w:spacing w:line="440" w:lineRule="exact"/>
        <w:ind w:firstLine="420" w:firstLineChars="200"/>
        <w:jc w:val="left"/>
        <w:rPr>
          <w:rFonts w:hint="eastAsia" w:ascii="宋体" w:hAnsi="宋体"/>
          <w:bCs/>
          <w:color w:val="auto"/>
          <w:szCs w:val="21"/>
          <w:highlight w:val="none"/>
        </w:rPr>
      </w:pPr>
    </w:p>
    <w:p w14:paraId="34A47D3B">
      <w:pPr>
        <w:spacing w:line="440" w:lineRule="exact"/>
        <w:ind w:firstLine="420" w:firstLineChars="200"/>
        <w:jc w:val="left"/>
        <w:rPr>
          <w:rFonts w:hint="eastAsia" w:ascii="宋体" w:hAnsi="宋体"/>
          <w:bCs/>
          <w:color w:val="auto"/>
          <w:szCs w:val="21"/>
          <w:highlight w:val="none"/>
        </w:rPr>
      </w:pPr>
    </w:p>
    <w:p w14:paraId="42159AFC">
      <w:pPr>
        <w:pStyle w:val="20"/>
        <w:rPr>
          <w:rFonts w:hint="eastAsia"/>
          <w:color w:val="auto"/>
          <w:highlight w:val="none"/>
        </w:rPr>
      </w:pPr>
    </w:p>
    <w:p w14:paraId="16CDA381">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甲方（盖章）：_________               乙方（盖章）：_________</w:t>
      </w:r>
    </w:p>
    <w:p w14:paraId="1B7BF2C5">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法定代表人（签字）：_________         法定代表人（签字）：_________</w:t>
      </w:r>
    </w:p>
    <w:p w14:paraId="47427126">
      <w:pPr>
        <w:spacing w:line="44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_________年____月____日               _________年____月____日</w:t>
      </w:r>
    </w:p>
    <w:p w14:paraId="10E4B2CB">
      <w:pPr>
        <w:ind w:firstLine="420" w:firstLineChars="200"/>
        <w:rPr>
          <w:color w:val="auto"/>
          <w:highlight w:val="none"/>
        </w:rPr>
      </w:pPr>
      <w:bookmarkStart w:id="254" w:name="_Toc25464"/>
      <w:r>
        <w:rPr>
          <w:rFonts w:hint="eastAsia" w:ascii="宋体" w:hAnsi="宋体"/>
          <w:bCs/>
          <w:color w:val="auto"/>
          <w:szCs w:val="21"/>
          <w:highlight w:val="none"/>
        </w:rPr>
        <w:t>签订地点：_________                   签订地点：_________</w:t>
      </w:r>
      <w:bookmarkEnd w:id="254"/>
    </w:p>
    <w:p w14:paraId="5DA83D46">
      <w:pPr>
        <w:adjustRightInd w:val="0"/>
        <w:spacing w:line="360" w:lineRule="auto"/>
        <w:ind w:firstLine="480" w:firstLineChars="200"/>
        <w:textAlignment w:val="baseline"/>
        <w:rPr>
          <w:rFonts w:ascii="宋体" w:hAnsi="宋体" w:cs="宋体"/>
          <w:color w:val="auto"/>
          <w:sz w:val="24"/>
          <w:highlight w:val="none"/>
        </w:rPr>
      </w:pPr>
      <w:bookmarkStart w:id="255" w:name="_Toc12807"/>
    </w:p>
    <w:p w14:paraId="3AA44E65">
      <w:pPr>
        <w:pStyle w:val="9"/>
        <w:jc w:val="center"/>
        <w:rPr>
          <w:rFonts w:ascii="宋体" w:hAnsi="宋体" w:eastAsia="宋体" w:cs="宋体"/>
          <w:b/>
          <w:bCs/>
          <w:color w:val="auto"/>
          <w:sz w:val="21"/>
          <w:szCs w:val="21"/>
          <w:highlight w:val="none"/>
        </w:rPr>
      </w:pPr>
    </w:p>
    <w:p w14:paraId="158D2391">
      <w:pPr>
        <w:pStyle w:val="9"/>
        <w:jc w:val="center"/>
        <w:rPr>
          <w:rFonts w:ascii="宋体" w:hAnsi="宋体" w:eastAsia="宋体" w:cs="宋体"/>
          <w:b/>
          <w:bCs/>
          <w:color w:val="auto"/>
          <w:sz w:val="21"/>
          <w:szCs w:val="21"/>
          <w:highlight w:val="none"/>
        </w:rPr>
      </w:pPr>
    </w:p>
    <w:p w14:paraId="14E44C1B">
      <w:pPr>
        <w:pStyle w:val="9"/>
        <w:jc w:val="center"/>
        <w:rPr>
          <w:rFonts w:ascii="宋体" w:hAnsi="宋体" w:eastAsia="宋体" w:cs="宋体"/>
          <w:b/>
          <w:bCs/>
          <w:color w:val="auto"/>
          <w:sz w:val="21"/>
          <w:szCs w:val="21"/>
          <w:highlight w:val="none"/>
        </w:rPr>
      </w:pPr>
    </w:p>
    <w:p w14:paraId="07C285FB">
      <w:pPr>
        <w:pStyle w:val="9"/>
        <w:jc w:val="center"/>
        <w:rPr>
          <w:rFonts w:ascii="宋体" w:hAnsi="宋体" w:eastAsia="宋体" w:cs="宋体"/>
          <w:b/>
          <w:bCs/>
          <w:color w:val="auto"/>
          <w:sz w:val="21"/>
          <w:szCs w:val="21"/>
          <w:highlight w:val="none"/>
        </w:rPr>
      </w:pPr>
    </w:p>
    <w:p w14:paraId="39F52725">
      <w:pPr>
        <w:pStyle w:val="9"/>
        <w:jc w:val="center"/>
        <w:rPr>
          <w:rFonts w:ascii="宋体" w:hAnsi="宋体" w:eastAsia="宋体" w:cs="宋体"/>
          <w:b/>
          <w:bCs/>
          <w:color w:val="auto"/>
          <w:sz w:val="21"/>
          <w:szCs w:val="21"/>
          <w:highlight w:val="none"/>
        </w:rPr>
      </w:pPr>
    </w:p>
    <w:p w14:paraId="1D48B3D6">
      <w:pPr>
        <w:pStyle w:val="9"/>
        <w:jc w:val="center"/>
        <w:rPr>
          <w:rFonts w:ascii="宋体" w:hAnsi="宋体" w:eastAsia="宋体" w:cs="宋体"/>
          <w:b/>
          <w:bCs/>
          <w:color w:val="auto"/>
          <w:sz w:val="21"/>
          <w:szCs w:val="21"/>
          <w:highlight w:val="none"/>
        </w:rPr>
      </w:pPr>
    </w:p>
    <w:p w14:paraId="7C2258FC">
      <w:pPr>
        <w:pStyle w:val="9"/>
        <w:jc w:val="center"/>
        <w:rPr>
          <w:rFonts w:ascii="宋体" w:hAnsi="宋体" w:eastAsia="宋体" w:cs="宋体"/>
          <w:b/>
          <w:bCs/>
          <w:color w:val="auto"/>
          <w:sz w:val="21"/>
          <w:szCs w:val="21"/>
          <w:highlight w:val="none"/>
        </w:rPr>
      </w:pPr>
    </w:p>
    <w:p w14:paraId="6E056CCB">
      <w:pPr>
        <w:pStyle w:val="9"/>
        <w:jc w:val="center"/>
        <w:rPr>
          <w:rFonts w:ascii="宋体" w:hAnsi="宋体" w:eastAsia="宋体" w:cs="宋体"/>
          <w:b/>
          <w:bCs/>
          <w:color w:val="auto"/>
          <w:sz w:val="21"/>
          <w:szCs w:val="21"/>
          <w:highlight w:val="none"/>
        </w:rPr>
      </w:pPr>
    </w:p>
    <w:p w14:paraId="4682FA77">
      <w:pPr>
        <w:pStyle w:val="9"/>
        <w:jc w:val="center"/>
        <w:rPr>
          <w:rFonts w:ascii="宋体" w:hAnsi="宋体" w:eastAsia="宋体" w:cs="宋体"/>
          <w:b/>
          <w:bCs/>
          <w:color w:val="auto"/>
          <w:sz w:val="21"/>
          <w:szCs w:val="21"/>
          <w:highlight w:val="none"/>
        </w:rPr>
      </w:pPr>
    </w:p>
    <w:p w14:paraId="3683F259">
      <w:pPr>
        <w:pStyle w:val="9"/>
        <w:jc w:val="center"/>
        <w:rPr>
          <w:rFonts w:ascii="宋体" w:hAnsi="宋体" w:eastAsia="宋体" w:cs="宋体"/>
          <w:b/>
          <w:bCs/>
          <w:color w:val="auto"/>
          <w:sz w:val="21"/>
          <w:szCs w:val="21"/>
          <w:highlight w:val="none"/>
        </w:rPr>
      </w:pPr>
    </w:p>
    <w:p w14:paraId="658673C3">
      <w:pPr>
        <w:pStyle w:val="9"/>
        <w:jc w:val="center"/>
        <w:rPr>
          <w:rFonts w:ascii="宋体" w:hAnsi="宋体" w:eastAsia="宋体" w:cs="宋体"/>
          <w:b/>
          <w:bCs/>
          <w:color w:val="auto"/>
          <w:sz w:val="21"/>
          <w:szCs w:val="21"/>
          <w:highlight w:val="none"/>
        </w:rPr>
      </w:pPr>
    </w:p>
    <w:p w14:paraId="1D4B2BA7">
      <w:pPr>
        <w:pStyle w:val="9"/>
        <w:jc w:val="center"/>
        <w:rPr>
          <w:rFonts w:ascii="宋体" w:hAnsi="宋体" w:eastAsia="宋体" w:cs="宋体"/>
          <w:b/>
          <w:bCs/>
          <w:color w:val="auto"/>
          <w:sz w:val="21"/>
          <w:szCs w:val="21"/>
          <w:highlight w:val="none"/>
        </w:rPr>
      </w:pPr>
    </w:p>
    <w:p w14:paraId="3771A2D3">
      <w:pPr>
        <w:pStyle w:val="9"/>
        <w:jc w:val="both"/>
        <w:rPr>
          <w:b/>
          <w:bCs/>
          <w:color w:val="auto"/>
          <w:sz w:val="32"/>
          <w:szCs w:val="32"/>
          <w:highlight w:val="none"/>
        </w:rPr>
      </w:pPr>
    </w:p>
    <w:p w14:paraId="4520803D">
      <w:pPr>
        <w:pStyle w:val="9"/>
        <w:numPr>
          <w:ilvl w:val="0"/>
          <w:numId w:val="5"/>
        </w:numPr>
        <w:jc w:val="center"/>
        <w:outlineLvl w:val="0"/>
        <w:rPr>
          <w:b/>
          <w:bCs/>
          <w:color w:val="auto"/>
          <w:sz w:val="32"/>
          <w:szCs w:val="32"/>
          <w:highlight w:val="none"/>
        </w:rPr>
      </w:pPr>
      <w:r>
        <w:rPr>
          <w:rFonts w:hint="eastAsia"/>
          <w:b/>
          <w:bCs/>
          <w:color w:val="auto"/>
          <w:sz w:val="32"/>
          <w:szCs w:val="32"/>
          <w:highlight w:val="none"/>
        </w:rPr>
        <w:t xml:space="preserve">  </w:t>
      </w:r>
      <w:bookmarkStart w:id="256" w:name="_Toc6692"/>
      <w:r>
        <w:rPr>
          <w:rFonts w:hint="eastAsia"/>
          <w:b/>
          <w:bCs/>
          <w:color w:val="auto"/>
          <w:sz w:val="32"/>
          <w:szCs w:val="32"/>
          <w:highlight w:val="none"/>
        </w:rPr>
        <w:t>采购内容及技术要求</w:t>
      </w:r>
      <w:bookmarkEnd w:id="256"/>
    </w:p>
    <w:p w14:paraId="623697FE">
      <w:pPr>
        <w:widowControl/>
        <w:numPr>
          <w:ilvl w:val="0"/>
          <w:numId w:val="8"/>
        </w:numPr>
        <w:wordWrap/>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项目概况</w:t>
      </w:r>
    </w:p>
    <w:p w14:paraId="55527DBC">
      <w:pPr>
        <w:widowControl/>
        <w:numPr>
          <w:ilvl w:val="0"/>
          <w:numId w:val="0"/>
        </w:numPr>
        <w:wordWrap/>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w:t>
      </w:r>
      <w:r>
        <w:rPr>
          <w:rFonts w:hint="eastAsia" w:ascii="宋体" w:hAnsi="宋体" w:cs="宋体"/>
          <w:color w:val="auto"/>
          <w:kern w:val="0"/>
          <w:sz w:val="24"/>
          <w:szCs w:val="24"/>
          <w:highlight w:val="none"/>
          <w:lang w:val="en-US" w:eastAsia="zh-CN"/>
        </w:rPr>
        <w:t>博爱县党建引领基层高效能治理平台</w:t>
      </w:r>
      <w:r>
        <w:rPr>
          <w:rFonts w:hint="eastAsia" w:ascii="宋体" w:hAnsi="宋体" w:eastAsia="宋体" w:cs="宋体"/>
          <w:color w:val="auto"/>
          <w:kern w:val="0"/>
          <w:sz w:val="24"/>
          <w:szCs w:val="24"/>
          <w:highlight w:val="none"/>
          <w:lang w:val="en-US" w:eastAsia="zh-CN"/>
        </w:rPr>
        <w:t>采购项目</w:t>
      </w:r>
    </w:p>
    <w:p w14:paraId="2E6AAD09">
      <w:pPr>
        <w:widowControl/>
        <w:spacing w:line="440" w:lineRule="exact"/>
        <w:ind w:firstLine="480" w:firstLineChars="200"/>
        <w:jc w:val="left"/>
        <w:rPr>
          <w:rFonts w:hint="eastAsia" w:ascii="宋体" w:hAnsi="宋体" w:cs="宋体"/>
          <w:color w:val="auto"/>
          <w:sz w:val="24"/>
          <w:highlight w:val="none"/>
          <w:shd w:val="clear" w:color="auto" w:fill="FFFFFF"/>
          <w:lang w:val="en-US" w:eastAsia="zh-CN"/>
        </w:rPr>
      </w:pPr>
      <w:r>
        <w:rPr>
          <w:rFonts w:hint="eastAsia" w:ascii="宋体" w:hAnsi="宋体" w:eastAsia="宋体" w:cs="宋体"/>
          <w:color w:val="auto"/>
          <w:kern w:val="0"/>
          <w:sz w:val="24"/>
          <w:szCs w:val="24"/>
          <w:highlight w:val="none"/>
          <w:lang w:val="en-US" w:eastAsia="zh-CN"/>
        </w:rPr>
        <w:t>采购</w:t>
      </w:r>
      <w:r>
        <w:rPr>
          <w:rFonts w:hint="eastAsia" w:ascii="宋体" w:hAnsi="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sz w:val="24"/>
          <w:highlight w:val="none"/>
          <w:shd w:val="clear" w:color="auto" w:fill="FFFFFF"/>
          <w:lang w:val="en-US" w:eastAsia="zh-CN"/>
        </w:rPr>
        <w:t>建设基层高效能治理驾驶舱、事件处置平台，具备视频汇聚、大模型分析、地图标注等基础能力，建设党建引领、六情管理、社会治理、无人机巡检、指挥调度等模块。</w:t>
      </w:r>
    </w:p>
    <w:p w14:paraId="5444D930">
      <w:pPr>
        <w:widowControl/>
        <w:spacing w:line="440" w:lineRule="exact"/>
        <w:ind w:firstLine="480" w:firstLineChars="200"/>
        <w:jc w:val="left"/>
        <w:rPr>
          <w:rFonts w:hint="eastAsia" w:ascii="宋体" w:hAnsi="宋体" w:cs="宋体"/>
          <w:color w:val="auto"/>
          <w:sz w:val="24"/>
          <w:highlight w:val="none"/>
          <w:shd w:val="clear" w:color="auto" w:fill="FFFFFF"/>
          <w:lang w:val="en-US" w:eastAsia="zh-CN"/>
        </w:rPr>
      </w:pPr>
    </w:p>
    <w:tbl>
      <w:tblPr>
        <w:tblStyle w:val="21"/>
        <w:tblW w:w="97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773"/>
        <w:gridCol w:w="5981"/>
        <w:gridCol w:w="667"/>
        <w:gridCol w:w="668"/>
      </w:tblGrid>
      <w:tr w14:paraId="1E88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667" w:type="dxa"/>
            <w:tcBorders>
              <w:top w:val="nil"/>
              <w:left w:val="single" w:color="000000" w:sz="4" w:space="0"/>
              <w:bottom w:val="single" w:color="000000" w:sz="4" w:space="0"/>
              <w:right w:val="single" w:color="000000" w:sz="4" w:space="0"/>
            </w:tcBorders>
            <w:shd w:val="clear" w:color="auto" w:fill="D6DCE4"/>
            <w:vAlign w:val="center"/>
          </w:tcPr>
          <w:p w14:paraId="61BEA34D">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类别</w:t>
            </w:r>
          </w:p>
        </w:tc>
        <w:tc>
          <w:tcPr>
            <w:tcW w:w="1773" w:type="dxa"/>
            <w:tcBorders>
              <w:top w:val="nil"/>
              <w:left w:val="single" w:color="000000" w:sz="4" w:space="0"/>
              <w:bottom w:val="single" w:color="000000" w:sz="4" w:space="0"/>
              <w:right w:val="single" w:color="000000" w:sz="4" w:space="0"/>
            </w:tcBorders>
            <w:shd w:val="clear" w:color="auto" w:fill="auto"/>
            <w:vAlign w:val="center"/>
          </w:tcPr>
          <w:p w14:paraId="2B5716B0">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服务内容</w:t>
            </w:r>
          </w:p>
        </w:tc>
        <w:tc>
          <w:tcPr>
            <w:tcW w:w="5981" w:type="dxa"/>
            <w:tcBorders>
              <w:top w:val="nil"/>
              <w:left w:val="single" w:color="000000" w:sz="4" w:space="0"/>
              <w:bottom w:val="single" w:color="000000" w:sz="4" w:space="0"/>
              <w:right w:val="single" w:color="000000" w:sz="4" w:space="0"/>
            </w:tcBorders>
            <w:shd w:val="clear" w:color="auto" w:fill="auto"/>
            <w:vAlign w:val="center"/>
          </w:tcPr>
          <w:p w14:paraId="54584583">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参数</w:t>
            </w:r>
          </w:p>
        </w:tc>
        <w:tc>
          <w:tcPr>
            <w:tcW w:w="667" w:type="dxa"/>
            <w:tcBorders>
              <w:top w:val="nil"/>
              <w:left w:val="single" w:color="000000" w:sz="4" w:space="0"/>
              <w:bottom w:val="single" w:color="000000" w:sz="4" w:space="0"/>
              <w:right w:val="single" w:color="000000" w:sz="4" w:space="0"/>
            </w:tcBorders>
            <w:shd w:val="clear" w:color="auto" w:fill="D6DCE4"/>
            <w:vAlign w:val="center"/>
          </w:tcPr>
          <w:p w14:paraId="403BC181">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数量</w:t>
            </w:r>
          </w:p>
        </w:tc>
        <w:tc>
          <w:tcPr>
            <w:tcW w:w="668" w:type="dxa"/>
            <w:tcBorders>
              <w:top w:val="nil"/>
              <w:left w:val="single" w:color="000000" w:sz="4" w:space="0"/>
              <w:bottom w:val="single" w:color="000000" w:sz="4" w:space="0"/>
              <w:right w:val="single" w:color="000000" w:sz="4" w:space="0"/>
            </w:tcBorders>
            <w:shd w:val="clear" w:color="auto" w:fill="D6DCE4"/>
            <w:vAlign w:val="center"/>
          </w:tcPr>
          <w:p w14:paraId="27BC946B">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单位</w:t>
            </w:r>
          </w:p>
        </w:tc>
      </w:tr>
      <w:tr w14:paraId="7B2E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B7E">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大屏端</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8B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可视化数据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监测大屏服务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1B0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提供多个管理视角的数据可视化大屏定制和统一展示功能。可视化数据大屏分析展示内容如下：</w:t>
            </w:r>
            <w:r>
              <w:rPr>
                <w:rFonts w:hint="eastAsia" w:ascii="仿宋" w:hAnsi="仿宋" w:eastAsia="仿宋" w:cs="仿宋"/>
                <w:i w:val="0"/>
                <w:iCs w:val="0"/>
                <w:color w:val="auto"/>
                <w:kern w:val="0"/>
                <w:sz w:val="20"/>
                <w:szCs w:val="20"/>
                <w:u w:val="none"/>
                <w:lang w:val="en-US" w:eastAsia="zh-CN" w:bidi="ar"/>
              </w:rPr>
              <w:br w:type="textWrapping"/>
            </w:r>
            <w:r>
              <w:rPr>
                <w:rStyle w:val="42"/>
                <w:color w:val="auto"/>
                <w:lang w:val="en-US" w:eastAsia="zh-CN" w:bidi="ar"/>
              </w:rPr>
              <w:t>★1、党建引领：包括全县概况、基层党组织、两企三新、网格事项处置情况、在职党员进社区情况、运行机制和网格建设情况等内容。（</w:t>
            </w:r>
            <w:r>
              <w:rPr>
                <w:rStyle w:val="42"/>
                <w:rFonts w:hint="eastAsia"/>
                <w:color w:val="auto"/>
                <w:lang w:val="en-US" w:eastAsia="zh-CN" w:bidi="ar"/>
              </w:rPr>
              <w:t>提供系统功能截图）</w:t>
            </w:r>
            <w:r>
              <w:rPr>
                <w:rStyle w:val="42"/>
                <w:color w:val="auto"/>
                <w:lang w:val="en-US" w:eastAsia="zh-CN" w:bidi="ar"/>
              </w:rPr>
              <w:br w:type="textWrapping"/>
            </w:r>
            <w:r>
              <w:rPr>
                <w:rStyle w:val="42"/>
                <w:color w:val="auto"/>
                <w:lang w:val="en-US" w:eastAsia="zh-CN" w:bidi="ar"/>
              </w:rPr>
              <w:t>★2、六情管理：包括六情事件概览、事件类型Top3、中高风险事件概览、高频事件提示、重点事件分析等内容。（</w:t>
            </w:r>
            <w:r>
              <w:rPr>
                <w:rStyle w:val="42"/>
                <w:rFonts w:hint="eastAsia"/>
                <w:color w:val="auto"/>
                <w:lang w:val="en-US" w:eastAsia="zh-CN" w:bidi="ar"/>
              </w:rPr>
              <w:t>提供系统功能截图）</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3、社会治理：包括重点人群展示和矛盾纠纷事件展示。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4、城市管理：包括城管事件结案总览、高发问题Top5、随手拍事件等内容。</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5、视频汇聚：包括视频列表、视频播放界面、AI识别事件信息等内容。</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6、无人机巡检：包括机场列表、驾驶员列表、巡护总数据、事件统计、预警图片、应用专题等内容。</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7、指挥调度：包括事件办理统计、事件列表、事件属地分析、事件类型分析、周期任务完成统计等内容。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F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E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45AF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248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业务系统-PC端</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D1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事件处置平台</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40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事件上报，通过汇聚网格巡查、物联感知、群众上报等多源事件信息，基于统一规则库实现智能分拨建议，构建“受理-流转-处置-反馈-评价”全流程闭环管理体系，实时追踪事件处理进度、动态协调资源调配，推动执法、应急、民生等责任主体高效协同。</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2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E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1BA7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9118">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C7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数据采集平台</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874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Style w:val="42"/>
                <w:color w:val="auto"/>
                <w:lang w:val="en-US" w:eastAsia="zh-CN" w:bidi="ar"/>
              </w:rPr>
              <w:t>★1.提供数据需求管理、数据查询、任务管理服务，支持创建个性化采集表单，可根据表单填报内容，实现大屏数据的自动更新。（</w:t>
            </w:r>
            <w:r>
              <w:rPr>
                <w:rStyle w:val="42"/>
                <w:rFonts w:hint="eastAsia"/>
                <w:color w:val="auto"/>
                <w:lang w:val="en-US" w:eastAsia="zh-CN" w:bidi="ar"/>
              </w:rPr>
              <w:t>提供系统功能截图）</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2.数据采集范围包括党建引领、六情管理和社会治理，高频次数据更新支撑业务分析需求。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64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FD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5DCB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1"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FCA0">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D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地图标注平台</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52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Style w:val="43"/>
                <w:color w:val="auto"/>
                <w:lang w:val="en-US" w:eastAsia="zh-CN" w:bidi="ar"/>
              </w:rPr>
              <w:t>1. 提供地图标注服务，绘制全县村、社区的网格以及网格内的党员力量；</w:t>
            </w:r>
            <w:r>
              <w:rPr>
                <w:rStyle w:val="43"/>
                <w:color w:val="auto"/>
                <w:lang w:val="en-US" w:eastAsia="zh-CN" w:bidi="ar"/>
              </w:rPr>
              <w:br w:type="textWrapping"/>
            </w:r>
            <w:r>
              <w:rPr>
                <w:rStyle w:val="43"/>
                <w:color w:val="auto"/>
                <w:lang w:val="en-US" w:eastAsia="zh-CN" w:bidi="ar"/>
              </w:rPr>
              <w:t>2. 网格在线绘制服务,支持多边形、矩形、圆形等自定义形状网格及规则网格绘制，可对已绘制网格进行智能剪裁，自动剔除超出目标边界的网格部分，具备撤销、恢复操作功能以纠错，通过节点修改等方式精细调整网格形状；编辑多边形网格时支持节点捕捉、自动捕捉至相邻多边形边线上。</w:t>
            </w:r>
            <w:r>
              <w:rPr>
                <w:rStyle w:val="43"/>
                <w:color w:val="auto"/>
                <w:lang w:val="en-US" w:eastAsia="zh-CN" w:bidi="ar"/>
              </w:rPr>
              <w:br w:type="textWrapping"/>
            </w:r>
            <w:r>
              <w:rPr>
                <w:rStyle w:val="43"/>
                <w:color w:val="auto"/>
                <w:lang w:val="en-US" w:eastAsia="zh-CN" w:bidi="ar"/>
              </w:rPr>
              <w:t>3. 图层与搜索功能，提供图层管理，平台预置在线天地图，支持矢量和影像两种风格切换，用户可自主上传高精度地图并按需叠加，保证地图鲜活性和标注底图需求，提供在线地图地点搜索功能。</w:t>
            </w:r>
            <w:r>
              <w:rPr>
                <w:rStyle w:val="43"/>
                <w:color w:val="auto"/>
                <w:lang w:val="en-US" w:eastAsia="zh-CN" w:bidi="ar"/>
              </w:rPr>
              <w:br w:type="textWrapping"/>
            </w:r>
            <w:r>
              <w:rPr>
                <w:rStyle w:val="43"/>
                <w:color w:val="auto"/>
                <w:lang w:val="en-US" w:eastAsia="zh-CN" w:bidi="ar"/>
              </w:rPr>
              <w:t>4. 网格与区划数据管理，提供网格数据管理、区划管理、区划信息管理展示，可配置网格边界关联规则，支持配置网格边界与行政区划的关联规则，自动生成网格编码。</w:t>
            </w:r>
            <w:r>
              <w:rPr>
                <w:rStyle w:val="43"/>
                <w:color w:val="auto"/>
                <w:lang w:val="en-US" w:eastAsia="zh-CN" w:bidi="ar"/>
              </w:rPr>
              <w:br w:type="textWrapping"/>
            </w:r>
            <w:r>
              <w:rPr>
                <w:rStyle w:val="42"/>
                <w:color w:val="auto"/>
                <w:lang w:val="en-US" w:eastAsia="zh-CN" w:bidi="ar"/>
              </w:rPr>
              <w:t>★5. 网格地图标注功能，提供基础标注、自定义属性表，构建 “人、地、事、物、情、组织” 基础属性字段库，支持用户根据业务需求自定义增删字段形成专属业务表单，可通过表单录入或 Excel 批量导入方式，实现标注点位与属性数据的一键关联，点击标注即可查看完整属性详情，达成 “空间位置 + 业务信息” 一体化管理；提供多人协作、数据智能入格、地图分享等功能。（</w:t>
            </w:r>
            <w:r>
              <w:rPr>
                <w:rStyle w:val="42"/>
                <w:rFonts w:hint="eastAsia"/>
                <w:color w:val="auto"/>
                <w:lang w:val="en-US" w:eastAsia="zh-CN" w:bidi="ar"/>
              </w:rPr>
              <w:t>提供系统功能截图）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0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2A9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5C1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6037">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4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智能视觉感知平台</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83F4">
            <w:pPr>
              <w:keepNext w:val="0"/>
              <w:keepLines w:val="0"/>
              <w:widowControl/>
              <w:suppressLineNumbers w:val="0"/>
              <w:jc w:val="left"/>
              <w:textAlignment w:val="center"/>
              <w:rPr>
                <w:rFonts w:ascii="微软雅黑" w:hAnsi="微软雅黑" w:eastAsia="微软雅黑" w:cs="微软雅黑"/>
                <w:i w:val="0"/>
                <w:iCs w:val="0"/>
                <w:color w:val="auto"/>
                <w:sz w:val="20"/>
                <w:szCs w:val="20"/>
                <w:u w:val="none"/>
              </w:rPr>
            </w:pPr>
            <w:r>
              <w:rPr>
                <w:rStyle w:val="44"/>
                <w:color w:val="auto"/>
                <w:lang w:val="en-US" w:eastAsia="zh-CN" w:bidi="ar"/>
              </w:rPr>
              <w:t>★</w:t>
            </w:r>
            <w:r>
              <w:rPr>
                <w:rStyle w:val="42"/>
                <w:color w:val="auto"/>
                <w:lang w:val="en-US" w:eastAsia="zh-CN" w:bidi="ar"/>
              </w:rPr>
              <w:t>提供告警沙盘、统计、审核、检索，支撑视频标签管理、视频查看、视频摄像头AI算法场景配置等功能。（</w:t>
            </w:r>
            <w:r>
              <w:rPr>
                <w:rStyle w:val="42"/>
                <w:rFonts w:hint="eastAsia"/>
                <w:color w:val="auto"/>
                <w:lang w:val="en-US" w:eastAsia="zh-CN" w:bidi="ar"/>
              </w:rPr>
              <w:t>提供系统功能截图）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F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A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0B45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6"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3B2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业务系统-移动端</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3D0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提供小程序服务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8EF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提供事件上报小程序服务。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政务端：工作人员可以进行事件上报、处置、查询，主要功能包括智能上报、智能自行处置、事件派发、事件处置、我的经办等内容。工作人员可以选择上报至上级单位或县级治理中心。待办事件有事件数量提醒。办结事件可以提醒上报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2、市民端：市民可以进行事件上报、查询和个人信息编辑，主要功能包括智能上报、我的上报和个人信息。市民可以选择上报至网格员或县级治理中心，办结事件可以提醒上报人。</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8A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EF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4154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6"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2D47">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F4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提供微信公众号服务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184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基于“博爱县行政审批和政务信息管理局”微信公众号提供事件上报微信公众号服务。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网格员端：工作人员可以进行事件上报、处置、查询，主要功能包括智能上报、智能自行处置、事件派发、事件处置、我的经办等内容。工作人员可以选择上报至上级单位或县级治理中心，待办事件有事件数量提醒。</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2、群众端：市民可以进行事件上报、查询和个人信息编辑，主要功能包括智能上报、我的上报和个人信息。市民可以选择上报至网格员或县级治理中心。</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7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F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3458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6" w:hRule="atLeast"/>
        </w:trPr>
        <w:tc>
          <w:tcPr>
            <w:tcW w:w="667" w:type="dxa"/>
            <w:vMerge w:val="restart"/>
            <w:tcBorders>
              <w:top w:val="single" w:color="000000" w:sz="4" w:space="0"/>
              <w:left w:val="single" w:color="000000" w:sz="4" w:space="0"/>
              <w:bottom w:val="nil"/>
              <w:right w:val="single" w:color="000000" w:sz="4" w:space="0"/>
            </w:tcBorders>
            <w:shd w:val="clear" w:color="auto" w:fill="auto"/>
            <w:vAlign w:val="center"/>
          </w:tcPr>
          <w:p w14:paraId="159EEB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业务支撑</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服务</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8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大模型服务(含算力)</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C09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大模型赋能事件智能上报服务，本服务基于多模态AI大模型技术，深度融合自然语言处理（NLP）、计算机视觉（CV）与知识图谱能力，提供智能化数据上报与分析。市民、巡查员通过移动终端上报的文本描述、现场图片乃至语音信息，能够进行自动化识别与关键信息提取。系统可自动从图片中精准识别出城市部件（如井盖、路灯、垃圾桶）的损坏类型、位置，并将语音描述转化为结构化文本，实现“一键上报、多维解析”，极大降低信息填报门槛与成本。</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9C8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B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DD8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FFD905A">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6F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视频算法服务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AD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提供视频AI算法配置管理、视频AI算法等功能。支持配置视频流基于算法能力引擎进行解析，可提供占道经营、非机动车乱停放、垃圾桶满溢、违章停车、火情检测算法能力。</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EE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F0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B2B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6"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5613B2B">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36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地图引擎服务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3F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 基础数据服务：提供倾斜摄影数据服务、与倾斜摄影匹配的高精度白模数据服务，为前端业务提供基础空间数据支撑。</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 分析引擎服务：包含空间数据编辑服务、几何服务、地址匹配服务、分布式切图服务、空间分析服务等。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 开发支撑服务：提供基于 HTML5 WebGL 技术JavaScript 云 GIS 网络客户端开发 SDK，支持快速搭建自定义 GIS 应用，降低二次开发门槛。</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4、提供图层展示、空间查询、地图工具服务。</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EF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D4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3F58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D1EB49A">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14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视频汇聚服务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709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提供视频接入及管理、视频查看，支持大规模的视频码流分发管控，实现对第三方平台提供或推送的视频流进行接入和分发，实现安全的用户接入和灵活的视频传输，视频的展示播放。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4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A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6A6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25EFC063">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A8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融合通信服务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67B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提供稳定、可靠的融合通信服务能力，以支撑平台日常运营与用户联络需求。服务内容包括：</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短信服务：提供专业的短信发送能力，确保高到达率与稳定性。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音视频通话服务：提供并发的音视频通信功能，支持视频或语音同时在线，满足内部协同或客户服务的实时沟通场景。服务需保证通话清晰、流畅与稳定。</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A2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E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F8C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31D2A272">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50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城管系统对接服务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E70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提供城管数字化案件系统对接的个性化开发服务，实现城管办理案件数量的统计分析、办理过程的展示以及市民随手拍事件及图片的展示，支持对事件风险等级进行调整。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A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A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79FA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5B49A1E">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7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12345热线数据对接服务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190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提供12345热线数据对接的个性化开发服务，实现12345热线办理案件一人同诉、多人共诉事件分析。</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3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B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29B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CCA4DB8">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1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矛调数据对接服务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41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提供矛盾调解数据对接的个性化开发服务，实现矛盾调解案件数量的统计分析、类型分类统计、化解情况统计、最新矛调事件的列表展示。</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D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E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3B7D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D5770F6">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8F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重点人群数据对接服务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C77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重点人群数据对接的个性化开发服务，重点人群包括刑满释放、社区矫正、严重精神障碍患者、特定未成年人、重点信访人员、扬言报复社会、三失一偏人员等，实现重点人员数量、分布、基础数据的统计展示。</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2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50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CFA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805F80A">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55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党建数据对接服务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172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提供党建数据对接的个性化开发服务，实现党建相关数据的统计展示，党建数据包括党组织、党员、两企三新、网格力量、在职党员进社区、基层治理动态信息等内容。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D5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4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F8B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BF75F53">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61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数据治理服务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03A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采集、汇聚、整合多源业务系统数据，形成数据资源目录、专题数据库，有序安全存储，为大屏提供数据支撑。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2A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70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48EF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4"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187CC4E">
            <w:pPr>
              <w:jc w:val="center"/>
              <w:rPr>
                <w:rFonts w:hint="eastAsia" w:ascii="仿宋" w:hAnsi="仿宋" w:eastAsia="仿宋" w:cs="仿宋"/>
                <w:i w:val="0"/>
                <w:iCs w:val="0"/>
                <w:color w:val="auto"/>
                <w:sz w:val="20"/>
                <w:szCs w:val="20"/>
                <w:u w:val="none"/>
              </w:rPr>
            </w:pPr>
          </w:p>
        </w:tc>
        <w:tc>
          <w:tcPr>
            <w:tcW w:w="1773" w:type="dxa"/>
            <w:vMerge w:val="restart"/>
            <w:tcBorders>
              <w:top w:val="single" w:color="000000" w:sz="4" w:space="0"/>
              <w:left w:val="single" w:color="000000" w:sz="4" w:space="0"/>
              <w:bottom w:val="nil"/>
              <w:right w:val="single" w:color="000000" w:sz="4" w:space="0"/>
            </w:tcBorders>
            <w:shd w:val="clear" w:color="auto" w:fill="auto"/>
            <w:vAlign w:val="center"/>
          </w:tcPr>
          <w:p w14:paraId="6B4545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无人机平台服务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F6D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实时态势模块：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支持查看机库的状态，包含：工作状态、电池状态、舱盖状态、推杆状态、充电状态、风速风向、舱内温度、舱内湿度、天气状况、机库覆盖范围等；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支持显示无人机信息包含：无人机类型、经纬度、高度、速度、翻滚角、俯仰角、航向角、水平速度、垂直速度、海拔、起飞点距离、电量等；支持显示无人机的实时轨迹、飞行任务的航线规划等信息；</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已完成多种品牌机库的数据接入；</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支持显示无人机和机库的直播画面及飞行日志；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支持多路飞行视频直播画面，支持单屏、四屏、九屏、十六屏切换；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支持轨迹和视频的分享与查看，支持AI实时识别及AR画面增强；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支持视频清晰度调整以及自适应；</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支持直播画面一键截屏、一键录屏等，支持照片和视频留存记录。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4C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624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37DA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4"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4D8F449">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34849415">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9B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远程控制模块：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已完成多种品牌机库的远程控制及相关操作；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支持指哪飞哪，支持飞行高度、飞行速度、到达目标点动作等设置。</w:t>
            </w:r>
            <w:r>
              <w:rPr>
                <w:rFonts w:hint="eastAsia" w:ascii="仿宋" w:hAnsi="仿宋" w:eastAsia="仿宋" w:cs="仿宋"/>
                <w:i w:val="0"/>
                <w:iCs w:val="0"/>
                <w:color w:val="auto"/>
                <w:kern w:val="0"/>
                <w:sz w:val="20"/>
                <w:szCs w:val="20"/>
                <w:u w:val="none"/>
                <w:lang w:val="en-US" w:eastAsia="zh-CN" w:bidi="ar"/>
              </w:rPr>
              <w:br w:type="textWrapping"/>
            </w:r>
            <w:r>
              <w:rPr>
                <w:rStyle w:val="42"/>
                <w:color w:val="auto"/>
                <w:lang w:val="en-US" w:eastAsia="zh-CN" w:bidi="ar"/>
              </w:rPr>
              <w:t>★支持一键起飞、一键降落、一键返航、指点飞行、环绕飞行、断点续飞；执行航线任务时，支持航线暂停、恢复、结束航线等指令的控制；（</w:t>
            </w:r>
            <w:r>
              <w:rPr>
                <w:rStyle w:val="42"/>
                <w:rFonts w:hint="eastAsia"/>
                <w:color w:val="auto"/>
                <w:lang w:val="en-US" w:eastAsia="zh-CN" w:bidi="ar"/>
              </w:rPr>
              <w:t>提供系统功能截图）</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支持远程控制无人机，包含控制无人机的上升、下降、左转、右转、前进、后退、左移、右移；支持航空摇杆、键盘、鼠标等多种方式手动控制无人机；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支持远程控制无人机云台，包含镜头切换、云台方向的调整、拍照、录像、全景；支持变焦控制、红外模式切换以及温度调节；支持云台一键复位、90°俯视、45°俯视等操作；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支持控制无人机搭载的第三方载荷（喊话器、探照灯、抛投器等）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支持远程打开机库调试模式，调试模式下，支持重启、打开、关闭机库，开关舱门、启动、关闭无人机、格式化机库或者机库无人机的SD卡等操作。</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606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39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6A0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4"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29D93AB1">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0A32A70F">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C0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航线规划模块：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支持多种品牌机库的航线规划功能。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支持航点航线、正射航线、倾斜航线、环绕航线、全景航线、面状航线的规划；</w:t>
            </w:r>
            <w:r>
              <w:rPr>
                <w:rFonts w:hint="eastAsia" w:ascii="仿宋" w:hAnsi="仿宋" w:eastAsia="仿宋" w:cs="仿宋"/>
                <w:i w:val="0"/>
                <w:iCs w:val="0"/>
                <w:color w:val="auto"/>
                <w:kern w:val="0"/>
                <w:sz w:val="20"/>
                <w:szCs w:val="20"/>
                <w:u w:val="none"/>
                <w:lang w:val="en-US" w:eastAsia="zh-CN" w:bidi="ar"/>
              </w:rPr>
              <w:br w:type="textWrapping"/>
            </w:r>
            <w:r>
              <w:rPr>
                <w:rStyle w:val="42"/>
                <w:color w:val="auto"/>
                <w:lang w:val="en-US" w:eastAsia="zh-CN" w:bidi="ar"/>
              </w:rPr>
              <w:t>★航线任务可关联飞行需求以及设置AI识别类型；（</w:t>
            </w:r>
            <w:r>
              <w:rPr>
                <w:rStyle w:val="42"/>
                <w:rFonts w:hint="eastAsia"/>
                <w:color w:val="auto"/>
                <w:lang w:val="en-US" w:eastAsia="zh-CN" w:bidi="ar"/>
              </w:rPr>
              <w:t>提供系统功能截图）</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支持设置航线要素，包含照片存储类型、飞行速度、飞行高度、无人机偏航角模式、无人机失控动作、安全起飞高度、返航高度等；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支持航点要素设置，包含航点坐标、飞行高度、飞行速度、无人机偏航角模式、航点动作设置；支持航点动作批量设置；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支持航线的动作预览，航点动作快速定位；</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支持自动计算并显示航点总数、预计飞行里程和预计飞行时间；</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支持航线模板库管理；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支持导入KML航线；</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9B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D4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3C37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F00E365">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3B486AD8">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BFD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任务调度模块：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支持多种品牌的机库及无人机的任务调度，支持调度任务、计划任务、应急任务、接警任务以及复检任务的规划和查询。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支持飞行记录详情查看，包含飞行轨迹、设备信息、任务总耗时、任务总里程、拍摄照片、拍摄视频、直播录制视频等；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支持飞行记录详情素材操作，包含：图片及视频查看及下载；导入/导出图片及视频；批量删除图片；</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支持查看AI识别事件的位置及处理状态；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支持巡检报告的生成、查看和下载；</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EE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4C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8D1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2"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9984B44">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79E30F96">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84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三维可视化模块：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提供支持包括点、线、面、体、模型等多种矢量数据的标绘的使用与管理，提供多图层的标绘管理；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三维空间地理信息场景支持数字地球仪三维效果，支持多角度、全方位三维浏览，三维地形场景数据浏览展示；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支持加载、展示CGCS2000、WGS84等通用坐标系的空间数据；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支持加载正射影像、倾斜摄影、激光点云、实景模型、BIM模型，进行无缝融合，统一展示管理分析；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支持加载文字标注、三维模型、火焰粒子特效、天气特效（雨天、雪天、多云）等构件三维</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场景；</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提供浏览、缩放、搜索、查询、定位、漫游、状态栏、导航球、分屏对比、卷帘对比等地图工具；</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提供距离、面积、高度等量测功能，也提供制高点、可视域、烟雾扩散、缓冲区、方量、坡度坡向等分析功能。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支持720全景影像的查看、标注、分享、漫游、对比功能；</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C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01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370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941F56A">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366C1F45">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061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AI识别模块：</w:t>
            </w:r>
            <w:r>
              <w:rPr>
                <w:rFonts w:hint="eastAsia" w:ascii="仿宋" w:hAnsi="仿宋" w:eastAsia="仿宋" w:cs="仿宋"/>
                <w:i w:val="0"/>
                <w:iCs w:val="0"/>
                <w:color w:val="auto"/>
                <w:kern w:val="0"/>
                <w:sz w:val="20"/>
                <w:szCs w:val="20"/>
                <w:u w:val="none"/>
                <w:lang w:val="en-US" w:eastAsia="zh-CN" w:bidi="ar"/>
              </w:rPr>
              <w:br w:type="textWrapping"/>
            </w:r>
            <w:r>
              <w:rPr>
                <w:rStyle w:val="42"/>
                <w:color w:val="auto"/>
                <w:lang w:val="en-US" w:eastAsia="zh-CN" w:bidi="ar"/>
              </w:rPr>
              <w:t>★平台将AI图像识别出的隐患预警事件（包括且不限于城管、消防、水利、环保、文旅、应急、农林等场景）进行统一预警，并显示预警信息、当前状态，支持事件派单功能，可将预警事件推送至微信小程序中进行现场处置；平台用户可根据自己的需求查询对应的预警信息并进行处理。（</w:t>
            </w:r>
            <w:r>
              <w:rPr>
                <w:rStyle w:val="42"/>
                <w:rFonts w:hint="eastAsia"/>
                <w:color w:val="auto"/>
                <w:lang w:val="en-US" w:eastAsia="zh-CN" w:bidi="ar"/>
              </w:rPr>
              <w:t>提供系统功能截图）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13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1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8DD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39F3F9F9">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2C5872C9">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C3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统计分析模块：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飞行数据统计：包含飞行次数、飞行里程、飞行时长统计；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巡检成果的统计，包含图片、视频、二维模型、三维模型、全景图数量统计；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可按照人员、区域、机库三个维度统计飞行里程及飞行时长及排行；</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飞行报告的管理，支持设置报告模板；支持word、pdf等格式的报告导出模式；支持报告上传；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支持预警类型及数量的统计及排行；</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可按照时间阶段查看预警事件分布、支持形成热力一张图；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C62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71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03D3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3"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E132DB6">
            <w:pPr>
              <w:jc w:val="center"/>
              <w:rPr>
                <w:rFonts w:hint="eastAsia" w:ascii="仿宋" w:hAnsi="仿宋" w:eastAsia="仿宋" w:cs="仿宋"/>
                <w:i w:val="0"/>
                <w:iCs w:val="0"/>
                <w:color w:val="auto"/>
                <w:sz w:val="20"/>
                <w:szCs w:val="20"/>
                <w:u w:val="none"/>
              </w:rPr>
            </w:pPr>
          </w:p>
        </w:tc>
        <w:tc>
          <w:tcPr>
            <w:tcW w:w="1773" w:type="dxa"/>
            <w:vMerge w:val="continue"/>
            <w:tcBorders>
              <w:top w:val="single" w:color="000000" w:sz="4" w:space="0"/>
              <w:left w:val="single" w:color="000000" w:sz="4" w:space="0"/>
              <w:bottom w:val="nil"/>
              <w:right w:val="single" w:color="000000" w:sz="4" w:space="0"/>
            </w:tcBorders>
            <w:shd w:val="clear" w:color="auto" w:fill="auto"/>
            <w:vAlign w:val="center"/>
          </w:tcPr>
          <w:p w14:paraId="1A54545C">
            <w:pPr>
              <w:jc w:val="center"/>
              <w:rPr>
                <w:rFonts w:hint="eastAsia" w:ascii="仿宋" w:hAnsi="仿宋" w:eastAsia="仿宋" w:cs="仿宋"/>
                <w:i w:val="0"/>
                <w:iCs w:val="0"/>
                <w:color w:val="auto"/>
                <w:sz w:val="20"/>
                <w:szCs w:val="20"/>
                <w:u w:val="none"/>
              </w:rPr>
            </w:pP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667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基础管理模块: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基础数据包含机构、部门、人员、用户、字典、预警类型、报告模板等信息的维护；</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支持飞行需求的管理，包括申请、接受和审批等操作；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机场信息维护，包含设备名称、设备SN码、固件版本号；机场安全设置，根据周边环境设置机场无人机默认高度、安全起飞高度、安全返航高度、覆盖区域；</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机库无人机管理支持自动同步和查看无人机型号、飞控序列号、绑定时间、责任人等信息；</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保险管理，支持保险到期提醒；</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载荷管理，支持维护载荷信息，载荷的使用状态等；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支持手飞无人机电池管理，列表查看无人机电池序列号、出厂容量、当前容量、当前循环次数等信息；</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电子围栏的管理，可设置禁飞区、管控区和适飞区，可针对区域类型设置报警类型，同时支持白名单设置及预警事件记录；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5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19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231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366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云网资源服务</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9C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通信服务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C4C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包含短信费用（含5万条/年短信），音视频通话费用（8路音视频通话/年）。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BC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F2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5A5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201E">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8E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云资源服务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6C7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提供大屏服务、PC端服务、移动端服务、业务支撑服务部署所需的云网资源。</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7C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2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7859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3030">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A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算力服务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FC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提供支撑功能所需算力资源，满足事件智能上报、智能问答、智能报告大模型计算功能。</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79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93B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7614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C7E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个性化开发</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9E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智能报告</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C8D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根据用户提供的模板或需求，结合系统现有数据，生成总结报告。</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3A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B8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0728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E81B">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6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考核评价</w:t>
            </w:r>
          </w:p>
        </w:tc>
        <w:tc>
          <w:tcPr>
            <w:tcW w:w="5981" w:type="dxa"/>
            <w:tcBorders>
              <w:top w:val="single" w:color="000000" w:sz="4" w:space="0"/>
              <w:left w:val="single" w:color="000000" w:sz="4" w:space="0"/>
              <w:bottom w:val="nil"/>
              <w:right w:val="single" w:color="000000" w:sz="4" w:space="0"/>
            </w:tcBorders>
            <w:shd w:val="clear" w:color="auto" w:fill="auto"/>
            <w:vAlign w:val="center"/>
          </w:tcPr>
          <w:p w14:paraId="6D90938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跟用户结合，制定合理的评价体系，生成考核结果。</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3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5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75EA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33A4">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36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智能问答</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7D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融合AI功能，能根据用户提出的问题，给出合理的答案。</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D0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E8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52B8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4"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DC5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端点安全系统</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9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UES管理平台</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A1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1．统一端点安全系统（下称“UES”）包含管理平台及端点客户端软件，本次要求提供1套永久授权的UES管理平台，要求管理平台为B/S架构，以软件方式部署方式；</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2．管理平台可统一管理分别部署在Windows（PC/服务器）、Linux服务器以及国产化操作系统的客户端软件，以便于管理；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3．管理平台具备威胁展示功能，支持展示多种威胁影响情况；</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平台提供勒索病毒专项防护能力，具备专有界面并支持展示，能够快速查看近期勒索病毒防护效果，包括但不限于对恶意文件、可疑行为、可疑进程、暴力破解等相关勒索攻击手法的防护情况，以便快速响应。</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5．要求平台具备多种全周期勒索防护手段，如入侵预防、反加密、检测响应等手段</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6．管理平台可配置客户端的分批升级，可根据实际情况控制客户端同时升级的最大数量，避免大量更新造成网络拥堵；</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7．平台配置全网资产统一管理能力，能够主动发现资产，管理信息包括但不限于终端操作系统、应用软件、端口和终端账户等；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8．支持资产账号信息管理能力，支持梳理资产账号情况，支持对弱密码、长期密码未修改、可疑权限、长期未使用、夜间登录、多IP登录等情况账号梳理；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9．支持根据多维度统计入侵检测日志、杀毒扫描日志、合规检测日志、管理员操作日志、运维日志、联动日志等，并支持日志查询和检测；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管理平台支持系统维护，包括但不限于对在线终端下发实时通知、终端日志报表导出、邮件告警、三权分立设置等内容。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38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00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6C7B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89A3">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F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UES客户端（PC）</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E58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1．客户端支持部署在主流WINDOWS操作系统上,支持Windows XP/ 7/8/ 8.1/10/11等，本次提供不少于10点全功能版本授权，要求提供厂商全功能授权承诺函；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2．支持智能识别终端环境情况，智能调整客户端的CPU和磁盘资源占用，保障终端正常使用；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3．支持对常见压缩文件的扫描检测，支持多层压缩文件检测；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4．支持云端威胁鉴定，通过AI检测引擎、安全专家、沙箱模拟、云端威胁情报等对告警威胁文件进行二次判断，给出确定结论，工程师可根据结论了解威胁详情，快速处理；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5．支持客户端防卸载，客户端卸载需要输入密码才能卸载；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6．支持禁止多种黑客工具自启动；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7．支持入侵异常行为检测，支持攻击手法精准检测，包括但不限于执行、持久化、权限提升、防御逃逸、凭证窃取、横向移动等攻击手法检测记录，显示事件详情，展示攻击手法关联的操作记录和影响面；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8．支持桌面管理能力，支持远程控制、问题软件安装防护、USB管控、违规外联检测控制等；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支持漏洞管理，能够结合漏洞属性、外部情报、影响面等多个维度，采用内置算法模型对发现的漏洞进行优先级排序并给出处理建议，精准聚焦快速闭环。</w:t>
            </w:r>
            <w:r>
              <w:rPr>
                <w:rFonts w:hint="eastAsia" w:ascii="仿宋" w:hAnsi="仿宋" w:eastAsia="仿宋" w:cs="仿宋"/>
                <w:i w:val="0"/>
                <w:iCs w:val="0"/>
                <w:color w:val="auto"/>
                <w:kern w:val="0"/>
                <w:sz w:val="20"/>
                <w:szCs w:val="20"/>
                <w:u w:val="none"/>
                <w:lang w:val="en-US" w:eastAsia="zh-CN" w:bidi="ar"/>
              </w:rPr>
              <w:br w:type="textWrapping"/>
            </w:r>
            <w:r>
              <w:rPr>
                <w:rStyle w:val="42"/>
                <w:color w:val="auto"/>
                <w:lang w:val="en-US" w:eastAsia="zh-CN" w:bidi="ar"/>
              </w:rPr>
              <w:t>9.★支持漏洞管理，能够结合漏洞属性、外部情报、影响面等多个维度，采用内置算法模型对发现的漏洞进行优先级排序并给出处理建议，精准聚焦快速闭环，提供漏洞优先级排序功能截图并加盖厂商公章。</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04C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9E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31AF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6D08">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63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UES客户端（服务器）</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351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1．服务器客户端要求支持主流Windows Server、Liunx操作系统，包括但不限于Windows Server 2003/2008/2008 R2/2012/2016、CentOS/Ubuntu/Debian/RHEL/SUSEr/Oracle Linux等，本次提供不少于5点永久使用授权；</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2．支持客户端安装目录文件保护，防止客户端相关配置文件被恶意删除；</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3．支持客户端自动降级机制，当服务器资源使用过高，客户端会进入降级状态，保障业务资源使用；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4．支持WebShell实时扫描与事件展示，一旦发现WebShell文件，可根据策略自动执行隔离或仅告警等动作；</w:t>
            </w:r>
            <w:r>
              <w:rPr>
                <w:rFonts w:hint="eastAsia" w:ascii="仿宋" w:hAnsi="仿宋" w:eastAsia="仿宋" w:cs="仿宋"/>
                <w:i w:val="0"/>
                <w:iCs w:val="0"/>
                <w:color w:val="auto"/>
                <w:kern w:val="0"/>
                <w:sz w:val="20"/>
                <w:szCs w:val="20"/>
                <w:u w:val="none"/>
                <w:lang w:val="en-US" w:eastAsia="zh-CN" w:bidi="ar"/>
              </w:rPr>
              <w:br w:type="textWrapping"/>
            </w:r>
            <w:r>
              <w:rPr>
                <w:rStyle w:val="42"/>
                <w:color w:val="auto"/>
                <w:lang w:val="en-US" w:eastAsia="zh-CN" w:bidi="ar"/>
              </w:rPr>
              <w:t>5．★客户端支持开启windows服务器RDP远程登录二次认证、Linux服务器SSH远程登录二次认证，以防止黑客对服务器的入侵,提供产品界面截图证明并加盖厂商公章；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6．二次认证可通过验证码或自定义密码验证，支持设置登录认证提示、生效时间段、认证白名单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7．支持勒索可疑行为检测，通过AI能力对勒索信、命令行、修改文件等多种隐藏投放病毒行为进行精准告警和自动拦截；</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8．支持实时文件防护，在文件读、写、执行或者进入主机时主动进行扫描，可自定义设置文件防护级别；</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9．支持对指定主机进行通用安全检查基线、等保二级基线、等保三级基线等；</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76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54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5A52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812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网络连接</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D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视频专线服务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BE3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网络速率不低于1000M，连接森林眼视频传输到高效能平台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78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6A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条</w:t>
            </w:r>
          </w:p>
        </w:tc>
      </w:tr>
      <w:tr w14:paraId="26AF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E9C3">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8E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SAAS网络专线服务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61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网络速率不低于1000M，本地专线连接云服务器</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9D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1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条</w:t>
            </w:r>
          </w:p>
        </w:tc>
      </w:tr>
      <w:tr w14:paraId="1104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E3D7">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69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电子政务专线费用</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63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网络速率不低于1000M，连接县电子政务网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B2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68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条</w:t>
            </w:r>
          </w:p>
        </w:tc>
      </w:tr>
      <w:tr w14:paraId="6CAE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4" w:hRule="atLeast"/>
        </w:trPr>
        <w:tc>
          <w:tcPr>
            <w:tcW w:w="667" w:type="dxa"/>
            <w:vMerge w:val="restart"/>
            <w:tcBorders>
              <w:top w:val="nil"/>
              <w:left w:val="single" w:color="000000" w:sz="4" w:space="0"/>
              <w:bottom w:val="single" w:color="000000" w:sz="4" w:space="0"/>
              <w:right w:val="single" w:color="000000" w:sz="4" w:space="0"/>
            </w:tcBorders>
            <w:shd w:val="clear" w:color="auto" w:fill="auto"/>
            <w:vAlign w:val="center"/>
          </w:tcPr>
          <w:p w14:paraId="7E7ABF0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设备部分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E7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旋翼无人机机库</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29E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整机重量</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u w:val="none"/>
                <w:lang w:val="en-US" w:eastAsia="zh-CN" w:bidi="ar"/>
              </w:rPr>
              <w:t>55kg；</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外形尺寸</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u w:val="none"/>
                <w:lang w:val="en-US" w:eastAsia="zh-CN" w:bidi="ar"/>
              </w:rPr>
              <w:t>长 650 毫米，宽 750 毫米，高 800 毫米；</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工作环境温度：至少为-30°C 至 50°C；</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防护等级不低于IP56；</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最大允许降落风速不小于12 米/秒；</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充电时间：从15% 充至 95%小于30分钟；</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需内置压缩机空调</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设备所含RTK基站定位精度：水平精度小于等于1 cm+1 ppm（RMS）；垂直精度小于等于2 cm+1 ppm（RMS）</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续航时间：备用电池续航不少于4小时；</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需要内置风速传感器、雨量传感器、环境温度传感器、水浸传感器、舱内温度传感器、舱内湿度传感器；</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7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4D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0869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0"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4596A4DE">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9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旋翼无人机</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CC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最大起飞重量≥ 2000 g；</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尺寸（长×宽×高）≤380×420×220mm；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对角线轴距≤500 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最长飞行时间≥54 分钟；</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最大可抗风速≥12m/s；</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支持五向双目视觉避障系统，下方具备三维红外传感器；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工作环境温度覆盖-20°C 至 50°C；</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防护等级不低于IP55；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最大上升速度≥6 m/s；</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最大下降速度≥6 m/s；</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最大水平飞行速度≥20m/s；</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具有长焦可见光、中长焦可见光、广角可见光和红外热成像相机；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广角相机CMOS不低于1/1.3英寸，有效像素不低于4800万；</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中长焦相机CMOS不低于1/1.3英寸，像素数不低于4800万；</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长焦相机CMOS不低于1/1.5英寸，像素数不低于4800万；</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可见光相机混合变焦倍数不低于112倍；</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红外传感器分辨率≥640*512，超分模式≥1280*1024；</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红外热成像相机支持不低于28倍数字变焦；</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激光测距模块测距不低于1800m；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支持近红外补光灯；</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16E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D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14:paraId="5F81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71EBFCFC">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B9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旋翼无人机电池</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80B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电池容量≥6700毫安时</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电池类型需为Li-ion 6S</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循环次数≥400次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电池需支持低温自动加热充电</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F3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40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块</w:t>
            </w:r>
          </w:p>
        </w:tc>
      </w:tr>
      <w:tr w14:paraId="7019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3CF5539E">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79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4G增强图传模块</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A89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需支持接入4G网络，提供高速稳定的联网服务</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91D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EFF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件</w:t>
            </w:r>
          </w:p>
        </w:tc>
      </w:tr>
      <w:tr w14:paraId="25E7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7F0B04DA">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C2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内存卡</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70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容量≥256G</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5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5A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r>
      <w:tr w14:paraId="1307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3C12609B">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7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喊话器</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AEA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喊话器重量 ≤95g</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喊话器防护等级不低于IP55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支持单独挂载喊话器；支持同时挂载探照灯和喊话器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有效广播距离需可达300米</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广播方式需支持实时喊话、录音喊话、媒体导入、文字转语音</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工作环境温度需不低于-20℃至50℃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51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DF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7B3A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7"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30596318">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D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探照灯</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8B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探照灯重量 ≤100g</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探照灯防护等级不低于IP55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支持单独挂载探照灯；支持同时挂载探照灯和喊话器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工作方式支持常亮、爆闪</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工作环境温度需不低于-20℃至50℃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52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22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79D1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5C163EC0">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B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中继站</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82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卫星接收频点：支持五星十九频</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中继站可中继无人机的最大距离≥12km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中继模式工作时间≥4h</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工作环境温度需不低于-30℃至55℃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防护等级≥IP67</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重量≤2.5kg</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28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3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94B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1121A85E">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FA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防火墙</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BC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网络层吞吐量</w:t>
            </w:r>
            <w:r>
              <w:rPr>
                <w:rFonts w:hint="eastAsia" w:ascii="仿宋" w:hAnsi="仿宋" w:eastAsia="仿宋" w:cs="仿宋"/>
                <w:i w:val="0"/>
                <w:iCs w:val="0"/>
                <w:color w:val="auto"/>
                <w:kern w:val="0"/>
                <w:sz w:val="20"/>
                <w:szCs w:val="20"/>
                <w:highlight w:val="none"/>
                <w:u w:val="none"/>
                <w:lang w:val="en-US" w:eastAsia="zh-CN" w:bidi="ar"/>
              </w:rPr>
              <w:t>≥20Gbps，应用层吞吐量≥6Gbps</w:t>
            </w:r>
            <w:r>
              <w:rPr>
                <w:rFonts w:hint="eastAsia" w:ascii="仿宋" w:hAnsi="仿宋" w:eastAsia="仿宋" w:cs="仿宋"/>
                <w:i w:val="0"/>
                <w:iCs w:val="0"/>
                <w:color w:val="auto"/>
                <w:kern w:val="0"/>
                <w:sz w:val="20"/>
                <w:szCs w:val="20"/>
                <w:u w:val="none"/>
                <w:lang w:val="en-US" w:eastAsia="zh-CN" w:bidi="ar"/>
              </w:rPr>
              <w:t>；</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16个千兆以太电口；4个Combo接口；6个千兆以太光口；2个万兆以太光口；1T硬盘，实配IPS入侵防御、AV防病毒功能授权、ACG应用识别授权，3年免费特征库/病毒库升级服务，双交流电源。</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8B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5F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14:paraId="50C6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2C955A07">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9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小程序安全证书、域名</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270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域名及安全证书登记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8F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3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14:paraId="2031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5CD75373">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9A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会议专用变焦摄像头</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53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传感器类型：1/2.8 4K CMOS，镜头变焦:3.3mm~9.7mm,支持12倍画面放大，内置双麦克风，支持云台控制，USB连接方式，不小于92度广角，支持自动聚焦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F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96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14:paraId="4E5B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667" w:type="dxa"/>
            <w:vMerge w:val="continue"/>
            <w:tcBorders>
              <w:top w:val="nil"/>
              <w:left w:val="single" w:color="000000" w:sz="4" w:space="0"/>
              <w:bottom w:val="single" w:color="000000" w:sz="4" w:space="0"/>
              <w:right w:val="single" w:color="000000" w:sz="4" w:space="0"/>
            </w:tcBorders>
            <w:shd w:val="clear" w:color="auto" w:fill="auto"/>
            <w:vAlign w:val="center"/>
          </w:tcPr>
          <w:p w14:paraId="6AF8EDB7">
            <w:pPr>
              <w:jc w:val="center"/>
              <w:rPr>
                <w:rFonts w:hint="eastAsia" w:ascii="仿宋" w:hAnsi="仿宋" w:eastAsia="仿宋" w:cs="仿宋"/>
                <w:i w:val="0"/>
                <w:iCs w:val="0"/>
                <w:color w:val="auto"/>
                <w:sz w:val="20"/>
                <w:szCs w:val="20"/>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79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全向麦克风音箱</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3B0">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拾音距离：</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u w:val="none"/>
                <w:lang w:val="en-US" w:eastAsia="zh-CN" w:bidi="ar"/>
              </w:rPr>
              <w:t>3.5M半径拾音，距离2-2.5M</w:t>
            </w:r>
          </w:p>
          <w:p w14:paraId="5D031DB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u w:val="none"/>
                <w:lang w:val="en-US" w:eastAsia="zh-CN" w:bidi="ar"/>
              </w:rPr>
              <w:t>灵敏度：</w:t>
            </w:r>
            <w:r>
              <w:rPr>
                <w:rFonts w:hint="eastAsia" w:ascii="仿宋" w:hAnsi="仿宋" w:eastAsia="仿宋" w:cs="仿宋"/>
                <w:i w:val="0"/>
                <w:iCs w:val="0"/>
                <w:color w:val="auto"/>
                <w:kern w:val="0"/>
                <w:sz w:val="20"/>
                <w:szCs w:val="20"/>
                <w:highlight w:val="none"/>
                <w:u w:val="none"/>
                <w:lang w:val="en-US" w:eastAsia="zh-CN" w:bidi="ar"/>
              </w:rPr>
              <w:t xml:space="preserve">≥-35db </w:t>
            </w:r>
          </w:p>
          <w:p w14:paraId="341B9FA1">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 xml:space="preserve">麦克采样率：16kb-48kb </w:t>
            </w:r>
          </w:p>
          <w:p w14:paraId="1174535F">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 xml:space="preserve">扬声器：大功率扬声器、AGC自动增益 </w:t>
            </w:r>
          </w:p>
          <w:p w14:paraId="31CD5709">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 xml:space="preserve">传输方式：USB传输 </w:t>
            </w:r>
          </w:p>
          <w:p w14:paraId="206A9D7B">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 xml:space="preserve">音频处理：AEC/AGC/NR/NLP/ALC </w:t>
            </w:r>
          </w:p>
          <w:p w14:paraId="10DF796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接口：USB2.0有线连接</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A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1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bl>
    <w:p w14:paraId="2726D106">
      <w:pPr>
        <w:pStyle w:val="20"/>
        <w:rPr>
          <w:rFonts w:hint="eastAsia"/>
          <w:color w:val="auto"/>
        </w:rPr>
      </w:pPr>
    </w:p>
    <w:p w14:paraId="7C9A944C">
      <w:pPr>
        <w:widowControl/>
        <w:wordWrap/>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w:t>
      </w:r>
      <w:r>
        <w:rPr>
          <w:rFonts w:hint="eastAsia" w:ascii="宋体" w:hAnsi="宋体" w:cs="宋体"/>
          <w:color w:val="auto"/>
          <w:sz w:val="24"/>
          <w:szCs w:val="24"/>
          <w:highlight w:val="none"/>
          <w:lang w:val="en-US" w:eastAsia="zh-CN"/>
        </w:rPr>
        <w:t>合同签订后30日历天</w:t>
      </w:r>
    </w:p>
    <w:p w14:paraId="5FFAE3E7">
      <w:pPr>
        <w:pStyle w:val="20"/>
        <w:numPr>
          <w:ilvl w:val="0"/>
          <w:numId w:val="8"/>
        </w:numPr>
        <w:ind w:left="0" w:leftChars="0" w:firstLine="0" w:firstLineChars="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商务要求</w:t>
      </w:r>
    </w:p>
    <w:p w14:paraId="60FF663B">
      <w:pPr>
        <w:widowControl/>
        <w:wordWrap/>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1.交货地点：博爱县行政审批和政务信息管理局</w:t>
      </w:r>
    </w:p>
    <w:p w14:paraId="10609D97">
      <w:pPr>
        <w:widowControl/>
        <w:wordWrap/>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2.付款方式：</w:t>
      </w:r>
      <w:r>
        <w:rPr>
          <w:rFonts w:hint="eastAsia" w:ascii="宋体" w:hAnsi="宋体" w:cs="宋体"/>
          <w:color w:val="auto"/>
          <w:kern w:val="0"/>
          <w:sz w:val="24"/>
          <w:szCs w:val="24"/>
          <w:highlight w:val="none"/>
          <w:lang w:val="en-US" w:eastAsia="zh-CN"/>
        </w:rPr>
        <w:t>自项目合同签订后支付合同价的50%作为预付款，项目验收完成后支付合同价50%</w:t>
      </w:r>
      <w:r>
        <w:rPr>
          <w:rFonts w:hint="eastAsia" w:ascii="宋体" w:hAnsi="宋体" w:eastAsia="宋体" w:cs="宋体"/>
          <w:color w:val="auto"/>
          <w:kern w:val="0"/>
          <w:sz w:val="24"/>
          <w:szCs w:val="24"/>
          <w:highlight w:val="none"/>
          <w:lang w:val="en-US" w:eastAsia="zh-CN"/>
        </w:rPr>
        <w:t>。</w:t>
      </w:r>
    </w:p>
    <w:p w14:paraId="069C5113">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bidi="ar"/>
        </w:rPr>
        <w:t>质保：本项目所含硬件提供3年质保服务，软件提供3年质保服务。提供3 年免费运维及软件升级服务。质保期自项目终验合格之日起算。</w:t>
      </w:r>
    </w:p>
    <w:p w14:paraId="10A50A85">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4.售后服务内容： </w:t>
      </w:r>
    </w:p>
    <w:p w14:paraId="404117A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质保期内免费提供技术支持服务、巡检服务、产品故障维修服务。 </w:t>
      </w:r>
    </w:p>
    <w:p w14:paraId="70CA536E">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4.1 技术支持服务：对采购人遇到的软硬件技术或使用问题，现场或电话及时响应，针对问题提供技术支持服务，快速解决采购人问题。 </w:t>
      </w:r>
    </w:p>
    <w:p w14:paraId="783A1CA6">
      <w:pPr>
        <w:keepNext w:val="0"/>
        <w:keepLines w:val="0"/>
        <w:widowControl/>
        <w:suppressLineNumbers w:val="0"/>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4.2 巡检服务：提供每季度 1 次的系统软硬件巡检服务，对项目软硬件进行细致全面检查，如发现问题隐患应及时进行解决。 </w:t>
      </w:r>
    </w:p>
    <w:p w14:paraId="086125EB">
      <w:pPr>
        <w:keepNext w:val="0"/>
        <w:keepLines w:val="0"/>
        <w:widowControl/>
        <w:suppressLineNumbers w:val="0"/>
        <w:ind w:firstLine="240" w:firstLine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4.3 产品故障维修服务：若在日常使用时出现软硬件的故障，迅速查明故障原因并给出解决方案。若是硬件故障，短时间无法修复，提供相应的硬件进行替代，保证系统正常运行；若是软件故障，快速组织技术研发人员进行排查并进行修复解决。</w:t>
      </w:r>
    </w:p>
    <w:p w14:paraId="11D2BEB4">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5.服务响应时间：提供常设每周 7 天</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24 小时服务专线;在接报后 1 小时内响应，一般软件故障于4小时内解决，非特严重性故障24小时内解决，修复时间不超过48小时。</w:t>
      </w:r>
    </w:p>
    <w:p w14:paraId="0A7A708A">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6.培训服务 </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提供完善的培训服务，为采购人使用人员、管理人员提供软硬件的现场集中式培训。提供安排专业的技术人员及时响应采购人的培训要求，针对软硬件功能开展详细的培训工作，使采购人操作管理及维护人员达到熟练掌握产品基本操作。采购人日常使用过程中遇到使用问题，提供电话、远程或现场技术指导及培训服务。 </w:t>
      </w:r>
    </w:p>
    <w:p w14:paraId="777E03F9">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运维服务人员需要至少培训1名用户掌握系统日常管理维护操作具备常规问题解决能力。</w:t>
      </w:r>
    </w:p>
    <w:p w14:paraId="13196936">
      <w:pPr>
        <w:keepNext w:val="0"/>
        <w:keepLines w:val="0"/>
        <w:widowControl/>
        <w:numPr>
          <w:ilvl w:val="0"/>
          <w:numId w:val="0"/>
        </w:numPr>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项目验收：设备到货后，由成交供应商提供货品的详细清单，清单应包括货品的详细组成，区分软件、硬件。由用户单位与成交供应商共同对所有设备进行开箱检查，出现货品非全新、损坏、数量或型号不对等问题时，由成交供应商进行整改。设备安装完成后，由成交供应商制定测试方案并经用户确认后，对产品的性能和配置进行测试验收，形成初验报告</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经用户单位验收后形成验收报告及设备移交单。</w:t>
      </w:r>
    </w:p>
    <w:p w14:paraId="2179E995">
      <w:pPr>
        <w:keepNext w:val="0"/>
        <w:keepLines w:val="0"/>
        <w:widowControl/>
        <w:suppressLineNumbers w:val="0"/>
        <w:ind w:firstLine="480" w:firstLineChars="200"/>
        <w:jc w:val="left"/>
        <w:rPr>
          <w:rFonts w:hint="eastAsia" w:ascii="仿宋" w:hAnsi="仿宋" w:eastAsia="仿宋" w:cs="仿宋"/>
          <w:color w:val="auto"/>
          <w:kern w:val="0"/>
          <w:sz w:val="28"/>
          <w:szCs w:val="28"/>
          <w:lang w:val="en-US" w:eastAsia="zh-CN" w:bidi="ar"/>
        </w:rPr>
      </w:pPr>
      <w:r>
        <w:rPr>
          <w:rFonts w:hint="eastAsia" w:ascii="宋体" w:hAnsi="宋体" w:eastAsia="宋体" w:cs="宋体"/>
          <w:color w:val="auto"/>
          <w:kern w:val="0"/>
          <w:sz w:val="24"/>
          <w:szCs w:val="24"/>
          <w:lang w:val="en-US" w:eastAsia="zh-CN" w:bidi="ar"/>
        </w:rPr>
        <w:t>8.采购人提供的所有技术资料、信息、软件等知识产权归属于采购人所有。成交供应商在工作过程中接触到的采购人知识产权，未经采购人许可，不得擅自复制、传播或以任何形式泄露给第三方。成交供应商在服务期间所创造的知识产权，除法律法规另有规定或双方另有约定外，均属于采购人所有。成交供应商不得以任何形式擅自转让或许可他人使用。</w:t>
      </w:r>
    </w:p>
    <w:p w14:paraId="54A8441A">
      <w:pPr>
        <w:widowControl/>
        <w:wordWrap/>
        <w:adjustRightInd/>
        <w:snapToGrid/>
        <w:spacing w:line="440" w:lineRule="exact"/>
        <w:ind w:firstLine="482" w:firstLineChars="200"/>
        <w:jc w:val="left"/>
        <w:textAlignment w:val="auto"/>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备注：本项目所属的行业：软件和信息技术服务业</w:t>
      </w:r>
    </w:p>
    <w:p w14:paraId="24B9103A">
      <w:pPr>
        <w:numPr>
          <w:ilvl w:val="0"/>
          <w:numId w:val="0"/>
        </w:numPr>
        <w:ind w:left="315" w:leftChars="0"/>
        <w:rPr>
          <w:rFonts w:hint="default"/>
          <w:color w:val="auto"/>
          <w:lang w:val="en-US" w:eastAsia="zh-CN"/>
        </w:rPr>
      </w:pPr>
    </w:p>
    <w:p w14:paraId="00AA52B0">
      <w:pPr>
        <w:widowControl/>
        <w:ind w:firstLine="480" w:firstLineChars="200"/>
        <w:jc w:val="left"/>
        <w:rPr>
          <w:rFonts w:hint="eastAsia" w:ascii="宋体" w:hAnsi="宋体" w:eastAsia="宋体" w:cs="宋体"/>
          <w:color w:val="auto"/>
          <w:kern w:val="0"/>
          <w:sz w:val="24"/>
          <w:szCs w:val="24"/>
          <w:highlight w:val="none"/>
          <w:lang w:val="en-US" w:eastAsia="zh-CN"/>
        </w:rPr>
      </w:pPr>
    </w:p>
    <w:bookmarkEnd w:id="255"/>
    <w:p w14:paraId="7742B56A">
      <w:pPr>
        <w:rPr>
          <w:rFonts w:hint="eastAsia" w:ascii="宋体" w:hAnsi="宋体" w:eastAsia="宋体" w:cs="宋体"/>
          <w:color w:val="auto"/>
          <w:sz w:val="24"/>
          <w:szCs w:val="24"/>
          <w:highlight w:val="none"/>
        </w:rPr>
      </w:pPr>
      <w:bookmarkStart w:id="257" w:name="_Toc28947"/>
      <w:bookmarkStart w:id="258" w:name="_Toc403122572"/>
      <w:bookmarkStart w:id="259" w:name="_Toc426369533"/>
      <w:bookmarkStart w:id="260" w:name="_Toc7906"/>
    </w:p>
    <w:p w14:paraId="63C533E5">
      <w:pPr>
        <w:pStyle w:val="4"/>
        <w:spacing w:before="0" w:after="0" w:line="360" w:lineRule="auto"/>
        <w:ind w:firstLine="643" w:firstLineChars="200"/>
        <w:rPr>
          <w:color w:val="auto"/>
          <w:sz w:val="32"/>
          <w:szCs w:val="32"/>
          <w:highlight w:val="none"/>
        </w:rPr>
      </w:pPr>
      <w:r>
        <w:rPr>
          <w:rFonts w:hint="eastAsia"/>
          <w:color w:val="auto"/>
          <w:sz w:val="32"/>
          <w:szCs w:val="32"/>
          <w:highlight w:val="none"/>
        </w:rPr>
        <w:br w:type="page"/>
      </w:r>
      <w:r>
        <w:rPr>
          <w:rFonts w:hint="eastAsia"/>
          <w:color w:val="auto"/>
          <w:sz w:val="32"/>
          <w:szCs w:val="32"/>
          <w:highlight w:val="none"/>
        </w:rPr>
        <w:t>第六章 质疑与投诉</w:t>
      </w:r>
      <w:bookmarkEnd w:id="257"/>
    </w:p>
    <w:p w14:paraId="64D741B3">
      <w:pPr>
        <w:rPr>
          <w:color w:val="auto"/>
          <w:highlight w:val="none"/>
        </w:rPr>
      </w:pPr>
    </w:p>
    <w:p w14:paraId="20124B68">
      <w:pPr>
        <w:pStyle w:val="5"/>
        <w:rPr>
          <w:rFonts w:ascii="宋体" w:hAnsi="宋体" w:cs="宋体"/>
          <w:b w:val="0"/>
          <w:bCs w:val="0"/>
          <w:color w:val="auto"/>
          <w:szCs w:val="21"/>
          <w:highlight w:val="none"/>
        </w:rPr>
      </w:pPr>
      <w:r>
        <w:rPr>
          <w:rFonts w:hint="eastAsia" w:ascii="宋体" w:hAnsi="宋体" w:cs="宋体"/>
          <w:color w:val="auto"/>
          <w:szCs w:val="21"/>
          <w:highlight w:val="none"/>
        </w:rPr>
        <w:t>一、质疑与答复</w:t>
      </w:r>
    </w:p>
    <w:p w14:paraId="148780C1">
      <w:pPr>
        <w:pStyle w:val="19"/>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6E686C0D">
      <w:pPr>
        <w:pStyle w:val="20"/>
        <w:spacing w:line="360" w:lineRule="auto"/>
        <w:rPr>
          <w:rFonts w:ascii="宋体" w:hAnsi="宋体" w:cs="宋体"/>
          <w:color w:val="auto"/>
          <w:szCs w:val="21"/>
          <w:highlight w:val="none"/>
        </w:rPr>
      </w:pPr>
      <w:r>
        <w:rPr>
          <w:rFonts w:hint="eastAsia" w:ascii="宋体" w:hAnsi="宋体" w:cs="宋体"/>
          <w:color w:val="auto"/>
          <w:szCs w:val="21"/>
          <w:highlight w:val="none"/>
        </w:rPr>
        <w:t>2. 供应商提出质疑应当提交质疑函和必要的证明材料。政府采购供应商质疑函范本下载地址：</w:t>
      </w:r>
    </w:p>
    <w:p w14:paraId="31DD69D8">
      <w:pPr>
        <w:pStyle w:val="20"/>
        <w:spacing w:line="360" w:lineRule="auto"/>
        <w:ind w:left="420" w:leftChars="200" w:firstLine="0" w:firstLineChars="0"/>
        <w:rPr>
          <w:rFonts w:ascii="宋体" w:hAnsi="宋体" w:cs="宋体"/>
          <w:color w:val="auto"/>
          <w:szCs w:val="21"/>
          <w:highlight w:val="none"/>
        </w:rPr>
      </w:pPr>
      <w:r>
        <w:rPr>
          <w:color w:val="auto"/>
          <w:highlight w:val="none"/>
        </w:rPr>
        <w:fldChar w:fldCharType="begin"/>
      </w:r>
      <w:r>
        <w:rPr>
          <w:color w:val="auto"/>
          <w:highlight w:val="none"/>
        </w:rPr>
        <w:instrText xml:space="preserve"> HYPERLINK "http://download.ccgp.gov.cn/2018/zhiyihanfanben.zip；" </w:instrText>
      </w:r>
      <w:r>
        <w:rPr>
          <w:color w:val="auto"/>
          <w:highlight w:val="none"/>
        </w:rPr>
        <w:fldChar w:fldCharType="separate"/>
      </w:r>
      <w:r>
        <w:rPr>
          <w:rStyle w:val="25"/>
          <w:rFonts w:hint="eastAsia" w:ascii="宋体" w:hAnsi="宋体" w:cs="宋体"/>
          <w:color w:val="auto"/>
          <w:szCs w:val="21"/>
          <w:highlight w:val="none"/>
        </w:rPr>
        <w:t>http://download.ccgp.gov.cn/2018/zhiyihanfanben.zip；</w:t>
      </w:r>
      <w:r>
        <w:rPr>
          <w:rFonts w:hint="eastAsia" w:ascii="宋体" w:hAnsi="宋体" w:cs="宋体"/>
          <w:color w:val="auto"/>
          <w:szCs w:val="21"/>
          <w:highlight w:val="none"/>
        </w:rPr>
        <w:fldChar w:fldCharType="end"/>
      </w:r>
    </w:p>
    <w:p w14:paraId="6ABF7AA5">
      <w:pPr>
        <w:numPr>
          <w:ilvl w:val="0"/>
          <w:numId w:val="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采购人、采购代理机构不得拒收质疑供应商在法定质疑期内发出的质疑函，应当在收到质疑函后7个工作日内作出答复，并以书面形式通知质疑供应商和其他有关供应商。</w:t>
      </w:r>
    </w:p>
    <w:p w14:paraId="477D0F3E">
      <w:pPr>
        <w:numPr>
          <w:ilvl w:val="0"/>
          <w:numId w:val="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供应商提出质疑应当提交质疑函和必要的证明材料。质疑函应当包括下列内容：</w:t>
      </w:r>
    </w:p>
    <w:p w14:paraId="4481F2E8">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供应商的姓名或者名称、地址、邮编、联系人及联系电话；</w:t>
      </w:r>
    </w:p>
    <w:p w14:paraId="4811F290">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质疑项目的名称、编号；</w:t>
      </w:r>
    </w:p>
    <w:p w14:paraId="6E809875">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具体、明确的质疑事项和与质疑事项相关的请求；</w:t>
      </w:r>
    </w:p>
    <w:p w14:paraId="5AFAE096">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事实依据；</w:t>
      </w:r>
    </w:p>
    <w:p w14:paraId="3255F47C">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必要的法律依据；</w:t>
      </w:r>
    </w:p>
    <w:p w14:paraId="67023E6D">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提出质疑的日期；</w:t>
      </w:r>
    </w:p>
    <w:p w14:paraId="2F90DE35">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获取招标文件的凭证；</w:t>
      </w:r>
    </w:p>
    <w:p w14:paraId="764EE15D">
      <w:pPr>
        <w:numPr>
          <w:ilvl w:val="1"/>
          <w:numId w:val="9"/>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以上资料一式二份（采购人、采购代理机构各执一份）。</w:t>
      </w:r>
    </w:p>
    <w:p w14:paraId="36AC8620">
      <w:pPr>
        <w:numPr>
          <w:ilvl w:val="0"/>
          <w:numId w:val="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供应商不得虚假质疑和恶意质疑，并对质疑内容的真实性承担责任。</w:t>
      </w:r>
    </w:p>
    <w:p w14:paraId="0B4CC187">
      <w:pPr>
        <w:pStyle w:val="5"/>
        <w:rPr>
          <w:rFonts w:ascii="宋体" w:hAnsi="宋体" w:cs="宋体"/>
          <w:b w:val="0"/>
          <w:bCs w:val="0"/>
          <w:color w:val="auto"/>
          <w:szCs w:val="21"/>
          <w:highlight w:val="none"/>
        </w:rPr>
      </w:pPr>
      <w:r>
        <w:rPr>
          <w:rFonts w:hint="eastAsia" w:ascii="宋体" w:hAnsi="宋体" w:cs="宋体"/>
          <w:color w:val="auto"/>
          <w:szCs w:val="21"/>
          <w:highlight w:val="none"/>
        </w:rPr>
        <w:t>二、投诉与处理</w:t>
      </w:r>
    </w:p>
    <w:p w14:paraId="26A96CA9">
      <w:pPr>
        <w:pStyle w:val="19"/>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1、质疑供应商对采购人、采购代理机构的答复不满意，或者采购人、采购代理机构未在规定时间内作出答复的，可以在答复期满后15个工作日内向本办法第六条规定的财政部门提起投诉。</w:t>
      </w:r>
    </w:p>
    <w:p w14:paraId="525C47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2、质疑供应商对采购人、采购代理机构的答复不满意，或者采购人、采购代理机构未在规定时间内作出答复的，可以在答复期满后15个工作日内向财政部门提起投诉。</w:t>
      </w:r>
    </w:p>
    <w:p w14:paraId="5B34FAEE">
      <w:pPr>
        <w:pStyle w:val="19"/>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14:paraId="283DF62B">
      <w:pPr>
        <w:pStyle w:val="19"/>
        <w:spacing w:line="360" w:lineRule="auto"/>
        <w:ind w:firstLine="640" w:firstLineChars="200"/>
        <w:rPr>
          <w:rFonts w:hint="default"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"http://download.ccgp.gov.cn/2018/tousushufanben.zip" </w:instrText>
      </w:r>
      <w:r>
        <w:rPr>
          <w:color w:val="auto"/>
          <w:highlight w:val="none"/>
        </w:rPr>
        <w:fldChar w:fldCharType="separate"/>
      </w:r>
      <w:r>
        <w:rPr>
          <w:rStyle w:val="25"/>
          <w:rFonts w:ascii="宋体" w:hAnsi="宋体" w:eastAsia="宋体" w:cs="宋体"/>
          <w:color w:val="auto"/>
          <w:sz w:val="21"/>
          <w:szCs w:val="21"/>
          <w:highlight w:val="none"/>
        </w:rPr>
        <w:t>http://download.ccgp.gov.cn/2018/tousushufanben.zip</w:t>
      </w:r>
      <w:r>
        <w:rPr>
          <w:rFonts w:ascii="宋体" w:hAnsi="宋体" w:eastAsia="宋体" w:cs="宋体"/>
          <w:color w:val="auto"/>
          <w:sz w:val="21"/>
          <w:szCs w:val="21"/>
          <w:highlight w:val="none"/>
        </w:rPr>
        <w:fldChar w:fldCharType="end"/>
      </w:r>
    </w:p>
    <w:p w14:paraId="15E038FC">
      <w:pPr>
        <w:numPr>
          <w:ilvl w:val="0"/>
          <w:numId w:val="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财政部门自收到投诉之日起30个工作日内，对投诉事项作出处理决定并公示。</w:t>
      </w:r>
    </w:p>
    <w:p w14:paraId="08E91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投诉人在全国范围12个月内三次以上投诉查无实据的，由财政部门列入不良行为记录名单。</w:t>
      </w:r>
    </w:p>
    <w:p w14:paraId="7B3F2F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投诉人有财政部94号令第三十七条情形的，属于虚假、恶意投诉，由财政部门列入不良行为记录名单，禁止其1至3年内参加政府采购活动。</w:t>
      </w:r>
    </w:p>
    <w:p w14:paraId="0D1D150A">
      <w:pPr>
        <w:pStyle w:val="20"/>
        <w:spacing w:line="360" w:lineRule="auto"/>
        <w:rPr>
          <w:rFonts w:ascii="宋体" w:hAnsi="宋体" w:cs="宋体"/>
          <w:color w:val="auto"/>
          <w:szCs w:val="21"/>
          <w:highlight w:val="none"/>
        </w:rPr>
      </w:pPr>
    </w:p>
    <w:p w14:paraId="20A033C1">
      <w:pPr>
        <w:rPr>
          <w:rFonts w:ascii="宋体" w:hAnsi="宋体" w:cs="宋体"/>
          <w:b/>
          <w:bCs/>
          <w:color w:val="auto"/>
          <w:szCs w:val="21"/>
          <w:highlight w:val="none"/>
        </w:rPr>
      </w:pPr>
      <w:r>
        <w:rPr>
          <w:rFonts w:hint="eastAsia" w:ascii="宋体" w:hAnsi="宋体" w:cs="宋体"/>
          <w:color w:val="auto"/>
          <w:szCs w:val="21"/>
          <w:highlight w:val="none"/>
        </w:rPr>
        <w:t xml:space="preserve">投诉联系电话：0391-8683273  地址：博爱县机关综合办公楼主楼1213室 </w:t>
      </w:r>
    </w:p>
    <w:p w14:paraId="1D5B270C">
      <w:pPr>
        <w:rPr>
          <w:rFonts w:ascii="宋体" w:hAnsi="宋体" w:cs="宋体"/>
          <w:color w:val="auto"/>
          <w:szCs w:val="21"/>
          <w:highlight w:val="none"/>
        </w:rPr>
      </w:pPr>
    </w:p>
    <w:p w14:paraId="1C54FAD2">
      <w:pPr>
        <w:rPr>
          <w:color w:val="auto"/>
          <w:szCs w:val="21"/>
          <w:highlight w:val="none"/>
        </w:rPr>
      </w:pPr>
    </w:p>
    <w:p w14:paraId="36546DA0">
      <w:pPr>
        <w:rPr>
          <w:color w:val="auto"/>
          <w:szCs w:val="21"/>
          <w:highlight w:val="none"/>
        </w:rPr>
      </w:pPr>
    </w:p>
    <w:p w14:paraId="135FC86D">
      <w:pPr>
        <w:rPr>
          <w:color w:val="auto"/>
          <w:szCs w:val="21"/>
          <w:highlight w:val="none"/>
        </w:rPr>
      </w:pPr>
    </w:p>
    <w:p w14:paraId="6389C793">
      <w:pPr>
        <w:rPr>
          <w:color w:val="auto"/>
          <w:szCs w:val="21"/>
          <w:highlight w:val="none"/>
        </w:rPr>
      </w:pPr>
    </w:p>
    <w:p w14:paraId="7C0A8FD5">
      <w:pPr>
        <w:rPr>
          <w:color w:val="auto"/>
          <w:szCs w:val="21"/>
          <w:highlight w:val="none"/>
        </w:rPr>
      </w:pPr>
    </w:p>
    <w:p w14:paraId="0936C0EC">
      <w:pPr>
        <w:rPr>
          <w:color w:val="auto"/>
          <w:highlight w:val="none"/>
        </w:rPr>
      </w:pPr>
    </w:p>
    <w:p w14:paraId="6AFEF544">
      <w:pPr>
        <w:rPr>
          <w:color w:val="auto"/>
          <w:highlight w:val="none"/>
        </w:rPr>
      </w:pPr>
    </w:p>
    <w:p w14:paraId="67E03EDE">
      <w:pPr>
        <w:pStyle w:val="10"/>
        <w:rPr>
          <w:color w:val="auto"/>
          <w:highlight w:val="none"/>
        </w:rPr>
      </w:pPr>
    </w:p>
    <w:p w14:paraId="2DECE9EA">
      <w:pPr>
        <w:pStyle w:val="11"/>
        <w:rPr>
          <w:color w:val="auto"/>
          <w:highlight w:val="none"/>
        </w:rPr>
      </w:pPr>
    </w:p>
    <w:p w14:paraId="4AC38891">
      <w:pPr>
        <w:pStyle w:val="10"/>
        <w:rPr>
          <w:color w:val="auto"/>
          <w:highlight w:val="none"/>
        </w:rPr>
      </w:pPr>
    </w:p>
    <w:p w14:paraId="46E7F80D">
      <w:pPr>
        <w:pStyle w:val="11"/>
        <w:rPr>
          <w:color w:val="auto"/>
          <w:highlight w:val="none"/>
        </w:rPr>
      </w:pPr>
    </w:p>
    <w:p w14:paraId="42BC8940">
      <w:pPr>
        <w:pStyle w:val="10"/>
        <w:rPr>
          <w:color w:val="auto"/>
          <w:highlight w:val="none"/>
        </w:rPr>
      </w:pPr>
    </w:p>
    <w:p w14:paraId="108FCFDB">
      <w:pPr>
        <w:pStyle w:val="11"/>
        <w:rPr>
          <w:color w:val="auto"/>
          <w:highlight w:val="none"/>
        </w:rPr>
      </w:pPr>
    </w:p>
    <w:p w14:paraId="20ADC867">
      <w:pPr>
        <w:pStyle w:val="11"/>
        <w:rPr>
          <w:color w:val="auto"/>
          <w:highlight w:val="none"/>
        </w:rPr>
      </w:pPr>
    </w:p>
    <w:p w14:paraId="1C43E2A8">
      <w:pPr>
        <w:pStyle w:val="19"/>
        <w:spacing w:line="360" w:lineRule="auto"/>
        <w:ind w:firstLine="643" w:firstLineChars="200"/>
        <w:jc w:val="center"/>
        <w:outlineLvl w:val="0"/>
        <w:rPr>
          <w:rFonts w:hint="default" w:ascii="宋体" w:hAnsi="宋体" w:eastAsia="宋体" w:cs="宋体"/>
          <w:b/>
          <w:bCs/>
          <w:color w:val="auto"/>
          <w:szCs w:val="32"/>
          <w:highlight w:val="none"/>
        </w:rPr>
      </w:pPr>
      <w:bookmarkStart w:id="261" w:name="_Toc7285"/>
      <w:r>
        <w:rPr>
          <w:rFonts w:ascii="宋体" w:hAnsi="宋体" w:eastAsia="宋体" w:cs="宋体"/>
          <w:b/>
          <w:bCs/>
          <w:color w:val="auto"/>
          <w:szCs w:val="32"/>
          <w:highlight w:val="none"/>
        </w:rPr>
        <w:t>第七章 履约验收</w:t>
      </w:r>
      <w:bookmarkEnd w:id="261"/>
    </w:p>
    <w:p w14:paraId="53F01B60">
      <w:pPr>
        <w:pStyle w:val="20"/>
        <w:rPr>
          <w:color w:val="auto"/>
          <w:highlight w:val="none"/>
        </w:rPr>
      </w:pPr>
    </w:p>
    <w:p w14:paraId="783AE1B2">
      <w:pPr>
        <w:pStyle w:val="19"/>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供应商履约完成后，向采购人提出验收建议，采购人自收到验收建议之日起五个工作日内，采购人组织供应商参与，共同完成验收。技术复杂、专业性强等项目可适当延长验收时间。验收流程如下：</w:t>
      </w:r>
    </w:p>
    <w:p w14:paraId="083306E1">
      <w:pPr>
        <w:pStyle w:val="19"/>
        <w:numPr>
          <w:ilvl w:val="0"/>
          <w:numId w:val="10"/>
        </w:numPr>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5A0799E7">
      <w:pPr>
        <w:pStyle w:val="19"/>
        <w:numPr>
          <w:ilvl w:val="0"/>
          <w:numId w:val="10"/>
        </w:numPr>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63C72007">
      <w:pPr>
        <w:pStyle w:val="19"/>
        <w:numPr>
          <w:ilvl w:val="0"/>
          <w:numId w:val="10"/>
        </w:numPr>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7B608F33">
      <w:pPr>
        <w:pStyle w:val="19"/>
        <w:numPr>
          <w:ilvl w:val="0"/>
          <w:numId w:val="10"/>
        </w:numPr>
        <w:spacing w:line="360" w:lineRule="auto"/>
        <w:ind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14:paraId="65DF8E7D">
      <w:pPr>
        <w:pStyle w:val="10"/>
        <w:rPr>
          <w:rFonts w:ascii="宋体" w:hAnsi="宋体" w:eastAsia="宋体" w:cs="宋体"/>
          <w:color w:val="auto"/>
          <w:szCs w:val="21"/>
          <w:highlight w:val="none"/>
        </w:rPr>
      </w:pPr>
    </w:p>
    <w:p w14:paraId="178E9E00">
      <w:pPr>
        <w:pStyle w:val="11"/>
        <w:rPr>
          <w:rFonts w:ascii="宋体" w:hAnsi="宋体" w:eastAsia="宋体" w:cs="宋体"/>
          <w:color w:val="auto"/>
          <w:szCs w:val="21"/>
          <w:highlight w:val="none"/>
        </w:rPr>
      </w:pPr>
    </w:p>
    <w:p w14:paraId="095CEDC4">
      <w:pPr>
        <w:pStyle w:val="10"/>
        <w:rPr>
          <w:rFonts w:ascii="宋体" w:hAnsi="宋体" w:eastAsia="宋体" w:cs="宋体"/>
          <w:color w:val="auto"/>
          <w:szCs w:val="21"/>
          <w:highlight w:val="none"/>
        </w:rPr>
      </w:pPr>
    </w:p>
    <w:p w14:paraId="1921FF45">
      <w:pPr>
        <w:pStyle w:val="11"/>
        <w:rPr>
          <w:rFonts w:ascii="宋体" w:hAnsi="宋体" w:eastAsia="宋体" w:cs="宋体"/>
          <w:color w:val="auto"/>
          <w:szCs w:val="21"/>
          <w:highlight w:val="none"/>
        </w:rPr>
      </w:pPr>
    </w:p>
    <w:p w14:paraId="59D6F705">
      <w:pPr>
        <w:pStyle w:val="10"/>
        <w:rPr>
          <w:rFonts w:ascii="宋体" w:hAnsi="宋体" w:eastAsia="宋体" w:cs="宋体"/>
          <w:color w:val="auto"/>
          <w:szCs w:val="21"/>
          <w:highlight w:val="none"/>
        </w:rPr>
      </w:pPr>
    </w:p>
    <w:p w14:paraId="534E607D">
      <w:pPr>
        <w:pStyle w:val="11"/>
        <w:rPr>
          <w:rFonts w:ascii="宋体" w:hAnsi="宋体" w:eastAsia="宋体" w:cs="宋体"/>
          <w:color w:val="auto"/>
          <w:szCs w:val="21"/>
          <w:highlight w:val="none"/>
        </w:rPr>
      </w:pPr>
    </w:p>
    <w:p w14:paraId="78C9F2C9">
      <w:pPr>
        <w:pStyle w:val="10"/>
        <w:rPr>
          <w:color w:val="auto"/>
          <w:highlight w:val="none"/>
        </w:rPr>
      </w:pPr>
    </w:p>
    <w:p w14:paraId="3C2A6DB5">
      <w:pPr>
        <w:pStyle w:val="10"/>
        <w:rPr>
          <w:color w:val="auto"/>
          <w:highlight w:val="none"/>
        </w:rPr>
      </w:pPr>
    </w:p>
    <w:p w14:paraId="7890191F">
      <w:pPr>
        <w:pStyle w:val="18"/>
        <w:numPr>
          <w:ilvl w:val="0"/>
          <w:numId w:val="11"/>
        </w:numPr>
        <w:spacing w:line="600" w:lineRule="exact"/>
        <w:ind w:right="-63" w:rightChars="-30"/>
        <w:rPr>
          <w:rFonts w:hint="eastAsia" w:ascii="宋体" w:hAnsi="宋体" w:eastAsia="宋体" w:cs="宋体"/>
          <w:color w:val="auto"/>
          <w:sz w:val="36"/>
          <w:szCs w:val="36"/>
          <w:highlight w:val="none"/>
        </w:rPr>
      </w:pPr>
      <w:bookmarkStart w:id="262" w:name="_Toc14191"/>
      <w:bookmarkStart w:id="263" w:name="_Toc12999"/>
      <w:r>
        <w:rPr>
          <w:rFonts w:hint="eastAsia" w:ascii="宋体" w:hAnsi="宋体" w:eastAsia="宋体" w:cs="宋体"/>
          <w:color w:val="auto"/>
          <w:sz w:val="36"/>
          <w:szCs w:val="36"/>
          <w:highlight w:val="none"/>
        </w:rPr>
        <w:t xml:space="preserve"> 投标文件格式</w:t>
      </w:r>
      <w:bookmarkEnd w:id="258"/>
      <w:bookmarkEnd w:id="259"/>
      <w:bookmarkEnd w:id="260"/>
      <w:bookmarkEnd w:id="262"/>
      <w:bookmarkEnd w:id="263"/>
    </w:p>
    <w:p w14:paraId="448022D4">
      <w:pPr>
        <w:numPr>
          <w:ilvl w:val="0"/>
          <w:numId w:val="0"/>
        </w:numPr>
        <w:rPr>
          <w:color w:val="auto"/>
          <w:highlight w:val="none"/>
        </w:rPr>
      </w:pPr>
    </w:p>
    <w:p w14:paraId="2925623E">
      <w:pPr>
        <w:ind w:firstLine="2530" w:firstLineChars="700"/>
        <w:rPr>
          <w:rFonts w:hint="eastAsia" w:ascii="宋体" w:hAnsi="宋体" w:eastAsia="宋体" w:cs="宋体"/>
          <w:color w:val="auto"/>
          <w:highlight w:val="none"/>
          <w:lang w:eastAsia="zh-CN"/>
        </w:rPr>
      </w:pPr>
      <w:r>
        <w:rPr>
          <w:rFonts w:hint="eastAsia" w:ascii="宋体" w:hAnsi="宋体" w:eastAsia="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rPr>
        <w:t>（项目名称）</w:t>
      </w:r>
      <w:r>
        <w:rPr>
          <w:rFonts w:hint="eastAsia" w:ascii="宋体" w:hAnsi="宋体" w:eastAsia="宋体" w:cs="宋体"/>
          <w:b/>
          <w:color w:val="auto"/>
          <w:sz w:val="36"/>
          <w:szCs w:val="36"/>
          <w:highlight w:val="none"/>
          <w:lang w:val="en-US" w:eastAsia="zh-CN"/>
        </w:rPr>
        <w:t xml:space="preserve"> </w:t>
      </w:r>
    </w:p>
    <w:p w14:paraId="1D8078B6">
      <w:pPr>
        <w:ind w:firstLine="2891" w:firstLineChars="800"/>
        <w:rPr>
          <w:rFonts w:hint="eastAsia" w:ascii="宋体" w:hAnsi="宋体" w:eastAsia="宋体" w:cs="宋体"/>
          <w:color w:val="auto"/>
          <w:highlight w:val="none"/>
          <w:lang w:eastAsia="zh-CN"/>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lang w:val="en-US" w:eastAsia="zh-CN"/>
        </w:rPr>
        <w:t xml:space="preserve"> </w:t>
      </w:r>
    </w:p>
    <w:p w14:paraId="59F14056">
      <w:pPr>
        <w:spacing w:line="360" w:lineRule="auto"/>
        <w:jc w:val="center"/>
        <w:rPr>
          <w:rFonts w:ascii="宋体" w:hAnsi="宋体" w:eastAsia="宋体" w:cs="宋体"/>
          <w:b/>
          <w:color w:val="auto"/>
          <w:sz w:val="32"/>
          <w:szCs w:val="32"/>
          <w:highlight w:val="none"/>
        </w:rPr>
      </w:pPr>
    </w:p>
    <w:p w14:paraId="5E9557E8">
      <w:pPr>
        <w:pStyle w:val="20"/>
        <w:rPr>
          <w:color w:val="auto"/>
          <w:highlight w:val="none"/>
        </w:rPr>
      </w:pPr>
    </w:p>
    <w:p w14:paraId="13E697AD">
      <w:pPr>
        <w:pStyle w:val="20"/>
        <w:rPr>
          <w:color w:val="auto"/>
          <w:highlight w:val="none"/>
        </w:rPr>
      </w:pPr>
    </w:p>
    <w:p w14:paraId="560DC56C">
      <w:pPr>
        <w:pStyle w:val="20"/>
        <w:rPr>
          <w:color w:val="auto"/>
          <w:highlight w:val="none"/>
        </w:rPr>
      </w:pPr>
    </w:p>
    <w:p w14:paraId="71465CF7">
      <w:pPr>
        <w:spacing w:line="360" w:lineRule="auto"/>
        <w:jc w:val="center"/>
        <w:rPr>
          <w:rFonts w:ascii="宋体" w:hAnsi="宋体" w:eastAsia="宋体" w:cs="宋体"/>
          <w:b/>
          <w:color w:val="auto"/>
          <w:spacing w:val="24"/>
          <w:kern w:val="10"/>
          <w:sz w:val="52"/>
          <w:szCs w:val="52"/>
          <w:highlight w:val="none"/>
        </w:rPr>
      </w:pPr>
      <w:r>
        <w:rPr>
          <w:rFonts w:hint="eastAsia" w:ascii="宋体" w:hAnsi="宋体" w:eastAsia="宋体" w:cs="宋体"/>
          <w:b/>
          <w:color w:val="auto"/>
          <w:spacing w:val="24"/>
          <w:kern w:val="10"/>
          <w:sz w:val="52"/>
          <w:szCs w:val="52"/>
          <w:highlight w:val="none"/>
        </w:rPr>
        <w:t>投  标  文  件</w:t>
      </w:r>
    </w:p>
    <w:p w14:paraId="12F1F194">
      <w:pPr>
        <w:jc w:val="center"/>
        <w:rPr>
          <w:rFonts w:ascii="宋体" w:hAnsi="宋体" w:eastAsia="宋体" w:cs="宋体"/>
          <w:color w:val="auto"/>
          <w:sz w:val="24"/>
          <w:highlight w:val="none"/>
        </w:rPr>
      </w:pPr>
    </w:p>
    <w:p w14:paraId="54A7D874">
      <w:pPr>
        <w:pStyle w:val="7"/>
        <w:rPr>
          <w:color w:val="auto"/>
          <w:highlight w:val="none"/>
        </w:rPr>
      </w:pPr>
      <w:r>
        <w:rPr>
          <w:rFonts w:hint="eastAsia" w:ascii="宋体" w:hAnsi="宋体" w:eastAsia="宋体" w:cs="宋体"/>
          <w:color w:val="auto"/>
          <w:highlight w:val="none"/>
        </w:rPr>
        <w:t xml:space="preserve"> </w:t>
      </w:r>
    </w:p>
    <w:p w14:paraId="46CD57A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（封面）</w:t>
      </w:r>
    </w:p>
    <w:p w14:paraId="6B64753C">
      <w:pPr>
        <w:jc w:val="center"/>
        <w:rPr>
          <w:rFonts w:ascii="宋体" w:hAnsi="宋体" w:eastAsia="宋体" w:cs="宋体"/>
          <w:color w:val="auto"/>
          <w:sz w:val="24"/>
          <w:highlight w:val="none"/>
        </w:rPr>
      </w:pPr>
    </w:p>
    <w:p w14:paraId="74B847A1">
      <w:pPr>
        <w:jc w:val="center"/>
        <w:rPr>
          <w:rFonts w:ascii="宋体" w:hAnsi="宋体" w:eastAsia="宋体" w:cs="宋体"/>
          <w:color w:val="auto"/>
          <w:sz w:val="24"/>
          <w:highlight w:val="none"/>
        </w:rPr>
      </w:pPr>
    </w:p>
    <w:p w14:paraId="44266F4E">
      <w:pPr>
        <w:jc w:val="center"/>
        <w:rPr>
          <w:rFonts w:ascii="宋体" w:hAnsi="宋体" w:eastAsia="宋体" w:cs="宋体"/>
          <w:color w:val="auto"/>
          <w:sz w:val="24"/>
          <w:highlight w:val="none"/>
        </w:rPr>
      </w:pPr>
    </w:p>
    <w:p w14:paraId="72CCBC38">
      <w:pPr>
        <w:rPr>
          <w:rFonts w:ascii="宋体" w:hAnsi="宋体" w:eastAsia="宋体" w:cs="宋体"/>
          <w:color w:val="auto"/>
          <w:sz w:val="24"/>
          <w:highlight w:val="none"/>
        </w:rPr>
      </w:pPr>
    </w:p>
    <w:p w14:paraId="30E15D87">
      <w:pPr>
        <w:jc w:val="center"/>
        <w:rPr>
          <w:rFonts w:ascii="宋体" w:hAnsi="宋体" w:eastAsia="宋体" w:cs="宋体"/>
          <w:color w:val="auto"/>
          <w:sz w:val="24"/>
          <w:highlight w:val="none"/>
        </w:rPr>
      </w:pPr>
    </w:p>
    <w:p w14:paraId="10F13D48">
      <w:pPr>
        <w:jc w:val="center"/>
        <w:rPr>
          <w:rFonts w:ascii="宋体" w:hAnsi="宋体" w:eastAsia="宋体" w:cs="宋体"/>
          <w:color w:val="auto"/>
          <w:sz w:val="24"/>
          <w:highlight w:val="none"/>
        </w:rPr>
      </w:pPr>
    </w:p>
    <w:p w14:paraId="75798C43">
      <w:pPr>
        <w:jc w:val="center"/>
        <w:rPr>
          <w:rFonts w:ascii="宋体" w:hAnsi="宋体" w:eastAsia="宋体" w:cs="宋体"/>
          <w:color w:val="auto"/>
          <w:sz w:val="24"/>
          <w:highlight w:val="none"/>
        </w:rPr>
      </w:pPr>
    </w:p>
    <w:p w14:paraId="4E2A30FF">
      <w:pPr>
        <w:jc w:val="center"/>
        <w:rPr>
          <w:rFonts w:ascii="宋体" w:hAnsi="宋体" w:eastAsia="宋体" w:cs="宋体"/>
          <w:b/>
          <w:color w:val="auto"/>
          <w:sz w:val="24"/>
          <w:highlight w:val="none"/>
        </w:rPr>
      </w:pPr>
    </w:p>
    <w:p w14:paraId="6E9DC359">
      <w:pPr>
        <w:pStyle w:val="14"/>
        <w:spacing w:line="600" w:lineRule="exact"/>
        <w:ind w:left="1050" w:leftChars="500" w:firstLine="1152" w:firstLineChars="450"/>
        <w:rPr>
          <w:rFonts w:hint="default" w:ascii="宋体" w:hAnsi="宋体" w:eastAsia="宋体" w:cs="宋体"/>
          <w:color w:val="auto"/>
          <w:sz w:val="24"/>
          <w:highlight w:val="none"/>
        </w:rPr>
      </w:pPr>
      <w:r>
        <w:rPr>
          <w:rFonts w:ascii="宋体" w:hAnsi="宋体" w:eastAsia="宋体" w:cs="宋体"/>
          <w:color w:val="auto"/>
          <w:spacing w:val="8"/>
          <w:sz w:val="24"/>
          <w:highlight w:val="none"/>
        </w:rPr>
        <w:t>供  应  商：</w:t>
      </w:r>
      <w:r>
        <w:rPr>
          <w:rFonts w:ascii="宋体" w:hAnsi="宋体" w:eastAsia="宋体" w:cs="宋体"/>
          <w:color w:val="auto"/>
          <w:sz w:val="24"/>
          <w:highlight w:val="none"/>
        </w:rPr>
        <w:t>（单位公章）</w:t>
      </w:r>
    </w:p>
    <w:p w14:paraId="0D973F6D">
      <w:pPr>
        <w:pStyle w:val="14"/>
        <w:spacing w:line="600" w:lineRule="exact"/>
        <w:ind w:left="1050" w:leftChars="500" w:firstLine="1200" w:firstLineChars="500"/>
        <w:rPr>
          <w:rFonts w:hint="default" w:ascii="宋体" w:hAnsi="宋体" w:eastAsia="宋体" w:cs="宋体"/>
          <w:color w:val="auto"/>
          <w:sz w:val="24"/>
          <w:highlight w:val="none"/>
        </w:rPr>
      </w:pPr>
      <w:r>
        <w:rPr>
          <w:rFonts w:ascii="宋体" w:hAnsi="宋体" w:eastAsia="宋体" w:cs="宋体"/>
          <w:color w:val="auto"/>
          <w:sz w:val="24"/>
          <w:highlight w:val="none"/>
        </w:rPr>
        <w:t>法定代表人或</w:t>
      </w:r>
      <w:r>
        <w:rPr>
          <w:rFonts w:ascii="宋体" w:hAnsi="宋体" w:eastAsia="宋体" w:cs="宋体"/>
          <w:color w:val="auto"/>
          <w:spacing w:val="12"/>
          <w:sz w:val="24"/>
          <w:highlight w:val="none"/>
        </w:rPr>
        <w:t>委托代理人：</w:t>
      </w:r>
      <w:r>
        <w:rPr>
          <w:rFonts w:ascii="宋体" w:hAnsi="宋体" w:eastAsia="宋体" w:cs="宋体"/>
          <w:color w:val="auto"/>
          <w:sz w:val="24"/>
          <w:highlight w:val="none"/>
        </w:rPr>
        <w:t xml:space="preserve">（签字或盖章）  </w:t>
      </w:r>
    </w:p>
    <w:p w14:paraId="1C061210">
      <w:pPr>
        <w:pStyle w:val="14"/>
        <w:spacing w:line="600" w:lineRule="exact"/>
        <w:ind w:left="1050" w:leftChars="500" w:firstLine="1200" w:firstLineChars="500"/>
        <w:rPr>
          <w:rFonts w:hint="default" w:ascii="宋体" w:hAnsi="宋体" w:eastAsia="宋体" w:cs="宋体"/>
          <w:b/>
          <w:bCs/>
          <w:color w:val="auto"/>
          <w:sz w:val="28"/>
          <w:szCs w:val="28"/>
          <w:highlight w:val="none"/>
        </w:rPr>
      </w:pPr>
      <w:r>
        <w:rPr>
          <w:rFonts w:ascii="宋体" w:hAnsi="宋体" w:eastAsia="宋体" w:cs="宋体"/>
          <w:color w:val="auto"/>
          <w:sz w:val="24"/>
          <w:highlight w:val="none"/>
        </w:rPr>
        <w:t>日       期：       年    月    日</w:t>
      </w:r>
    </w:p>
    <w:p w14:paraId="662F15CE">
      <w:pPr>
        <w:ind w:firstLine="540" w:firstLineChars="192"/>
        <w:jc w:val="center"/>
        <w:rPr>
          <w:rFonts w:ascii="宋体" w:hAnsi="宋体" w:eastAsia="宋体" w:cs="宋体"/>
          <w:b/>
          <w:bCs/>
          <w:color w:val="auto"/>
          <w:sz w:val="28"/>
          <w:szCs w:val="28"/>
          <w:highlight w:val="none"/>
        </w:rPr>
      </w:pPr>
    </w:p>
    <w:p w14:paraId="6FAEF062">
      <w:pPr>
        <w:ind w:firstLine="848" w:firstLineChars="192"/>
        <w:jc w:val="center"/>
        <w:rPr>
          <w:rFonts w:ascii="宋体" w:hAnsi="宋体" w:eastAsia="宋体" w:cs="宋体"/>
          <w:b/>
          <w:bCs/>
          <w:color w:val="auto"/>
          <w:sz w:val="44"/>
          <w:szCs w:val="44"/>
          <w:highlight w:val="none"/>
        </w:rPr>
      </w:pPr>
    </w:p>
    <w:p w14:paraId="686102F8">
      <w:pPr>
        <w:pStyle w:val="20"/>
        <w:ind w:firstLine="883"/>
        <w:rPr>
          <w:rFonts w:ascii="宋体" w:hAnsi="宋体" w:eastAsia="宋体" w:cs="宋体"/>
          <w:b/>
          <w:bCs/>
          <w:color w:val="auto"/>
          <w:sz w:val="44"/>
          <w:szCs w:val="44"/>
          <w:highlight w:val="none"/>
        </w:rPr>
      </w:pPr>
    </w:p>
    <w:p w14:paraId="319F5ACA">
      <w:pPr>
        <w:rPr>
          <w:rFonts w:ascii="宋体" w:hAnsi="宋体" w:eastAsia="宋体" w:cs="宋体"/>
          <w:b/>
          <w:bCs/>
          <w:color w:val="auto"/>
          <w:sz w:val="44"/>
          <w:szCs w:val="44"/>
          <w:highlight w:val="none"/>
        </w:rPr>
      </w:pPr>
    </w:p>
    <w:p w14:paraId="4BB27104">
      <w:pPr>
        <w:pStyle w:val="20"/>
        <w:rPr>
          <w:color w:val="auto"/>
          <w:highlight w:val="none"/>
        </w:rPr>
      </w:pPr>
    </w:p>
    <w:p w14:paraId="70C89F57">
      <w:pPr>
        <w:ind w:firstLine="848" w:firstLineChars="192"/>
        <w:jc w:val="center"/>
        <w:rPr>
          <w:rFonts w:ascii="宋体" w:hAnsi="宋体" w:eastAsia="宋体" w:cs="宋体"/>
          <w:b/>
          <w:bCs/>
          <w:color w:val="auto"/>
          <w:sz w:val="44"/>
          <w:szCs w:val="44"/>
          <w:highlight w:val="none"/>
        </w:rPr>
      </w:pPr>
    </w:p>
    <w:p w14:paraId="573819E8">
      <w:pPr>
        <w:ind w:firstLine="848" w:firstLineChars="192"/>
        <w:jc w:val="center"/>
        <w:rPr>
          <w:rFonts w:ascii="宋体" w:hAnsi="宋体" w:eastAsia="宋体" w:cs="宋体"/>
          <w:b/>
          <w:bCs/>
          <w:color w:val="auto"/>
          <w:sz w:val="44"/>
          <w:szCs w:val="44"/>
          <w:highlight w:val="none"/>
        </w:rPr>
      </w:pPr>
    </w:p>
    <w:p w14:paraId="3D97D3EB">
      <w:pPr>
        <w:jc w:val="center"/>
        <w:rPr>
          <w:rFonts w:ascii="宋体" w:hAnsi="宋体" w:eastAsia="宋体" w:cs="宋体"/>
          <w:color w:val="auto"/>
          <w:sz w:val="24"/>
          <w:highlight w:val="none"/>
        </w:rPr>
      </w:pPr>
      <w:r>
        <w:rPr>
          <w:rFonts w:hint="eastAsia" w:ascii="宋体" w:hAnsi="宋体" w:eastAsia="宋体" w:cs="宋体"/>
          <w:b/>
          <w:bCs/>
          <w:color w:val="auto"/>
          <w:sz w:val="44"/>
          <w:szCs w:val="44"/>
          <w:highlight w:val="none"/>
        </w:rPr>
        <w:t>目    录</w:t>
      </w:r>
    </w:p>
    <w:p w14:paraId="36F45626">
      <w:pPr>
        <w:spacing w:line="600" w:lineRule="exact"/>
        <w:jc w:val="center"/>
        <w:outlineLvl w:val="1"/>
        <w:rPr>
          <w:rFonts w:ascii="宋体" w:hAnsi="宋体" w:eastAsia="宋体" w:cs="宋体"/>
          <w:b/>
          <w:bCs/>
          <w:color w:val="auto"/>
          <w:sz w:val="28"/>
          <w:szCs w:val="28"/>
          <w:highlight w:val="none"/>
        </w:rPr>
      </w:pPr>
      <w:bookmarkStart w:id="264" w:name="_Toc31547"/>
      <w:bookmarkStart w:id="265" w:name="_Toc2130"/>
      <w:r>
        <w:rPr>
          <w:rFonts w:ascii="宋体" w:hAnsi="宋体" w:eastAsia="宋体" w:cs="宋体"/>
          <w:color w:val="auto"/>
          <w:szCs w:val="21"/>
          <w:highlight w:val="none"/>
        </w:rPr>
        <w:t>（自拟）</w:t>
      </w:r>
      <w:r>
        <w:rPr>
          <w:rFonts w:hint="eastAsia" w:ascii="宋体" w:hAnsi="宋体" w:eastAsia="宋体" w:cs="宋体"/>
          <w:color w:val="auto"/>
          <w:szCs w:val="21"/>
          <w:highlight w:val="none"/>
        </w:rPr>
        <w:br w:type="page"/>
      </w:r>
      <w:bookmarkStart w:id="266" w:name="_Toc1921"/>
      <w:r>
        <w:rPr>
          <w:rFonts w:hint="eastAsia" w:ascii="宋体" w:hAnsi="宋体" w:eastAsia="宋体" w:cs="宋体"/>
          <w:b/>
          <w:bCs/>
          <w:color w:val="auto"/>
          <w:sz w:val="30"/>
          <w:szCs w:val="30"/>
          <w:highlight w:val="none"/>
        </w:rPr>
        <w:t>一、投标函</w:t>
      </w:r>
      <w:bookmarkEnd w:id="264"/>
      <w:r>
        <w:rPr>
          <w:rFonts w:hint="eastAsia" w:ascii="宋体" w:hAnsi="宋体" w:eastAsia="宋体" w:cs="宋体"/>
          <w:b/>
          <w:bCs/>
          <w:color w:val="auto"/>
          <w:sz w:val="30"/>
          <w:szCs w:val="30"/>
          <w:highlight w:val="none"/>
        </w:rPr>
        <w:t>及开标一览表</w:t>
      </w:r>
      <w:bookmarkEnd w:id="265"/>
      <w:bookmarkEnd w:id="266"/>
    </w:p>
    <w:p w14:paraId="77510BCC">
      <w:pPr>
        <w:numPr>
          <w:ilvl w:val="0"/>
          <w:numId w:val="12"/>
        </w:numPr>
        <w:spacing w:line="600" w:lineRule="exact"/>
        <w:jc w:val="center"/>
        <w:outlineLvl w:val="2"/>
        <w:rPr>
          <w:rFonts w:ascii="宋体" w:hAnsi="宋体" w:eastAsia="宋体" w:cs="宋体"/>
          <w:b/>
          <w:color w:val="auto"/>
          <w:sz w:val="28"/>
          <w:szCs w:val="28"/>
          <w:highlight w:val="none"/>
        </w:rPr>
      </w:pPr>
      <w:bookmarkStart w:id="267" w:name="_Toc28684"/>
      <w:bookmarkStart w:id="268" w:name="_Toc600"/>
      <w:bookmarkStart w:id="269" w:name="_Toc12044"/>
      <w:bookmarkStart w:id="270" w:name="_Toc27218"/>
      <w:r>
        <w:rPr>
          <w:rFonts w:hint="eastAsia" w:ascii="宋体" w:hAnsi="宋体" w:eastAsia="宋体" w:cs="宋体"/>
          <w:b/>
          <w:color w:val="auto"/>
          <w:sz w:val="28"/>
          <w:szCs w:val="28"/>
          <w:highlight w:val="none"/>
        </w:rPr>
        <w:t>投标函</w:t>
      </w:r>
      <w:bookmarkEnd w:id="267"/>
      <w:bookmarkEnd w:id="268"/>
      <w:bookmarkEnd w:id="269"/>
      <w:bookmarkEnd w:id="270"/>
    </w:p>
    <w:p w14:paraId="542B8C38">
      <w:pPr>
        <w:pStyle w:val="20"/>
        <w:ind w:firstLine="0" w:firstLineChars="0"/>
        <w:rPr>
          <w:color w:val="auto"/>
          <w:highlight w:val="none"/>
        </w:rPr>
      </w:pPr>
    </w:p>
    <w:p w14:paraId="5673569A">
      <w:pPr>
        <w:widowControl/>
        <w:spacing w:line="360" w:lineRule="auto"/>
        <w:ind w:firstLine="562" w:firstLineChars="200"/>
        <w:rPr>
          <w:rFonts w:ascii="宋体" w:hAnsi="宋体"/>
          <w:b/>
          <w:bCs/>
          <w:color w:val="auto"/>
          <w:kern w:val="0"/>
          <w:sz w:val="28"/>
          <w:szCs w:val="28"/>
          <w:highlight w:val="none"/>
          <w:u w:val="single"/>
        </w:rPr>
      </w:pPr>
      <w:r>
        <w:rPr>
          <w:rFonts w:hint="eastAsia" w:ascii="宋体" w:hAnsi="宋体"/>
          <w:b/>
          <w:bCs/>
          <w:color w:val="auto"/>
          <w:kern w:val="0"/>
          <w:sz w:val="28"/>
          <w:szCs w:val="28"/>
          <w:highlight w:val="none"/>
        </w:rPr>
        <w:t>致：</w:t>
      </w:r>
      <w:r>
        <w:rPr>
          <w:rFonts w:hint="eastAsia" w:ascii="宋体" w:hAnsi="宋体"/>
          <w:b/>
          <w:bCs/>
          <w:color w:val="auto"/>
          <w:kern w:val="0"/>
          <w:sz w:val="28"/>
          <w:szCs w:val="28"/>
          <w:highlight w:val="none"/>
          <w:u w:val="single"/>
        </w:rPr>
        <w:t xml:space="preserve">                    （采购人名称） </w:t>
      </w:r>
    </w:p>
    <w:p w14:paraId="58E4EE1F">
      <w:pPr>
        <w:pStyle w:val="19"/>
        <w:spacing w:line="360" w:lineRule="auto"/>
        <w:ind w:firstLine="480" w:firstLineChars="200"/>
        <w:rPr>
          <w:rFonts w:hint="default" w:ascii="宋体" w:hAnsi="宋体" w:eastAsia="宋体"/>
          <w:color w:val="auto"/>
          <w:sz w:val="24"/>
          <w:highlight w:val="none"/>
        </w:rPr>
      </w:pPr>
      <w:r>
        <w:rPr>
          <w:rFonts w:ascii="宋体" w:hAnsi="宋体" w:eastAsia="宋体"/>
          <w:color w:val="auto"/>
          <w:sz w:val="24"/>
          <w:highlight w:val="none"/>
        </w:rPr>
        <w:t>我单位已收到的</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项目名称</w:t>
      </w:r>
      <w:r>
        <w:rPr>
          <w:rFonts w:hint="eastAsia" w:ascii="宋体" w:hAnsi="宋体" w:eastAsia="宋体"/>
          <w:color w:val="auto"/>
          <w:sz w:val="24"/>
          <w:highlight w:val="none"/>
          <w:lang w:eastAsia="zh-CN"/>
        </w:rPr>
        <w:t>）</w:t>
      </w:r>
      <w:r>
        <w:rPr>
          <w:rFonts w:ascii="宋体" w:hAnsi="宋体" w:eastAsia="宋体"/>
          <w:color w:val="auto"/>
          <w:sz w:val="24"/>
          <w:highlight w:val="none"/>
        </w:rPr>
        <w:t>采购文件及有关纪要通知，现对参与投标及中标后工作，做出如下郑重承诺：</w:t>
      </w:r>
    </w:p>
    <w:p w14:paraId="3505E9F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1、我方愿以</w:t>
      </w:r>
      <w:r>
        <w:rPr>
          <w:rFonts w:hint="eastAsia" w:ascii="宋体" w:hAnsi="宋体"/>
          <w:color w:val="auto"/>
          <w:sz w:val="24"/>
          <w:highlight w:val="none"/>
          <w:lang w:val="en-US" w:eastAsia="zh-CN"/>
        </w:rPr>
        <w:t>投标报价</w:t>
      </w:r>
      <w:r>
        <w:rPr>
          <w:rFonts w:hint="eastAsia" w:ascii="宋体" w:hAnsi="宋体"/>
          <w:color w:val="auto"/>
          <w:sz w:val="24"/>
          <w:highlight w:val="none"/>
        </w:rPr>
        <w:t>为人民币（大写）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rPr>
        <w:t xml:space="preserve">（小写）￥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rPr>
        <w:t>，</w:t>
      </w:r>
      <w:r>
        <w:rPr>
          <w:rFonts w:hint="eastAsia" w:ascii="宋体" w:hAnsi="宋体"/>
          <w:color w:val="auto"/>
          <w:sz w:val="24"/>
          <w:highlight w:val="none"/>
          <w:lang w:val="en-US" w:eastAsia="zh-CN"/>
        </w:rPr>
        <w:t>合同履行期限</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，按合同约定实施和完成本项目。 </w:t>
      </w:r>
    </w:p>
    <w:p w14:paraId="18BD3647">
      <w:pPr>
        <w:widowControl/>
        <w:spacing w:line="360" w:lineRule="auto"/>
        <w:ind w:firstLine="480" w:firstLineChars="200"/>
        <w:rPr>
          <w:rFonts w:ascii="宋体" w:hAnsi="宋体" w:cs="宋体"/>
          <w:strike/>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在响应性文件递交截止时间后至确定成交人的</w:t>
      </w:r>
      <w:r>
        <w:rPr>
          <w:color w:val="auto"/>
          <w:highlight w:val="none"/>
        </w:rPr>
        <w:fldChar w:fldCharType="begin"/>
      </w:r>
      <w:r>
        <w:rPr>
          <w:color w:val="auto"/>
          <w:highlight w:val="none"/>
        </w:rPr>
        <w:instrText xml:space="preserve"> HYPERLINK "https://baike.so.com/doc/5394983-5632135.html" \t "https://baike.so.com/doc/_blank" </w:instrText>
      </w:r>
      <w:r>
        <w:rPr>
          <w:color w:val="auto"/>
          <w:highlight w:val="none"/>
        </w:rPr>
        <w:fldChar w:fldCharType="separate"/>
      </w:r>
      <w:r>
        <w:rPr>
          <w:rFonts w:ascii="宋体" w:hAnsi="宋体"/>
          <w:color w:val="auto"/>
          <w:sz w:val="24"/>
          <w:highlight w:val="none"/>
        </w:rPr>
        <w:t>投标有效期</w:t>
      </w:r>
      <w:r>
        <w:rPr>
          <w:rFonts w:ascii="宋体" w:hAnsi="宋体"/>
          <w:color w:val="auto"/>
          <w:sz w:val="24"/>
          <w:highlight w:val="none"/>
        </w:rPr>
        <w:fldChar w:fldCharType="end"/>
      </w:r>
      <w:r>
        <w:rPr>
          <w:rFonts w:ascii="宋体" w:hAnsi="宋体"/>
          <w:color w:val="auto"/>
          <w:sz w:val="24"/>
          <w:highlight w:val="none"/>
        </w:rPr>
        <w:t>内</w:t>
      </w:r>
      <w:r>
        <w:rPr>
          <w:rFonts w:hint="eastAsia" w:ascii="宋体" w:hAnsi="宋体"/>
          <w:color w:val="auto"/>
          <w:sz w:val="24"/>
          <w:highlight w:val="none"/>
        </w:rPr>
        <w:t>，我单位不得要求退出竞标或者修改响应性文件。</w:t>
      </w:r>
    </w:p>
    <w:p w14:paraId="1F1823C2">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3、我方明白采购人不一定接纳最低投标报价的采购，也不需要采购人解释选择或否决任何供应商的原因和理由。</w:t>
      </w:r>
    </w:p>
    <w:p w14:paraId="281CE914">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参与本项目投标的所有资料真实有效，未在投标文件中提供虚假材料，无陪标、串标等违法行为。若相关部门查实或被不见面开标系统提示为“投标文件制作机器码一致”的，同意被视为投标无效，接受报监管部门依法作出的处理。</w:t>
      </w:r>
    </w:p>
    <w:p w14:paraId="42C36CC3">
      <w:pPr>
        <w:spacing w:line="360" w:lineRule="auto"/>
        <w:ind w:firstLine="480" w:firstLineChars="200"/>
        <w:jc w:val="left"/>
        <w:rPr>
          <w:color w:val="auto"/>
          <w:highlight w:val="none"/>
        </w:rPr>
      </w:pPr>
      <w:r>
        <w:rPr>
          <w:rFonts w:hint="eastAsia" w:ascii="宋体" w:hAnsi="宋体" w:cs="宋体"/>
          <w:color w:val="auto"/>
          <w:sz w:val="24"/>
          <w:highlight w:val="none"/>
        </w:rPr>
        <w:t>5、一旦我方中标，我方在收到中标通知书后15日内，依据采购文件、投标文件与采购人签订合同。若由于我方原因在15日内因非不可抗力拒绝与采购人签订合同的，愿意接受相关部门依法作出的处罚。合同签订后严格按照合同履约，并配合采购人完成履约验收。</w:t>
      </w:r>
    </w:p>
    <w:p w14:paraId="6852129F">
      <w:pPr>
        <w:widowControl/>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供应商：（盖章）</w:t>
      </w:r>
    </w:p>
    <w:p w14:paraId="741803AC">
      <w:pPr>
        <w:widowControl/>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法定代表人或授权委托代理人：（签字或盖章）</w:t>
      </w:r>
    </w:p>
    <w:p w14:paraId="4CD8CAD7">
      <w:pPr>
        <w:widowControl/>
        <w:spacing w:line="360" w:lineRule="auto"/>
        <w:ind w:firstLine="480" w:firstLineChars="200"/>
        <w:rPr>
          <w:rFonts w:ascii="宋体" w:hAnsi="宋体"/>
          <w:b/>
          <w:bCs/>
          <w:color w:val="auto"/>
          <w:kern w:val="0"/>
          <w:sz w:val="32"/>
          <w:szCs w:val="32"/>
          <w:highlight w:val="none"/>
        </w:rPr>
      </w:pPr>
      <w:r>
        <w:rPr>
          <w:rFonts w:hint="eastAsia" w:ascii="宋体" w:hAnsi="宋体"/>
          <w:color w:val="auto"/>
          <w:kern w:val="0"/>
          <w:sz w:val="24"/>
          <w:highlight w:val="none"/>
        </w:rPr>
        <w:t>年      月      日</w:t>
      </w:r>
    </w:p>
    <w:p w14:paraId="29087E39">
      <w:pPr>
        <w:spacing w:line="500" w:lineRule="exact"/>
        <w:jc w:val="center"/>
        <w:outlineLvl w:val="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271" w:name="_Toc9543"/>
      <w:bookmarkStart w:id="272" w:name="_Toc31291"/>
      <w:bookmarkStart w:id="273" w:name="_Toc14778"/>
      <w:bookmarkStart w:id="274" w:name="_Toc208"/>
      <w:r>
        <w:rPr>
          <w:rFonts w:hint="eastAsia" w:ascii="宋体" w:hAnsi="宋体" w:eastAsia="宋体" w:cs="宋体"/>
          <w:b/>
          <w:bCs/>
          <w:color w:val="auto"/>
          <w:sz w:val="28"/>
          <w:szCs w:val="28"/>
          <w:highlight w:val="none"/>
        </w:rPr>
        <w:t>（二） 开标一览表</w:t>
      </w:r>
      <w:bookmarkEnd w:id="271"/>
      <w:bookmarkEnd w:id="272"/>
      <w:bookmarkEnd w:id="273"/>
      <w:bookmarkEnd w:id="274"/>
    </w:p>
    <w:p w14:paraId="15A0E964">
      <w:pPr>
        <w:jc w:val="center"/>
        <w:rPr>
          <w:rFonts w:ascii="宋体" w:hAnsi="宋体" w:eastAsia="宋体" w:cs="宋体"/>
          <w:b/>
          <w:bCs/>
          <w:color w:val="auto"/>
          <w:sz w:val="28"/>
          <w:highlight w:val="none"/>
        </w:rPr>
      </w:pP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5906"/>
      </w:tblGrid>
      <w:tr w14:paraId="6FE1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2613" w:type="dxa"/>
            <w:vAlign w:val="center"/>
          </w:tcPr>
          <w:p w14:paraId="1B79B74A">
            <w:pPr>
              <w:spacing w:line="3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906" w:type="dxa"/>
            <w:vAlign w:val="center"/>
          </w:tcPr>
          <w:p w14:paraId="455FF9AD">
            <w:pPr>
              <w:pStyle w:val="12"/>
              <w:spacing w:line="400" w:lineRule="exact"/>
              <w:ind w:firstLine="480"/>
              <w:rPr>
                <w:rFonts w:ascii="宋体" w:hAnsi="宋体" w:eastAsia="宋体" w:cs="宋体"/>
                <w:color w:val="auto"/>
                <w:sz w:val="24"/>
                <w:szCs w:val="20"/>
                <w:highlight w:val="none"/>
              </w:rPr>
            </w:pPr>
          </w:p>
        </w:tc>
      </w:tr>
      <w:tr w14:paraId="2971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613" w:type="dxa"/>
            <w:vAlign w:val="center"/>
          </w:tcPr>
          <w:p w14:paraId="4E47EE8E">
            <w:pPr>
              <w:spacing w:line="3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 标 人</w:t>
            </w:r>
          </w:p>
        </w:tc>
        <w:tc>
          <w:tcPr>
            <w:tcW w:w="5906" w:type="dxa"/>
            <w:vAlign w:val="center"/>
          </w:tcPr>
          <w:p w14:paraId="6951A40B">
            <w:pPr>
              <w:pStyle w:val="12"/>
              <w:spacing w:line="400" w:lineRule="exact"/>
              <w:ind w:firstLine="480"/>
              <w:rPr>
                <w:rFonts w:ascii="宋体" w:hAnsi="宋体" w:eastAsia="宋体" w:cs="宋体"/>
                <w:color w:val="auto"/>
                <w:sz w:val="24"/>
                <w:szCs w:val="20"/>
                <w:highlight w:val="none"/>
              </w:rPr>
            </w:pPr>
          </w:p>
        </w:tc>
      </w:tr>
      <w:tr w14:paraId="024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13" w:type="dxa"/>
            <w:vAlign w:val="center"/>
          </w:tcPr>
          <w:p w14:paraId="4AC79A47">
            <w:pPr>
              <w:spacing w:line="3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w:t>
            </w:r>
            <w:r>
              <w:rPr>
                <w:rFonts w:hint="eastAsia" w:ascii="宋体" w:hAnsi="宋体" w:cs="宋体"/>
                <w:color w:val="auto"/>
                <w:sz w:val="24"/>
                <w:highlight w:val="none"/>
                <w:lang w:val="en-US" w:eastAsia="zh-CN"/>
              </w:rPr>
              <w:t>报价</w:t>
            </w:r>
          </w:p>
        </w:tc>
        <w:tc>
          <w:tcPr>
            <w:tcW w:w="5906" w:type="dxa"/>
            <w:vAlign w:val="center"/>
          </w:tcPr>
          <w:p w14:paraId="6D629078">
            <w:pPr>
              <w:pStyle w:val="12"/>
              <w:spacing w:line="400" w:lineRule="exact"/>
              <w:ind w:firstLine="48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（大写）</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none"/>
                <w:lang w:val="en-US" w:eastAsia="zh-CN"/>
              </w:rPr>
              <w:t>元</w:t>
            </w:r>
            <w:r>
              <w:rPr>
                <w:rFonts w:hint="eastAsia" w:ascii="宋体" w:hAnsi="宋体" w:eastAsia="宋体" w:cs="宋体"/>
                <w:color w:val="auto"/>
                <w:sz w:val="24"/>
                <w:szCs w:val="20"/>
                <w:highlight w:val="none"/>
              </w:rPr>
              <w:t xml:space="preserve">       </w:t>
            </w:r>
          </w:p>
          <w:p w14:paraId="56362D96">
            <w:pPr>
              <w:pStyle w:val="12"/>
              <w:spacing w:line="400" w:lineRule="exact"/>
              <w:ind w:firstLine="48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（小写）</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none"/>
                <w:lang w:val="en-US" w:eastAsia="zh-CN"/>
              </w:rPr>
              <w:t>元</w:t>
            </w:r>
            <w:r>
              <w:rPr>
                <w:rFonts w:hint="eastAsia" w:ascii="宋体" w:hAnsi="宋体" w:eastAsia="宋体" w:cs="宋体"/>
                <w:color w:val="auto"/>
                <w:sz w:val="24"/>
                <w:szCs w:val="20"/>
                <w:highlight w:val="none"/>
              </w:rPr>
              <w:t xml:space="preserve">        </w:t>
            </w:r>
          </w:p>
        </w:tc>
      </w:tr>
      <w:tr w14:paraId="4647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2613" w:type="dxa"/>
            <w:vAlign w:val="center"/>
          </w:tcPr>
          <w:p w14:paraId="0AFA2902">
            <w:pPr>
              <w:spacing w:line="3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质量</w:t>
            </w:r>
            <w:r>
              <w:rPr>
                <w:rFonts w:hint="eastAsia" w:ascii="宋体" w:hAnsi="宋体" w:cs="宋体"/>
                <w:color w:val="auto"/>
                <w:sz w:val="24"/>
                <w:highlight w:val="none"/>
                <w:lang w:val="en-US" w:eastAsia="zh-CN"/>
              </w:rPr>
              <w:t>要求</w:t>
            </w:r>
          </w:p>
        </w:tc>
        <w:tc>
          <w:tcPr>
            <w:tcW w:w="5906" w:type="dxa"/>
            <w:vAlign w:val="center"/>
          </w:tcPr>
          <w:p w14:paraId="70948F99">
            <w:pPr>
              <w:pStyle w:val="12"/>
              <w:spacing w:line="400" w:lineRule="exact"/>
              <w:ind w:firstLine="480"/>
              <w:rPr>
                <w:rFonts w:ascii="宋体" w:hAnsi="宋体" w:eastAsia="宋体" w:cs="宋体"/>
                <w:color w:val="auto"/>
                <w:sz w:val="24"/>
                <w:szCs w:val="20"/>
                <w:highlight w:val="none"/>
              </w:rPr>
            </w:pPr>
          </w:p>
        </w:tc>
      </w:tr>
      <w:tr w14:paraId="1A7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613" w:type="dxa"/>
            <w:vAlign w:val="center"/>
          </w:tcPr>
          <w:p w14:paraId="3B675A94">
            <w:pPr>
              <w:spacing w:line="3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合同履行期限</w:t>
            </w:r>
          </w:p>
        </w:tc>
        <w:tc>
          <w:tcPr>
            <w:tcW w:w="5906" w:type="dxa"/>
            <w:vAlign w:val="center"/>
          </w:tcPr>
          <w:p w14:paraId="5F77E1EB">
            <w:pPr>
              <w:pStyle w:val="12"/>
              <w:spacing w:line="400" w:lineRule="exact"/>
              <w:ind w:firstLine="480"/>
              <w:rPr>
                <w:rFonts w:ascii="宋体" w:hAnsi="宋体" w:eastAsia="宋体" w:cs="宋体"/>
                <w:color w:val="auto"/>
                <w:sz w:val="24"/>
                <w:szCs w:val="20"/>
                <w:highlight w:val="none"/>
              </w:rPr>
            </w:pPr>
          </w:p>
        </w:tc>
      </w:tr>
      <w:tr w14:paraId="4B7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613" w:type="dxa"/>
            <w:vAlign w:val="center"/>
          </w:tcPr>
          <w:p w14:paraId="751E3595">
            <w:pPr>
              <w:spacing w:line="300" w:lineRule="exact"/>
              <w:jc w:val="center"/>
              <w:rPr>
                <w:rFonts w:ascii="宋体" w:hAnsi="宋体" w:eastAsia="宋体" w:cs="宋体"/>
                <w:bCs/>
                <w:iCs/>
                <w:color w:val="auto"/>
                <w:sz w:val="24"/>
                <w:highlight w:val="none"/>
              </w:rPr>
            </w:pPr>
            <w:r>
              <w:rPr>
                <w:rFonts w:hint="eastAsia" w:ascii="宋体" w:hAnsi="宋体" w:eastAsia="宋体" w:cs="宋体"/>
                <w:bCs/>
                <w:iCs/>
                <w:color w:val="auto"/>
                <w:sz w:val="24"/>
                <w:highlight w:val="none"/>
              </w:rPr>
              <w:t>投标有效期</w:t>
            </w:r>
          </w:p>
        </w:tc>
        <w:tc>
          <w:tcPr>
            <w:tcW w:w="5906" w:type="dxa"/>
            <w:vAlign w:val="center"/>
          </w:tcPr>
          <w:p w14:paraId="085D11DB">
            <w:pPr>
              <w:pStyle w:val="12"/>
              <w:spacing w:line="400" w:lineRule="exact"/>
              <w:ind w:firstLine="480"/>
              <w:rPr>
                <w:rFonts w:ascii="宋体" w:hAnsi="宋体" w:eastAsia="宋体" w:cs="宋体"/>
                <w:color w:val="auto"/>
                <w:sz w:val="24"/>
                <w:szCs w:val="20"/>
                <w:highlight w:val="none"/>
              </w:rPr>
            </w:pPr>
          </w:p>
        </w:tc>
      </w:tr>
      <w:tr w14:paraId="3493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613" w:type="dxa"/>
            <w:vAlign w:val="center"/>
          </w:tcPr>
          <w:p w14:paraId="28C92114">
            <w:pPr>
              <w:pStyle w:val="12"/>
              <w:spacing w:line="400" w:lineRule="exact"/>
              <w:ind w:firstLine="480"/>
              <w:rPr>
                <w:rFonts w:ascii="宋体" w:hAnsi="宋体" w:eastAsia="宋体" w:cs="宋体"/>
                <w:bCs/>
                <w:iCs/>
                <w:color w:val="auto"/>
                <w:sz w:val="24"/>
                <w:highlight w:val="none"/>
              </w:rPr>
            </w:pPr>
            <w:r>
              <w:rPr>
                <w:rFonts w:hint="eastAsia" w:ascii="宋体" w:hAnsi="宋体" w:eastAsia="宋体" w:cs="宋体"/>
                <w:color w:val="auto"/>
                <w:sz w:val="24"/>
                <w:szCs w:val="20"/>
                <w:highlight w:val="none"/>
              </w:rPr>
              <w:t>备注：</w:t>
            </w:r>
          </w:p>
        </w:tc>
        <w:tc>
          <w:tcPr>
            <w:tcW w:w="5906" w:type="dxa"/>
            <w:vAlign w:val="center"/>
          </w:tcPr>
          <w:p w14:paraId="260CF7CC">
            <w:pPr>
              <w:pStyle w:val="12"/>
              <w:spacing w:line="400" w:lineRule="exact"/>
              <w:ind w:firstLine="480"/>
              <w:rPr>
                <w:rFonts w:ascii="宋体" w:hAnsi="宋体" w:eastAsia="宋体" w:cs="宋体"/>
                <w:color w:val="auto"/>
                <w:sz w:val="24"/>
                <w:szCs w:val="20"/>
                <w:highlight w:val="none"/>
              </w:rPr>
            </w:pPr>
          </w:p>
        </w:tc>
      </w:tr>
      <w:tr w14:paraId="78C0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19" w:type="dxa"/>
            <w:gridSpan w:val="2"/>
            <w:vAlign w:val="center"/>
          </w:tcPr>
          <w:p w14:paraId="697F0059">
            <w:pPr>
              <w:pStyle w:val="12"/>
              <w:spacing w:line="400" w:lineRule="exact"/>
              <w:ind w:firstLine="480"/>
              <w:rPr>
                <w:rFonts w:ascii="宋体" w:hAnsi="宋体" w:eastAsia="宋体" w:cs="宋体"/>
                <w:color w:val="auto"/>
                <w:sz w:val="24"/>
                <w:szCs w:val="20"/>
                <w:highlight w:val="none"/>
              </w:rPr>
            </w:pPr>
          </w:p>
        </w:tc>
      </w:tr>
    </w:tbl>
    <w:p w14:paraId="4B5B5F4B">
      <w:pPr>
        <w:spacing w:line="360" w:lineRule="exact"/>
        <w:jc w:val="right"/>
        <w:rPr>
          <w:rFonts w:ascii="宋体" w:hAnsi="宋体" w:eastAsia="宋体" w:cs="宋体"/>
          <w:color w:val="auto"/>
          <w:sz w:val="24"/>
          <w:highlight w:val="none"/>
        </w:rPr>
      </w:pPr>
    </w:p>
    <w:p w14:paraId="51066897">
      <w:pPr>
        <w:ind w:firstLine="3240" w:firstLineChars="1350"/>
        <w:rPr>
          <w:rFonts w:ascii="宋体" w:hAnsi="宋体" w:eastAsia="宋体" w:cs="宋体"/>
          <w:color w:val="auto"/>
          <w:sz w:val="24"/>
          <w:highlight w:val="none"/>
        </w:rPr>
      </w:pPr>
    </w:p>
    <w:p w14:paraId="44CF4763">
      <w:pPr>
        <w:ind w:firstLine="3240" w:firstLineChars="1350"/>
        <w:rPr>
          <w:rFonts w:ascii="宋体" w:hAnsi="宋体" w:eastAsia="宋体" w:cs="宋体"/>
          <w:color w:val="auto"/>
          <w:sz w:val="24"/>
          <w:highlight w:val="none"/>
        </w:rPr>
      </w:pPr>
    </w:p>
    <w:p w14:paraId="4B19B09A">
      <w:pPr>
        <w:ind w:firstLine="3240" w:firstLineChars="1350"/>
        <w:rPr>
          <w:rFonts w:ascii="宋体" w:hAnsi="宋体" w:eastAsia="宋体" w:cs="宋体"/>
          <w:color w:val="auto"/>
          <w:sz w:val="24"/>
          <w:highlight w:val="none"/>
        </w:rPr>
      </w:pPr>
    </w:p>
    <w:p w14:paraId="79EC2B88">
      <w:pPr>
        <w:ind w:firstLine="3240" w:firstLineChars="1350"/>
        <w:rPr>
          <w:rFonts w:ascii="宋体" w:hAnsi="宋体" w:eastAsia="宋体" w:cs="宋体"/>
          <w:color w:val="auto"/>
          <w:sz w:val="24"/>
          <w:highlight w:val="none"/>
        </w:rPr>
      </w:pPr>
    </w:p>
    <w:p w14:paraId="19ED6BCF">
      <w:pPr>
        <w:ind w:firstLine="3240" w:firstLineChars="1350"/>
        <w:rPr>
          <w:rFonts w:ascii="宋体" w:hAnsi="宋体" w:eastAsia="宋体" w:cs="宋体"/>
          <w:color w:val="auto"/>
          <w:sz w:val="24"/>
          <w:highlight w:val="none"/>
        </w:rPr>
      </w:pPr>
    </w:p>
    <w:p w14:paraId="4797BB87">
      <w:pPr>
        <w:ind w:firstLine="3240" w:firstLineChars="1350"/>
        <w:rPr>
          <w:rFonts w:ascii="宋体" w:hAnsi="宋体" w:eastAsia="宋体" w:cs="宋体"/>
          <w:color w:val="auto"/>
          <w:sz w:val="24"/>
          <w:highlight w:val="none"/>
        </w:rPr>
      </w:pPr>
    </w:p>
    <w:p w14:paraId="01B95E1A">
      <w:pPr>
        <w:ind w:firstLine="3240" w:firstLineChars="1350"/>
        <w:rPr>
          <w:rFonts w:ascii="宋体" w:hAnsi="宋体" w:eastAsia="宋体" w:cs="宋体"/>
          <w:color w:val="auto"/>
          <w:sz w:val="24"/>
          <w:highlight w:val="none"/>
        </w:rPr>
      </w:pPr>
      <w:r>
        <w:rPr>
          <w:rFonts w:hint="eastAsia" w:ascii="宋体" w:hAnsi="宋体" w:eastAsia="宋体" w:cs="宋体"/>
          <w:color w:val="auto"/>
          <w:sz w:val="24"/>
          <w:highlight w:val="none"/>
        </w:rPr>
        <w:t>供应商：（单位公章）</w:t>
      </w:r>
    </w:p>
    <w:p w14:paraId="45D330A0">
      <w:pPr>
        <w:ind w:left="1050" w:leftChars="500"/>
        <w:jc w:val="center"/>
        <w:rPr>
          <w:rFonts w:ascii="宋体" w:hAnsi="宋体" w:eastAsia="宋体" w:cs="宋体"/>
          <w:color w:val="auto"/>
          <w:sz w:val="24"/>
          <w:highlight w:val="none"/>
        </w:rPr>
      </w:pPr>
    </w:p>
    <w:p w14:paraId="5C7BD58F">
      <w:pPr>
        <w:ind w:left="1050" w:leftChars="500"/>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szCs w:val="20"/>
          <w:highlight w:val="none"/>
        </w:rPr>
        <w:t>或其委托代理人</w:t>
      </w:r>
      <w:r>
        <w:rPr>
          <w:rFonts w:hint="eastAsia" w:ascii="宋体" w:hAnsi="宋体" w:eastAsia="宋体" w:cs="宋体"/>
          <w:color w:val="auto"/>
          <w:sz w:val="24"/>
          <w:highlight w:val="none"/>
        </w:rPr>
        <w:t>：（签字或盖章）</w:t>
      </w:r>
    </w:p>
    <w:p w14:paraId="4EB9968B">
      <w:pPr>
        <w:ind w:left="1050" w:leftChars="500"/>
        <w:jc w:val="center"/>
        <w:rPr>
          <w:rFonts w:ascii="宋体" w:hAnsi="宋体" w:eastAsia="宋体" w:cs="宋体"/>
          <w:color w:val="auto"/>
          <w:sz w:val="24"/>
          <w:highlight w:val="none"/>
        </w:rPr>
      </w:pPr>
    </w:p>
    <w:p w14:paraId="5955C24B">
      <w:pPr>
        <w:ind w:left="1050" w:leftChars="5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w:t>
      </w:r>
    </w:p>
    <w:p w14:paraId="2DE84E8F">
      <w:pPr>
        <w:spacing w:line="500" w:lineRule="exact"/>
        <w:jc w:val="center"/>
        <w:outlineLvl w:val="2"/>
        <w:rPr>
          <w:rFonts w:asciiTheme="minorEastAsia" w:hAnsiTheme="minorEastAsia" w:eastAsiaTheme="minorEastAsia" w:cstheme="minorEastAsia"/>
          <w:b/>
          <w:bCs/>
          <w:color w:val="auto"/>
          <w:sz w:val="28"/>
          <w:szCs w:val="28"/>
          <w:highlight w:val="none"/>
        </w:rPr>
      </w:pPr>
      <w:r>
        <w:rPr>
          <w:rFonts w:hint="eastAsia" w:ascii="宋体" w:hAnsi="宋体" w:eastAsia="宋体" w:cs="宋体"/>
          <w:color w:val="auto"/>
          <w:sz w:val="24"/>
          <w:highlight w:val="none"/>
        </w:rPr>
        <w:br w:type="page"/>
      </w:r>
      <w:r>
        <w:rPr>
          <w:rFonts w:hint="eastAsia" w:asciiTheme="minorEastAsia" w:hAnsiTheme="minorEastAsia" w:eastAsiaTheme="minorEastAsia" w:cstheme="minorEastAsia"/>
          <w:b/>
          <w:bCs/>
          <w:color w:val="auto"/>
          <w:sz w:val="28"/>
          <w:szCs w:val="28"/>
          <w:highlight w:val="none"/>
        </w:rPr>
        <w:t>（三）报价明细表</w:t>
      </w:r>
    </w:p>
    <w:p w14:paraId="015BF3A5">
      <w:pPr>
        <w:spacing w:line="440" w:lineRule="exact"/>
        <w:ind w:firstLine="308" w:firstLineChars="147"/>
        <w:rPr>
          <w:rFonts w:ascii="宋体" w:hAnsi="宋体" w:cs="宋体"/>
          <w:bCs/>
          <w:color w:val="auto"/>
          <w:szCs w:val="21"/>
          <w:highlight w:val="none"/>
        </w:rPr>
      </w:pPr>
    </w:p>
    <w:tbl>
      <w:tblPr>
        <w:tblStyle w:val="21"/>
        <w:tblW w:w="991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14:paraId="3310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307" w:type="dxa"/>
            <w:vMerge w:val="restart"/>
            <w:tcBorders>
              <w:top w:val="single" w:color="auto" w:sz="4" w:space="0"/>
              <w:left w:val="single" w:color="auto" w:sz="4" w:space="0"/>
              <w:right w:val="single" w:color="auto" w:sz="4" w:space="0"/>
            </w:tcBorders>
            <w:noWrap/>
            <w:vAlign w:val="center"/>
          </w:tcPr>
          <w:p w14:paraId="60319939">
            <w:pPr>
              <w:pStyle w:val="17"/>
              <w:widowControl w:val="0"/>
              <w:adjustRightInd w:val="0"/>
              <w:spacing w:before="0" w:beforeAutospacing="0" w:after="0" w:afterAutospacing="0" w:line="480" w:lineRule="exact"/>
              <w:jc w:val="center"/>
              <w:rPr>
                <w:rFonts w:hint="default"/>
                <w:bCs/>
                <w:color w:val="auto"/>
                <w:highlight w:val="none"/>
                <w:lang w:val="en-US"/>
              </w:rPr>
            </w:pPr>
            <w:r>
              <w:rPr>
                <w:rFonts w:hint="eastAsia"/>
                <w:bCs/>
                <w:color w:val="auto"/>
                <w:highlight w:val="none"/>
                <w:lang w:val="en-US" w:eastAsia="zh-CN"/>
              </w:rPr>
              <w:t>投标人名称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14:paraId="0FEE837A">
            <w:pPr>
              <w:pStyle w:val="17"/>
              <w:widowControl w:val="0"/>
              <w:adjustRightInd w:val="0"/>
              <w:spacing w:before="0" w:beforeAutospacing="0" w:after="0" w:afterAutospacing="0" w:line="480" w:lineRule="exact"/>
              <w:jc w:val="center"/>
              <w:rPr>
                <w:rFonts w:hint="default" w:eastAsia="宋体"/>
                <w:bCs/>
                <w:color w:val="auto"/>
                <w:highlight w:val="none"/>
                <w:lang w:val="en-US" w:eastAsia="zh-CN"/>
              </w:rPr>
            </w:pPr>
            <w:r>
              <w:rPr>
                <w:rFonts w:hint="eastAsia"/>
                <w:bCs/>
                <w:color w:val="auto"/>
                <w:highlight w:val="none"/>
                <w:lang w:val="en-US" w:eastAsia="zh-CN"/>
              </w:rPr>
              <w:t>标的名称</w:t>
            </w:r>
          </w:p>
        </w:tc>
        <w:tc>
          <w:tcPr>
            <w:tcW w:w="772" w:type="dxa"/>
            <w:vMerge w:val="restart"/>
            <w:tcBorders>
              <w:top w:val="single" w:color="auto" w:sz="4" w:space="0"/>
              <w:left w:val="single" w:color="auto" w:sz="4" w:space="0"/>
              <w:right w:val="single" w:color="auto" w:sz="4" w:space="0"/>
            </w:tcBorders>
            <w:noWrap/>
            <w:vAlign w:val="center"/>
          </w:tcPr>
          <w:p w14:paraId="526D6D6A">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单位</w:t>
            </w:r>
          </w:p>
        </w:tc>
        <w:tc>
          <w:tcPr>
            <w:tcW w:w="723" w:type="dxa"/>
            <w:vMerge w:val="restart"/>
            <w:tcBorders>
              <w:top w:val="single" w:color="auto" w:sz="4" w:space="0"/>
              <w:left w:val="single" w:color="auto" w:sz="4" w:space="0"/>
              <w:right w:val="single" w:color="auto" w:sz="4" w:space="0"/>
            </w:tcBorders>
            <w:noWrap/>
            <w:vAlign w:val="center"/>
          </w:tcPr>
          <w:p w14:paraId="50BB134B">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数量</w:t>
            </w:r>
          </w:p>
        </w:tc>
        <w:tc>
          <w:tcPr>
            <w:tcW w:w="818" w:type="dxa"/>
            <w:vMerge w:val="restart"/>
            <w:tcBorders>
              <w:top w:val="single" w:color="auto" w:sz="4" w:space="0"/>
              <w:left w:val="single" w:color="auto" w:sz="4" w:space="0"/>
              <w:right w:val="single" w:color="auto" w:sz="4" w:space="0"/>
            </w:tcBorders>
            <w:noWrap/>
            <w:vAlign w:val="center"/>
          </w:tcPr>
          <w:p w14:paraId="4963B841">
            <w:pPr>
              <w:pStyle w:val="17"/>
              <w:widowControl w:val="0"/>
              <w:adjustRightInd w:val="0"/>
              <w:spacing w:before="0" w:beforeAutospacing="0" w:after="0" w:afterAutospacing="0" w:line="480" w:lineRule="exact"/>
              <w:ind w:firstLine="235" w:firstLineChars="98"/>
              <w:jc w:val="center"/>
              <w:rPr>
                <w:bCs/>
                <w:color w:val="auto"/>
                <w:highlight w:val="none"/>
              </w:rPr>
            </w:pPr>
          </w:p>
          <w:p w14:paraId="6A5A27EA">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单价（元）</w:t>
            </w:r>
          </w:p>
          <w:p w14:paraId="0DB6EF79">
            <w:pPr>
              <w:pStyle w:val="17"/>
              <w:widowControl w:val="0"/>
              <w:adjustRightInd w:val="0"/>
              <w:spacing w:before="0" w:beforeAutospacing="0" w:after="0" w:afterAutospacing="0" w:line="480" w:lineRule="exact"/>
              <w:ind w:firstLine="235" w:firstLineChars="98"/>
              <w:jc w:val="center"/>
              <w:rPr>
                <w:bCs/>
                <w:color w:val="auto"/>
                <w:highlight w:val="none"/>
              </w:rPr>
            </w:pPr>
          </w:p>
        </w:tc>
        <w:tc>
          <w:tcPr>
            <w:tcW w:w="937" w:type="dxa"/>
            <w:vMerge w:val="restart"/>
            <w:tcBorders>
              <w:top w:val="single" w:color="auto" w:sz="4" w:space="0"/>
              <w:left w:val="single" w:color="auto" w:sz="4" w:space="0"/>
              <w:right w:val="single" w:color="auto" w:sz="4" w:space="0"/>
            </w:tcBorders>
            <w:noWrap/>
            <w:vAlign w:val="center"/>
          </w:tcPr>
          <w:p w14:paraId="2A872273">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合价（元）</w:t>
            </w:r>
          </w:p>
        </w:tc>
        <w:tc>
          <w:tcPr>
            <w:tcW w:w="1142" w:type="dxa"/>
            <w:vMerge w:val="restart"/>
            <w:tcBorders>
              <w:top w:val="single" w:color="auto" w:sz="4" w:space="0"/>
              <w:left w:val="single" w:color="auto" w:sz="4" w:space="0"/>
              <w:right w:val="single" w:color="auto" w:sz="4" w:space="0"/>
            </w:tcBorders>
            <w:noWrap/>
          </w:tcPr>
          <w:p w14:paraId="7B850560">
            <w:pPr>
              <w:pStyle w:val="17"/>
              <w:widowControl w:val="0"/>
              <w:adjustRightInd w:val="0"/>
              <w:spacing w:before="0" w:beforeAutospacing="0" w:after="0" w:afterAutospacing="0" w:line="480" w:lineRule="exact"/>
              <w:jc w:val="both"/>
              <w:rPr>
                <w:bCs/>
                <w:color w:val="auto"/>
                <w:highlight w:val="none"/>
              </w:rPr>
            </w:pPr>
            <w:r>
              <w:rPr>
                <w:rFonts w:hint="eastAsia"/>
                <w:bCs/>
                <w:color w:val="auto"/>
                <w:highlight w:val="none"/>
              </w:rPr>
              <w:t xml:space="preserve"> </w:t>
            </w:r>
          </w:p>
          <w:p w14:paraId="1F746C89">
            <w:pPr>
              <w:pStyle w:val="17"/>
              <w:widowControl w:val="0"/>
              <w:adjustRightInd w:val="0"/>
              <w:spacing w:before="0" w:beforeAutospacing="0" w:after="0" w:afterAutospacing="0" w:line="480" w:lineRule="exact"/>
              <w:jc w:val="both"/>
              <w:rPr>
                <w:bCs/>
                <w:color w:val="auto"/>
                <w:highlight w:val="none"/>
              </w:rPr>
            </w:pPr>
            <w:r>
              <w:rPr>
                <w:rFonts w:hint="eastAsia"/>
                <w:bCs/>
                <w:color w:val="auto"/>
                <w:highlight w:val="none"/>
              </w:rPr>
              <w:t>执行标准</w:t>
            </w:r>
          </w:p>
        </w:tc>
      </w:tr>
      <w:tr w14:paraId="5B36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307" w:type="dxa"/>
            <w:vMerge w:val="continue"/>
            <w:tcBorders>
              <w:left w:val="single" w:color="auto" w:sz="4" w:space="0"/>
              <w:bottom w:val="single" w:color="auto" w:sz="4" w:space="0"/>
              <w:right w:val="single" w:color="auto" w:sz="4" w:space="0"/>
            </w:tcBorders>
            <w:noWrap/>
            <w:vAlign w:val="center"/>
          </w:tcPr>
          <w:p w14:paraId="33742A7B">
            <w:pPr>
              <w:pStyle w:val="17"/>
              <w:widowControl w:val="0"/>
              <w:adjustRightInd w:val="0"/>
              <w:spacing w:before="0" w:beforeAutospacing="0" w:after="0" w:afterAutospacing="0" w:line="480" w:lineRule="exact"/>
              <w:jc w:val="center"/>
              <w:rPr>
                <w:bCs/>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6A16D70">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14:paraId="74B3BFBE">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14:paraId="3E8C5149">
            <w:pPr>
              <w:pStyle w:val="17"/>
              <w:widowControl w:val="0"/>
              <w:adjustRightInd w:val="0"/>
              <w:spacing w:before="0" w:beforeAutospacing="0" w:after="0" w:afterAutospacing="0" w:line="480" w:lineRule="exact"/>
              <w:jc w:val="center"/>
              <w:rPr>
                <w:bCs/>
                <w:color w:val="auto"/>
                <w:highlight w:val="none"/>
              </w:rPr>
            </w:pPr>
            <w:r>
              <w:rPr>
                <w:rFonts w:hint="eastAsia"/>
                <w:bCs/>
                <w:color w:val="auto"/>
                <w:highlight w:val="none"/>
              </w:rPr>
              <w:t>技术参数</w:t>
            </w:r>
          </w:p>
        </w:tc>
        <w:tc>
          <w:tcPr>
            <w:tcW w:w="772" w:type="dxa"/>
            <w:vMerge w:val="continue"/>
            <w:tcBorders>
              <w:left w:val="single" w:color="auto" w:sz="4" w:space="0"/>
              <w:bottom w:val="single" w:color="auto" w:sz="4" w:space="0"/>
              <w:right w:val="single" w:color="auto" w:sz="4" w:space="0"/>
            </w:tcBorders>
            <w:noWrap/>
            <w:vAlign w:val="center"/>
          </w:tcPr>
          <w:p w14:paraId="0E08E8B9">
            <w:pPr>
              <w:pStyle w:val="17"/>
              <w:widowControl w:val="0"/>
              <w:adjustRightInd w:val="0"/>
              <w:spacing w:before="0" w:beforeAutospacing="0" w:after="0" w:afterAutospacing="0" w:line="480" w:lineRule="exact"/>
              <w:jc w:val="center"/>
              <w:rPr>
                <w:bCs/>
                <w:color w:val="auto"/>
                <w:highlight w:val="none"/>
              </w:rPr>
            </w:pPr>
          </w:p>
        </w:tc>
        <w:tc>
          <w:tcPr>
            <w:tcW w:w="723" w:type="dxa"/>
            <w:vMerge w:val="continue"/>
            <w:tcBorders>
              <w:left w:val="single" w:color="auto" w:sz="4" w:space="0"/>
              <w:bottom w:val="single" w:color="auto" w:sz="4" w:space="0"/>
              <w:right w:val="single" w:color="auto" w:sz="4" w:space="0"/>
            </w:tcBorders>
            <w:noWrap/>
            <w:vAlign w:val="center"/>
          </w:tcPr>
          <w:p w14:paraId="08A3D40D">
            <w:pPr>
              <w:pStyle w:val="17"/>
              <w:widowControl w:val="0"/>
              <w:adjustRightInd w:val="0"/>
              <w:spacing w:before="0" w:beforeAutospacing="0" w:after="0" w:afterAutospacing="0" w:line="480" w:lineRule="exact"/>
              <w:jc w:val="center"/>
              <w:rPr>
                <w:bCs/>
                <w:color w:val="auto"/>
                <w:highlight w:val="none"/>
              </w:rPr>
            </w:pPr>
          </w:p>
        </w:tc>
        <w:tc>
          <w:tcPr>
            <w:tcW w:w="818" w:type="dxa"/>
            <w:vMerge w:val="continue"/>
            <w:tcBorders>
              <w:left w:val="single" w:color="auto" w:sz="4" w:space="0"/>
              <w:bottom w:val="single" w:color="auto" w:sz="4" w:space="0"/>
              <w:right w:val="single" w:color="auto" w:sz="4" w:space="0"/>
            </w:tcBorders>
            <w:noWrap/>
            <w:vAlign w:val="center"/>
          </w:tcPr>
          <w:p w14:paraId="2751D98E">
            <w:pPr>
              <w:pStyle w:val="17"/>
              <w:widowControl w:val="0"/>
              <w:adjustRightInd w:val="0"/>
              <w:spacing w:before="0" w:beforeAutospacing="0" w:after="0" w:afterAutospacing="0" w:line="480" w:lineRule="exact"/>
              <w:ind w:firstLine="235" w:firstLineChars="98"/>
              <w:jc w:val="center"/>
              <w:rPr>
                <w:bCs/>
                <w:color w:val="auto"/>
                <w:highlight w:val="none"/>
              </w:rPr>
            </w:pPr>
          </w:p>
        </w:tc>
        <w:tc>
          <w:tcPr>
            <w:tcW w:w="937" w:type="dxa"/>
            <w:vMerge w:val="continue"/>
            <w:tcBorders>
              <w:left w:val="single" w:color="auto" w:sz="4" w:space="0"/>
              <w:bottom w:val="single" w:color="auto" w:sz="4" w:space="0"/>
              <w:right w:val="single" w:color="auto" w:sz="4" w:space="0"/>
            </w:tcBorders>
            <w:noWrap/>
            <w:vAlign w:val="center"/>
          </w:tcPr>
          <w:p w14:paraId="777BAA19">
            <w:pPr>
              <w:pStyle w:val="17"/>
              <w:widowControl w:val="0"/>
              <w:adjustRightInd w:val="0"/>
              <w:spacing w:before="0" w:beforeAutospacing="0" w:after="0" w:afterAutospacing="0" w:line="480" w:lineRule="exact"/>
              <w:jc w:val="center"/>
              <w:rPr>
                <w:bCs/>
                <w:color w:val="auto"/>
                <w:highlight w:val="none"/>
              </w:rPr>
            </w:pPr>
          </w:p>
        </w:tc>
        <w:tc>
          <w:tcPr>
            <w:tcW w:w="1142" w:type="dxa"/>
            <w:vMerge w:val="continue"/>
            <w:tcBorders>
              <w:left w:val="single" w:color="auto" w:sz="4" w:space="0"/>
              <w:bottom w:val="single" w:color="auto" w:sz="4" w:space="0"/>
              <w:right w:val="single" w:color="auto" w:sz="4" w:space="0"/>
            </w:tcBorders>
            <w:noWrap/>
          </w:tcPr>
          <w:p w14:paraId="49CA1BCD">
            <w:pPr>
              <w:pStyle w:val="17"/>
              <w:widowControl w:val="0"/>
              <w:adjustRightInd w:val="0"/>
              <w:spacing w:before="0" w:beforeAutospacing="0" w:after="0" w:afterAutospacing="0" w:line="480" w:lineRule="exact"/>
              <w:ind w:left="105" w:leftChars="50" w:firstLine="115" w:firstLineChars="48"/>
              <w:jc w:val="center"/>
              <w:rPr>
                <w:bCs/>
                <w:color w:val="auto"/>
                <w:highlight w:val="none"/>
              </w:rPr>
            </w:pPr>
          </w:p>
        </w:tc>
      </w:tr>
      <w:tr w14:paraId="3E64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1307" w:type="dxa"/>
            <w:tcBorders>
              <w:top w:val="single" w:color="auto" w:sz="4" w:space="0"/>
              <w:left w:val="single" w:color="auto" w:sz="4" w:space="0"/>
              <w:bottom w:val="single" w:color="auto" w:sz="4" w:space="0"/>
              <w:right w:val="single" w:color="auto" w:sz="4" w:space="0"/>
            </w:tcBorders>
            <w:noWrap/>
          </w:tcPr>
          <w:p w14:paraId="083B17A8">
            <w:pPr>
              <w:spacing w:line="480" w:lineRule="exact"/>
              <w:jc w:val="center"/>
              <w:rPr>
                <w:rFonts w:ascii="宋体" w:hAnsi="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68356D04">
            <w:pPr>
              <w:spacing w:line="480" w:lineRule="exact"/>
              <w:jc w:val="center"/>
              <w:rPr>
                <w:rFonts w:ascii="宋体" w:hAnsi="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77811C5C">
            <w:pPr>
              <w:spacing w:line="480" w:lineRule="exact"/>
              <w:jc w:val="center"/>
              <w:rPr>
                <w:rFonts w:ascii="宋体" w:hAnsi="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572C7461">
            <w:pPr>
              <w:spacing w:line="480" w:lineRule="exact"/>
              <w:jc w:val="center"/>
              <w:rPr>
                <w:rFonts w:ascii="宋体" w:hAnsi="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5327A00C">
            <w:pPr>
              <w:spacing w:line="480" w:lineRule="exact"/>
              <w:jc w:val="center"/>
              <w:rPr>
                <w:rFonts w:ascii="宋体" w:hAnsi="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542184AA">
            <w:pPr>
              <w:spacing w:line="480" w:lineRule="exact"/>
              <w:jc w:val="center"/>
              <w:rPr>
                <w:rFonts w:ascii="宋体" w:hAnsi="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4AE6A4E9">
            <w:pPr>
              <w:spacing w:line="480" w:lineRule="exact"/>
              <w:jc w:val="center"/>
              <w:rPr>
                <w:rFonts w:ascii="宋体" w:hAnsi="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3077DAA9">
            <w:pPr>
              <w:spacing w:line="480" w:lineRule="exact"/>
              <w:jc w:val="center"/>
              <w:rPr>
                <w:rFonts w:ascii="宋体" w:hAnsi="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37BFD1E8">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如：国家/行业标准...</w:t>
            </w:r>
          </w:p>
        </w:tc>
      </w:tr>
      <w:tr w14:paraId="50CD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14:paraId="7E8B4457">
            <w:pPr>
              <w:spacing w:line="480" w:lineRule="exact"/>
              <w:jc w:val="center"/>
              <w:rPr>
                <w:rFonts w:ascii="宋体" w:hAnsi="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1B465A31">
            <w:pPr>
              <w:spacing w:line="480" w:lineRule="exact"/>
              <w:jc w:val="center"/>
              <w:rPr>
                <w:rFonts w:ascii="宋体" w:hAnsi="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52C17F93">
            <w:pPr>
              <w:spacing w:line="480" w:lineRule="exact"/>
              <w:jc w:val="center"/>
              <w:rPr>
                <w:rFonts w:ascii="宋体" w:hAnsi="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6A59C7D5">
            <w:pPr>
              <w:spacing w:line="480" w:lineRule="exact"/>
              <w:jc w:val="center"/>
              <w:rPr>
                <w:rFonts w:ascii="宋体" w:hAnsi="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50739F64">
            <w:pPr>
              <w:spacing w:line="480" w:lineRule="exact"/>
              <w:jc w:val="center"/>
              <w:rPr>
                <w:rFonts w:ascii="宋体" w:hAnsi="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525A3E95">
            <w:pPr>
              <w:spacing w:line="480" w:lineRule="exact"/>
              <w:jc w:val="center"/>
              <w:rPr>
                <w:rFonts w:ascii="宋体" w:hAnsi="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11E5E60B">
            <w:pPr>
              <w:spacing w:line="480" w:lineRule="exact"/>
              <w:jc w:val="center"/>
              <w:rPr>
                <w:rFonts w:ascii="宋体" w:hAnsi="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10D5C1DC">
            <w:pPr>
              <w:spacing w:line="480" w:lineRule="exact"/>
              <w:jc w:val="center"/>
              <w:rPr>
                <w:rFonts w:ascii="宋体" w:hAnsi="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7A3F9A56">
            <w:pPr>
              <w:spacing w:line="480" w:lineRule="exact"/>
              <w:jc w:val="center"/>
              <w:rPr>
                <w:rFonts w:ascii="宋体" w:hAnsi="宋体" w:cs="宋体"/>
                <w:bCs/>
                <w:color w:val="auto"/>
                <w:sz w:val="24"/>
                <w:highlight w:val="none"/>
              </w:rPr>
            </w:pPr>
          </w:p>
        </w:tc>
      </w:tr>
      <w:tr w14:paraId="519D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14:paraId="720E9123">
            <w:pPr>
              <w:spacing w:line="480" w:lineRule="exact"/>
              <w:jc w:val="center"/>
              <w:rPr>
                <w:rFonts w:ascii="宋体" w:hAnsi="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521378D6">
            <w:pPr>
              <w:spacing w:line="480" w:lineRule="exact"/>
              <w:jc w:val="center"/>
              <w:rPr>
                <w:rFonts w:ascii="宋体" w:hAnsi="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2542E2DB">
            <w:pPr>
              <w:spacing w:line="480" w:lineRule="exact"/>
              <w:jc w:val="center"/>
              <w:rPr>
                <w:rFonts w:ascii="宋体" w:hAnsi="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7CB0310B">
            <w:pPr>
              <w:spacing w:line="480" w:lineRule="exact"/>
              <w:jc w:val="center"/>
              <w:rPr>
                <w:rFonts w:ascii="宋体" w:hAnsi="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781032C9">
            <w:pPr>
              <w:spacing w:line="480" w:lineRule="exact"/>
              <w:jc w:val="center"/>
              <w:rPr>
                <w:rFonts w:ascii="宋体" w:hAnsi="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6F83D20A">
            <w:pPr>
              <w:spacing w:line="480" w:lineRule="exact"/>
              <w:jc w:val="center"/>
              <w:rPr>
                <w:rFonts w:ascii="宋体" w:hAnsi="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56F86FE0">
            <w:pPr>
              <w:spacing w:line="480" w:lineRule="exact"/>
              <w:jc w:val="center"/>
              <w:rPr>
                <w:rFonts w:ascii="宋体" w:hAnsi="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728DB3FB">
            <w:pPr>
              <w:spacing w:line="480" w:lineRule="exact"/>
              <w:jc w:val="center"/>
              <w:rPr>
                <w:rFonts w:ascii="宋体" w:hAnsi="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4A264022">
            <w:pPr>
              <w:spacing w:line="480" w:lineRule="exact"/>
              <w:jc w:val="center"/>
              <w:rPr>
                <w:rFonts w:ascii="宋体" w:hAnsi="宋体" w:cs="宋体"/>
                <w:bCs/>
                <w:color w:val="auto"/>
                <w:sz w:val="24"/>
                <w:highlight w:val="none"/>
              </w:rPr>
            </w:pPr>
          </w:p>
        </w:tc>
      </w:tr>
      <w:tr w14:paraId="0B6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14:paraId="53318B3E">
            <w:pPr>
              <w:spacing w:line="480" w:lineRule="exact"/>
              <w:jc w:val="center"/>
              <w:rPr>
                <w:rFonts w:ascii="宋体" w:hAnsi="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64D339EB">
            <w:pPr>
              <w:spacing w:line="480" w:lineRule="exact"/>
              <w:jc w:val="center"/>
              <w:rPr>
                <w:rFonts w:ascii="宋体" w:hAnsi="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00831218">
            <w:pPr>
              <w:spacing w:line="480" w:lineRule="exact"/>
              <w:jc w:val="center"/>
              <w:rPr>
                <w:rFonts w:ascii="宋体" w:hAnsi="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4F08AD03">
            <w:pPr>
              <w:spacing w:line="480" w:lineRule="exact"/>
              <w:jc w:val="center"/>
              <w:rPr>
                <w:rFonts w:ascii="宋体" w:hAnsi="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425F57A6">
            <w:pPr>
              <w:spacing w:line="480" w:lineRule="exact"/>
              <w:jc w:val="center"/>
              <w:rPr>
                <w:rFonts w:ascii="宋体" w:hAnsi="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6588D2EB">
            <w:pPr>
              <w:spacing w:line="480" w:lineRule="exact"/>
              <w:jc w:val="center"/>
              <w:rPr>
                <w:rFonts w:ascii="宋体" w:hAnsi="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10C10FE9">
            <w:pPr>
              <w:spacing w:line="480" w:lineRule="exact"/>
              <w:jc w:val="center"/>
              <w:rPr>
                <w:rFonts w:ascii="宋体" w:hAnsi="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125DAADF">
            <w:pPr>
              <w:spacing w:line="480" w:lineRule="exact"/>
              <w:jc w:val="center"/>
              <w:rPr>
                <w:rFonts w:ascii="宋体" w:hAnsi="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3614554C">
            <w:pPr>
              <w:spacing w:line="480" w:lineRule="exact"/>
              <w:jc w:val="center"/>
              <w:rPr>
                <w:rFonts w:ascii="宋体" w:hAnsi="宋体" w:cs="宋体"/>
                <w:bCs/>
                <w:color w:val="auto"/>
                <w:sz w:val="24"/>
                <w:highlight w:val="none"/>
              </w:rPr>
            </w:pPr>
          </w:p>
        </w:tc>
      </w:tr>
      <w:tr w14:paraId="61E0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14:paraId="477F8EBA">
            <w:pPr>
              <w:spacing w:line="480" w:lineRule="exact"/>
              <w:jc w:val="center"/>
              <w:rPr>
                <w:rFonts w:ascii="宋体" w:hAnsi="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32FD990B">
            <w:pPr>
              <w:spacing w:line="480" w:lineRule="exact"/>
              <w:jc w:val="center"/>
              <w:rPr>
                <w:rFonts w:ascii="宋体" w:hAnsi="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6CBFB407">
            <w:pPr>
              <w:spacing w:line="480" w:lineRule="exact"/>
              <w:jc w:val="center"/>
              <w:rPr>
                <w:rFonts w:ascii="宋体" w:hAnsi="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4B17AAB9">
            <w:pPr>
              <w:spacing w:line="480" w:lineRule="exact"/>
              <w:jc w:val="center"/>
              <w:rPr>
                <w:rFonts w:ascii="宋体" w:hAnsi="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387674DE">
            <w:pPr>
              <w:spacing w:line="480" w:lineRule="exact"/>
              <w:jc w:val="center"/>
              <w:rPr>
                <w:rFonts w:ascii="宋体" w:hAnsi="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6635BFE3">
            <w:pPr>
              <w:spacing w:line="480" w:lineRule="exact"/>
              <w:jc w:val="center"/>
              <w:rPr>
                <w:rFonts w:ascii="宋体" w:hAnsi="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0FA824F7">
            <w:pPr>
              <w:spacing w:line="480" w:lineRule="exact"/>
              <w:jc w:val="center"/>
              <w:rPr>
                <w:rFonts w:ascii="宋体" w:hAnsi="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64DEB04B">
            <w:pPr>
              <w:spacing w:line="480" w:lineRule="exact"/>
              <w:jc w:val="center"/>
              <w:rPr>
                <w:rFonts w:ascii="宋体" w:hAnsi="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4C7B4B89">
            <w:pPr>
              <w:spacing w:line="480" w:lineRule="exact"/>
              <w:jc w:val="center"/>
              <w:rPr>
                <w:rFonts w:ascii="宋体" w:hAnsi="宋体" w:cs="宋体"/>
                <w:bCs/>
                <w:color w:val="auto"/>
                <w:sz w:val="24"/>
                <w:highlight w:val="none"/>
              </w:rPr>
            </w:pPr>
          </w:p>
        </w:tc>
      </w:tr>
      <w:tr w14:paraId="7108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307" w:type="dxa"/>
            <w:tcBorders>
              <w:top w:val="single" w:color="auto" w:sz="4" w:space="0"/>
              <w:left w:val="single" w:color="auto" w:sz="4" w:space="0"/>
              <w:bottom w:val="single" w:color="auto" w:sz="4" w:space="0"/>
              <w:right w:val="single" w:color="auto" w:sz="4" w:space="0"/>
            </w:tcBorders>
            <w:noWrap/>
          </w:tcPr>
          <w:p w14:paraId="54C50D90">
            <w:pPr>
              <w:spacing w:line="480" w:lineRule="exact"/>
              <w:jc w:val="center"/>
              <w:rPr>
                <w:rFonts w:ascii="宋体" w:hAnsi="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6592CEBE">
            <w:pPr>
              <w:spacing w:line="480" w:lineRule="exact"/>
              <w:jc w:val="center"/>
              <w:rPr>
                <w:rFonts w:ascii="宋体" w:hAnsi="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32028CF9">
            <w:pPr>
              <w:spacing w:line="480" w:lineRule="exact"/>
              <w:jc w:val="center"/>
              <w:rPr>
                <w:rFonts w:ascii="宋体" w:hAnsi="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335CF857">
            <w:pPr>
              <w:spacing w:line="480" w:lineRule="exact"/>
              <w:jc w:val="center"/>
              <w:rPr>
                <w:rFonts w:ascii="宋体" w:hAnsi="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2DCAF445">
            <w:pPr>
              <w:spacing w:line="480" w:lineRule="exact"/>
              <w:jc w:val="center"/>
              <w:rPr>
                <w:rFonts w:ascii="宋体" w:hAnsi="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11D920E6">
            <w:pPr>
              <w:spacing w:line="480" w:lineRule="exact"/>
              <w:jc w:val="center"/>
              <w:rPr>
                <w:rFonts w:ascii="宋体" w:hAnsi="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6EF49D23">
            <w:pPr>
              <w:spacing w:line="480" w:lineRule="exact"/>
              <w:jc w:val="center"/>
              <w:rPr>
                <w:rFonts w:ascii="宋体" w:hAnsi="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7B860EC8">
            <w:pPr>
              <w:spacing w:line="480" w:lineRule="exact"/>
              <w:jc w:val="center"/>
              <w:rPr>
                <w:rFonts w:ascii="宋体" w:hAnsi="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659F3881">
            <w:pPr>
              <w:spacing w:line="480" w:lineRule="exact"/>
              <w:jc w:val="center"/>
              <w:rPr>
                <w:rFonts w:ascii="宋体" w:hAnsi="宋体" w:cs="宋体"/>
                <w:bCs/>
                <w:color w:val="auto"/>
                <w:sz w:val="24"/>
                <w:highlight w:val="none"/>
              </w:rPr>
            </w:pPr>
          </w:p>
        </w:tc>
      </w:tr>
      <w:tr w14:paraId="73E3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307" w:type="dxa"/>
            <w:tcBorders>
              <w:top w:val="single" w:color="auto" w:sz="4" w:space="0"/>
              <w:left w:val="single" w:color="auto" w:sz="4" w:space="0"/>
              <w:bottom w:val="single" w:color="auto" w:sz="4" w:space="0"/>
              <w:right w:val="single" w:color="auto" w:sz="4" w:space="0"/>
            </w:tcBorders>
            <w:noWrap/>
          </w:tcPr>
          <w:p w14:paraId="11AFDF45">
            <w:pPr>
              <w:spacing w:line="480" w:lineRule="exact"/>
              <w:rPr>
                <w:rFonts w:ascii="宋体" w:hAnsi="宋体" w:cs="宋体"/>
                <w:bCs/>
                <w:color w:val="auto"/>
                <w:sz w:val="24"/>
                <w:highlight w:val="none"/>
              </w:rPr>
            </w:pPr>
            <w:r>
              <w:rPr>
                <w:rFonts w:hint="eastAsia" w:ascii="宋体" w:hAnsi="宋体" w:cs="宋体"/>
                <w:bCs/>
                <w:color w:val="auto"/>
                <w:sz w:val="24"/>
                <w:highlight w:val="none"/>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14:paraId="08C9A248">
            <w:pPr>
              <w:spacing w:line="480" w:lineRule="exact"/>
              <w:rPr>
                <w:rFonts w:ascii="宋体" w:hAnsi="宋体" w:cs="宋体"/>
                <w:bCs/>
                <w:color w:val="auto"/>
                <w:sz w:val="24"/>
                <w:highlight w:val="none"/>
              </w:rPr>
            </w:pPr>
            <w:r>
              <w:rPr>
                <w:rFonts w:hint="eastAsia" w:ascii="宋体" w:hAnsi="宋体" w:cs="宋体"/>
                <w:bCs/>
                <w:color w:val="auto"/>
                <w:sz w:val="24"/>
                <w:highlight w:val="none"/>
              </w:rPr>
              <w:t>大写：                                 小写：</w:t>
            </w:r>
          </w:p>
        </w:tc>
      </w:tr>
      <w:tr w14:paraId="2301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9917" w:type="dxa"/>
            <w:gridSpan w:val="9"/>
            <w:tcBorders>
              <w:top w:val="single" w:color="auto" w:sz="4" w:space="0"/>
              <w:left w:val="single" w:color="auto" w:sz="4" w:space="0"/>
              <w:bottom w:val="single" w:color="auto" w:sz="4" w:space="0"/>
              <w:right w:val="single" w:color="auto" w:sz="4" w:space="0"/>
            </w:tcBorders>
            <w:noWrap/>
          </w:tcPr>
          <w:p w14:paraId="7975228E">
            <w:pPr>
              <w:pStyle w:val="11"/>
              <w:ind w:firstLine="482" w:firstLineChars="200"/>
              <w:jc w:val="both"/>
              <w:rPr>
                <w:rFonts w:hint="eastAsia" w:ascii="宋体" w:hAnsi="宋体" w:eastAsia="宋体" w:cs="宋体"/>
                <w:b w:val="0"/>
                <w:color w:val="auto"/>
                <w:sz w:val="24"/>
                <w:szCs w:val="24"/>
                <w:highlight w:val="none"/>
                <w:lang w:val="zh-CN" w:eastAsia="zh-CN" w:bidi="zh-CN"/>
              </w:rPr>
            </w:pPr>
            <w:r>
              <w:rPr>
                <w:rFonts w:hint="eastAsia" w:ascii="宋体" w:hAnsi="宋体" w:cs="宋体"/>
                <w:b/>
                <w:color w:val="auto"/>
                <w:sz w:val="24"/>
                <w:highlight w:val="none"/>
              </w:rPr>
              <w:t>重要提示：1、本表的每一页须加盖企业印章；2、涉及有国家标准的产品，须填写名称、品牌、型号及技术参数、报价等本表内容（若品牌、型号等填写的与实际不符，按照无效标处理）。</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lang w:val="zh-CN" w:eastAsia="zh-CN"/>
              </w:rPr>
              <w:t>供应商可根据需要自行增减表格行数。</w:t>
            </w:r>
          </w:p>
          <w:p w14:paraId="4A8DF441">
            <w:pPr>
              <w:spacing w:line="480" w:lineRule="exact"/>
              <w:rPr>
                <w:rFonts w:hint="default" w:ascii="宋体" w:hAnsi="宋体" w:eastAsia="宋体" w:cs="宋体"/>
                <w:bCs/>
                <w:color w:val="auto"/>
                <w:sz w:val="24"/>
                <w:highlight w:val="none"/>
                <w:lang w:val="en-US" w:eastAsia="zh-CN"/>
              </w:rPr>
            </w:pPr>
          </w:p>
        </w:tc>
      </w:tr>
    </w:tbl>
    <w:p w14:paraId="74C950C1">
      <w:pPr>
        <w:spacing w:line="480" w:lineRule="exact"/>
        <w:jc w:val="right"/>
        <w:rPr>
          <w:rFonts w:ascii="宋体" w:hAnsi="宋体" w:cs="宋体"/>
          <w:bCs/>
          <w:color w:val="auto"/>
          <w:sz w:val="24"/>
          <w:highlight w:val="none"/>
        </w:rPr>
      </w:pPr>
      <w:r>
        <w:rPr>
          <w:rFonts w:hint="eastAsia" w:ascii="宋体" w:hAnsi="宋体" w:cs="宋体"/>
          <w:bCs/>
          <w:color w:val="auto"/>
          <w:sz w:val="24"/>
          <w:highlight w:val="none"/>
        </w:rPr>
        <w:t>供应商：（单位公章）</w:t>
      </w:r>
    </w:p>
    <w:p w14:paraId="02CDE0BC">
      <w:pPr>
        <w:spacing w:line="480" w:lineRule="exact"/>
        <w:jc w:val="right"/>
        <w:rPr>
          <w:rFonts w:ascii="宋体" w:hAnsi="宋体" w:cs="宋体"/>
          <w:bCs/>
          <w:color w:val="auto"/>
          <w:sz w:val="24"/>
          <w:highlight w:val="none"/>
        </w:rPr>
      </w:pPr>
      <w:r>
        <w:rPr>
          <w:rFonts w:hint="eastAsia" w:ascii="宋体" w:hAnsi="宋体" w:cs="宋体"/>
          <w:bCs/>
          <w:color w:val="auto"/>
          <w:sz w:val="24"/>
          <w:highlight w:val="none"/>
        </w:rPr>
        <w:t xml:space="preserve">     法定代表人</w:t>
      </w:r>
      <w:r>
        <w:rPr>
          <w:rFonts w:hint="eastAsia" w:ascii="宋体" w:hAnsi="宋体" w:cs="宋体"/>
          <w:bCs/>
          <w:color w:val="auto"/>
          <w:sz w:val="24"/>
          <w:szCs w:val="20"/>
          <w:highlight w:val="none"/>
        </w:rPr>
        <w:t>或其委托代理人</w:t>
      </w:r>
      <w:r>
        <w:rPr>
          <w:rFonts w:hint="eastAsia" w:ascii="宋体" w:hAnsi="宋体" w:cs="宋体"/>
          <w:bCs/>
          <w:color w:val="auto"/>
          <w:sz w:val="24"/>
          <w:highlight w:val="none"/>
        </w:rPr>
        <w:t>：（签字或盖章）</w:t>
      </w:r>
    </w:p>
    <w:p w14:paraId="4166952E">
      <w:pPr>
        <w:ind w:left="1050" w:leftChars="500"/>
        <w:jc w:val="right"/>
        <w:rPr>
          <w:rFonts w:ascii="宋体" w:hAnsi="宋体" w:cs="宋体"/>
          <w:bCs/>
          <w:color w:val="auto"/>
          <w:sz w:val="24"/>
          <w:highlight w:val="none"/>
        </w:rPr>
      </w:pPr>
      <w:r>
        <w:rPr>
          <w:rFonts w:hint="eastAsia" w:ascii="宋体" w:hAnsi="宋体" w:cs="宋体"/>
          <w:bCs/>
          <w:color w:val="auto"/>
          <w:sz w:val="24"/>
          <w:highlight w:val="none"/>
        </w:rPr>
        <w:t xml:space="preserve">                日  期：     年   月   日</w:t>
      </w:r>
    </w:p>
    <w:p w14:paraId="41500E14">
      <w:pPr>
        <w:autoSpaceDE w:val="0"/>
        <w:autoSpaceDN w:val="0"/>
        <w:adjustRightInd w:val="0"/>
        <w:spacing w:line="440" w:lineRule="exact"/>
        <w:jc w:val="both"/>
        <w:rPr>
          <w:rFonts w:ascii="宋体" w:hAnsi="宋体" w:cs="宋体"/>
          <w:b/>
          <w:color w:val="auto"/>
          <w:sz w:val="30"/>
          <w:szCs w:val="30"/>
          <w:highlight w:val="none"/>
        </w:rPr>
      </w:pPr>
    </w:p>
    <w:p w14:paraId="0343F130">
      <w:pPr>
        <w:autoSpaceDE w:val="0"/>
        <w:autoSpaceDN w:val="0"/>
        <w:adjustRightInd w:val="0"/>
        <w:spacing w:line="440" w:lineRule="exact"/>
        <w:jc w:val="center"/>
        <w:rPr>
          <w:rFonts w:ascii="宋体" w:hAnsi="宋体" w:cs="宋体"/>
          <w:b/>
          <w:color w:val="auto"/>
          <w:sz w:val="30"/>
          <w:szCs w:val="30"/>
          <w:highlight w:val="none"/>
        </w:rPr>
      </w:pPr>
    </w:p>
    <w:p w14:paraId="100DBB67">
      <w:pPr>
        <w:autoSpaceDE w:val="0"/>
        <w:autoSpaceDN w:val="0"/>
        <w:adjustRightInd w:val="0"/>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（四）技术偏离表</w:t>
      </w:r>
    </w:p>
    <w:p w14:paraId="5E4044E5">
      <w:pPr>
        <w:spacing w:line="440" w:lineRule="exact"/>
        <w:rPr>
          <w:rFonts w:ascii="宋体" w:hAnsi="宋体" w:cs="宋体"/>
          <w:color w:val="auto"/>
          <w:sz w:val="32"/>
          <w:highlight w:val="none"/>
        </w:rPr>
      </w:pPr>
    </w:p>
    <w:tbl>
      <w:tblPr>
        <w:tblStyle w:val="21"/>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14:paraId="5CCE5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12" w:space="0"/>
              <w:left w:val="single" w:color="auto" w:sz="12" w:space="0"/>
              <w:bottom w:val="single" w:color="auto" w:sz="6" w:space="0"/>
              <w:right w:val="single" w:color="auto" w:sz="6" w:space="0"/>
            </w:tcBorders>
            <w:noWrap/>
            <w:vAlign w:val="center"/>
          </w:tcPr>
          <w:p w14:paraId="705F90A6">
            <w:pPr>
              <w:spacing w:line="440" w:lineRule="exact"/>
              <w:ind w:left="-141"/>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05" w:type="dxa"/>
            <w:tcBorders>
              <w:top w:val="single" w:color="auto" w:sz="12" w:space="0"/>
              <w:left w:val="single" w:color="auto" w:sz="6" w:space="0"/>
              <w:bottom w:val="single" w:color="auto" w:sz="6" w:space="0"/>
              <w:right w:val="single" w:color="auto" w:sz="6" w:space="0"/>
            </w:tcBorders>
            <w:noWrap/>
            <w:vAlign w:val="center"/>
          </w:tcPr>
          <w:p w14:paraId="545BACF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val="en-US" w:eastAsia="zh-CN"/>
              </w:rPr>
              <w:t>标的</w:t>
            </w:r>
            <w:r>
              <w:rPr>
                <w:rFonts w:hint="eastAsia" w:ascii="宋体" w:hAnsi="宋体" w:cs="宋体"/>
                <w:b/>
                <w:color w:val="auto"/>
                <w:sz w:val="24"/>
                <w:highlight w:val="none"/>
              </w:rPr>
              <w:t>名称</w:t>
            </w:r>
          </w:p>
        </w:tc>
        <w:tc>
          <w:tcPr>
            <w:tcW w:w="2137" w:type="dxa"/>
            <w:tcBorders>
              <w:top w:val="single" w:color="auto" w:sz="12" w:space="0"/>
              <w:left w:val="single" w:color="auto" w:sz="6" w:space="0"/>
              <w:bottom w:val="single" w:color="auto" w:sz="6" w:space="0"/>
              <w:right w:val="single" w:color="auto" w:sz="6" w:space="0"/>
            </w:tcBorders>
            <w:noWrap/>
            <w:vAlign w:val="center"/>
          </w:tcPr>
          <w:p w14:paraId="6DAF422C">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招标技术要求</w:t>
            </w:r>
          </w:p>
        </w:tc>
        <w:tc>
          <w:tcPr>
            <w:tcW w:w="2270" w:type="dxa"/>
            <w:tcBorders>
              <w:top w:val="single" w:color="auto" w:sz="12" w:space="0"/>
              <w:left w:val="single" w:color="auto" w:sz="6" w:space="0"/>
              <w:bottom w:val="single" w:color="auto" w:sz="6" w:space="0"/>
              <w:right w:val="single" w:color="auto" w:sz="6" w:space="0"/>
            </w:tcBorders>
            <w:noWrap/>
            <w:vAlign w:val="center"/>
          </w:tcPr>
          <w:p w14:paraId="2724FD0B">
            <w:pPr>
              <w:widowControl/>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标的</w:t>
            </w:r>
            <w:r>
              <w:rPr>
                <w:rFonts w:hint="eastAsia" w:ascii="宋体" w:hAnsi="宋体" w:cs="宋体"/>
                <w:b/>
                <w:color w:val="auto"/>
                <w:sz w:val="24"/>
                <w:highlight w:val="none"/>
              </w:rPr>
              <w:t>实际技术规格</w:t>
            </w:r>
          </w:p>
        </w:tc>
        <w:tc>
          <w:tcPr>
            <w:tcW w:w="2718" w:type="dxa"/>
            <w:tcBorders>
              <w:top w:val="single" w:color="auto" w:sz="12" w:space="0"/>
              <w:left w:val="single" w:color="auto" w:sz="6" w:space="0"/>
              <w:bottom w:val="single" w:color="auto" w:sz="6" w:space="0"/>
              <w:right w:val="single" w:color="auto" w:sz="12" w:space="0"/>
            </w:tcBorders>
            <w:noWrap/>
            <w:vAlign w:val="center"/>
          </w:tcPr>
          <w:p w14:paraId="59BE42F1">
            <w:pPr>
              <w:widowControl/>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偏离说明</w:t>
            </w:r>
          </w:p>
          <w:p w14:paraId="4E776139">
            <w:pPr>
              <w:widowControl/>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(说明偏离情况）</w:t>
            </w:r>
          </w:p>
        </w:tc>
      </w:tr>
      <w:tr w14:paraId="18379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488DA08B">
            <w:pPr>
              <w:spacing w:line="440" w:lineRule="exact"/>
              <w:jc w:val="center"/>
              <w:rPr>
                <w:rFonts w:ascii="宋体" w:hAnsi="宋体" w:cs="宋体"/>
                <w:bCs/>
                <w:color w:val="auto"/>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4C019DC1">
            <w:pPr>
              <w:spacing w:line="440" w:lineRule="exact"/>
              <w:jc w:val="center"/>
              <w:rPr>
                <w:rFonts w:ascii="宋体" w:hAnsi="宋体" w:cs="宋体"/>
                <w:bCs/>
                <w:color w:val="auto"/>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72B9FA9B">
            <w:pPr>
              <w:spacing w:line="440" w:lineRule="exact"/>
              <w:jc w:val="center"/>
              <w:rPr>
                <w:rFonts w:ascii="宋体" w:hAnsi="宋体" w:cs="宋体"/>
                <w:bCs/>
                <w:color w:val="auto"/>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779E741C">
            <w:pPr>
              <w:spacing w:line="440" w:lineRule="exact"/>
              <w:jc w:val="center"/>
              <w:rPr>
                <w:rFonts w:ascii="宋体" w:hAnsi="宋体" w:cs="宋体"/>
                <w:bCs/>
                <w:color w:val="auto"/>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01795166">
            <w:pPr>
              <w:spacing w:line="440" w:lineRule="exact"/>
              <w:jc w:val="center"/>
              <w:rPr>
                <w:rFonts w:ascii="宋体" w:hAnsi="宋体" w:cs="宋体"/>
                <w:bCs/>
                <w:color w:val="auto"/>
                <w:sz w:val="18"/>
                <w:highlight w:val="none"/>
              </w:rPr>
            </w:pPr>
          </w:p>
        </w:tc>
      </w:tr>
      <w:tr w14:paraId="5CCB9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DB7CA63">
            <w:pPr>
              <w:spacing w:line="440" w:lineRule="exact"/>
              <w:jc w:val="center"/>
              <w:rPr>
                <w:rFonts w:ascii="宋体" w:hAnsi="宋体" w:cs="宋体"/>
                <w:bCs/>
                <w:color w:val="auto"/>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17C41B39">
            <w:pPr>
              <w:spacing w:line="440" w:lineRule="exact"/>
              <w:jc w:val="center"/>
              <w:rPr>
                <w:rFonts w:ascii="宋体" w:hAnsi="宋体" w:cs="宋体"/>
                <w:bCs/>
                <w:color w:val="auto"/>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75DF7CF6">
            <w:pPr>
              <w:spacing w:line="440" w:lineRule="exact"/>
              <w:jc w:val="center"/>
              <w:rPr>
                <w:rFonts w:ascii="宋体" w:hAnsi="宋体" w:cs="宋体"/>
                <w:bCs/>
                <w:color w:val="auto"/>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7C8214A3">
            <w:pPr>
              <w:spacing w:line="440" w:lineRule="exact"/>
              <w:jc w:val="center"/>
              <w:rPr>
                <w:rFonts w:ascii="宋体" w:hAnsi="宋体" w:cs="宋体"/>
                <w:bCs/>
                <w:color w:val="auto"/>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0271CC3A">
            <w:pPr>
              <w:spacing w:line="440" w:lineRule="exact"/>
              <w:jc w:val="center"/>
              <w:rPr>
                <w:rFonts w:ascii="宋体" w:hAnsi="宋体" w:cs="宋体"/>
                <w:bCs/>
                <w:color w:val="auto"/>
                <w:sz w:val="18"/>
                <w:highlight w:val="none"/>
              </w:rPr>
            </w:pPr>
          </w:p>
        </w:tc>
      </w:tr>
      <w:tr w14:paraId="6CC84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491A2625">
            <w:pPr>
              <w:spacing w:line="440" w:lineRule="exact"/>
              <w:jc w:val="center"/>
              <w:rPr>
                <w:rFonts w:ascii="宋体" w:hAnsi="宋体" w:cs="宋体"/>
                <w:bCs/>
                <w:color w:val="auto"/>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033849B8">
            <w:pPr>
              <w:spacing w:line="440" w:lineRule="exact"/>
              <w:jc w:val="center"/>
              <w:rPr>
                <w:rFonts w:ascii="宋体" w:hAnsi="宋体" w:cs="宋体"/>
                <w:bCs/>
                <w:color w:val="auto"/>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4BAE289F">
            <w:pPr>
              <w:spacing w:line="440" w:lineRule="exact"/>
              <w:jc w:val="center"/>
              <w:rPr>
                <w:rFonts w:ascii="宋体" w:hAnsi="宋体" w:cs="宋体"/>
                <w:bCs/>
                <w:color w:val="auto"/>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53BFA095">
            <w:pPr>
              <w:spacing w:line="440" w:lineRule="exact"/>
              <w:jc w:val="center"/>
              <w:rPr>
                <w:rFonts w:ascii="宋体" w:hAnsi="宋体" w:cs="宋体"/>
                <w:bCs/>
                <w:color w:val="auto"/>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70554992">
            <w:pPr>
              <w:spacing w:line="440" w:lineRule="exact"/>
              <w:jc w:val="center"/>
              <w:rPr>
                <w:rFonts w:ascii="宋体" w:hAnsi="宋体" w:cs="宋体"/>
                <w:bCs/>
                <w:color w:val="auto"/>
                <w:sz w:val="18"/>
                <w:highlight w:val="none"/>
              </w:rPr>
            </w:pPr>
          </w:p>
        </w:tc>
      </w:tr>
      <w:tr w14:paraId="4B7EE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71C9C5BA">
            <w:pPr>
              <w:spacing w:line="440" w:lineRule="exact"/>
              <w:jc w:val="center"/>
              <w:rPr>
                <w:rFonts w:ascii="宋体" w:hAnsi="宋体" w:cs="宋体"/>
                <w:bCs/>
                <w:color w:val="auto"/>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45951DDE">
            <w:pPr>
              <w:spacing w:line="440" w:lineRule="exact"/>
              <w:jc w:val="center"/>
              <w:rPr>
                <w:rFonts w:ascii="宋体" w:hAnsi="宋体" w:cs="宋体"/>
                <w:bCs/>
                <w:color w:val="auto"/>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04FD0AD5">
            <w:pPr>
              <w:pStyle w:val="17"/>
              <w:widowControl w:val="0"/>
              <w:tabs>
                <w:tab w:val="left" w:pos="420"/>
              </w:tabs>
              <w:spacing w:before="0" w:beforeAutospacing="0" w:after="0" w:afterAutospacing="0" w:line="440" w:lineRule="exact"/>
              <w:jc w:val="both"/>
              <w:rPr>
                <w:bCs/>
                <w:color w:val="auto"/>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08110DD">
            <w:pPr>
              <w:spacing w:line="440" w:lineRule="exact"/>
              <w:jc w:val="center"/>
              <w:rPr>
                <w:rFonts w:ascii="宋体" w:hAnsi="宋体" w:cs="宋体"/>
                <w:bCs/>
                <w:color w:val="auto"/>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2AD15703">
            <w:pPr>
              <w:spacing w:line="440" w:lineRule="exact"/>
              <w:jc w:val="center"/>
              <w:rPr>
                <w:rFonts w:ascii="宋体" w:hAnsi="宋体" w:cs="宋体"/>
                <w:bCs/>
                <w:color w:val="auto"/>
                <w:sz w:val="18"/>
                <w:highlight w:val="none"/>
              </w:rPr>
            </w:pPr>
          </w:p>
        </w:tc>
      </w:tr>
      <w:tr w14:paraId="22A4B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E83CD12">
            <w:pPr>
              <w:spacing w:line="440" w:lineRule="exact"/>
              <w:jc w:val="center"/>
              <w:rPr>
                <w:rFonts w:ascii="宋体" w:hAnsi="宋体" w:cs="宋体"/>
                <w:bCs/>
                <w:color w:val="auto"/>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167D3E56">
            <w:pPr>
              <w:spacing w:line="440" w:lineRule="exact"/>
              <w:jc w:val="center"/>
              <w:rPr>
                <w:rFonts w:ascii="宋体" w:hAnsi="宋体" w:cs="宋体"/>
                <w:bCs/>
                <w:color w:val="auto"/>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3731523E">
            <w:pPr>
              <w:spacing w:line="440" w:lineRule="exact"/>
              <w:jc w:val="center"/>
              <w:rPr>
                <w:rFonts w:ascii="宋体" w:hAnsi="宋体" w:cs="宋体"/>
                <w:bCs/>
                <w:color w:val="auto"/>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2310A2FE">
            <w:pPr>
              <w:spacing w:line="440" w:lineRule="exact"/>
              <w:jc w:val="center"/>
              <w:rPr>
                <w:rFonts w:ascii="宋体" w:hAnsi="宋体" w:cs="宋体"/>
                <w:bCs/>
                <w:color w:val="auto"/>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5FA77213">
            <w:pPr>
              <w:spacing w:line="440" w:lineRule="exact"/>
              <w:jc w:val="center"/>
              <w:rPr>
                <w:rFonts w:ascii="宋体" w:hAnsi="宋体" w:cs="宋体"/>
                <w:bCs/>
                <w:color w:val="auto"/>
                <w:sz w:val="18"/>
                <w:highlight w:val="none"/>
              </w:rPr>
            </w:pPr>
          </w:p>
        </w:tc>
      </w:tr>
      <w:tr w14:paraId="2383B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10EEBD74">
            <w:pPr>
              <w:spacing w:line="440" w:lineRule="exact"/>
              <w:jc w:val="center"/>
              <w:rPr>
                <w:rFonts w:ascii="宋体" w:hAnsi="宋体" w:cs="宋体"/>
                <w:bCs/>
                <w:color w:val="auto"/>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1337109C">
            <w:pPr>
              <w:spacing w:line="440" w:lineRule="exact"/>
              <w:jc w:val="center"/>
              <w:rPr>
                <w:rFonts w:ascii="宋体" w:hAnsi="宋体" w:cs="宋体"/>
                <w:bCs/>
                <w:color w:val="auto"/>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32EE1EC4">
            <w:pPr>
              <w:spacing w:line="440" w:lineRule="exact"/>
              <w:jc w:val="center"/>
              <w:rPr>
                <w:rFonts w:ascii="宋体" w:hAnsi="宋体" w:cs="宋体"/>
                <w:bCs/>
                <w:color w:val="auto"/>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1D147516">
            <w:pPr>
              <w:spacing w:line="440" w:lineRule="exact"/>
              <w:jc w:val="center"/>
              <w:rPr>
                <w:rFonts w:ascii="宋体" w:hAnsi="宋体" w:cs="宋体"/>
                <w:bCs/>
                <w:color w:val="auto"/>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0DC24274">
            <w:pPr>
              <w:spacing w:line="440" w:lineRule="exact"/>
              <w:jc w:val="center"/>
              <w:rPr>
                <w:rFonts w:ascii="宋体" w:hAnsi="宋体" w:cs="宋体"/>
                <w:bCs/>
                <w:color w:val="auto"/>
                <w:sz w:val="18"/>
                <w:highlight w:val="none"/>
              </w:rPr>
            </w:pPr>
          </w:p>
        </w:tc>
      </w:tr>
    </w:tbl>
    <w:p w14:paraId="2AB7271A">
      <w:pPr>
        <w:ind w:firstLine="480" w:firstLineChars="200"/>
        <w:rPr>
          <w:rFonts w:ascii="宋体" w:hAnsi="宋体"/>
          <w:color w:val="auto"/>
          <w:sz w:val="24"/>
          <w:highlight w:val="none"/>
        </w:rPr>
      </w:pPr>
      <w:r>
        <w:rPr>
          <w:rFonts w:hint="eastAsia" w:ascii="宋体" w:hAnsi="宋体"/>
          <w:color w:val="auto"/>
          <w:sz w:val="24"/>
          <w:highlight w:val="none"/>
        </w:rPr>
        <w:t>注：供应商须对照招标文件技术规格，将自己所投的所有货物的功能、技术性能、配置等内容按照上表格式与招标文件要求逐条填写，</w:t>
      </w:r>
      <w:r>
        <w:rPr>
          <w:rFonts w:hint="eastAsia" w:ascii="宋体" w:hAnsi="宋体"/>
          <w:b/>
          <w:bCs/>
          <w:color w:val="auto"/>
          <w:sz w:val="24"/>
          <w:highlight w:val="none"/>
        </w:rPr>
        <w:t>供应商必须提供所投设备的具体参数值，并在偏离说明栏中标明技术及配置的实际响应情况</w:t>
      </w:r>
      <w:r>
        <w:rPr>
          <w:rFonts w:hint="eastAsia" w:ascii="宋体" w:hAnsi="宋体"/>
          <w:color w:val="auto"/>
          <w:sz w:val="24"/>
          <w:highlight w:val="none"/>
        </w:rPr>
        <w:t>：</w:t>
      </w:r>
    </w:p>
    <w:p w14:paraId="22F649E6">
      <w:pPr>
        <w:ind w:firstLine="480" w:firstLineChars="200"/>
        <w:rPr>
          <w:rFonts w:ascii="宋体" w:hAnsi="宋体"/>
          <w:color w:val="auto"/>
          <w:sz w:val="24"/>
          <w:highlight w:val="none"/>
        </w:rPr>
      </w:pPr>
      <w:r>
        <w:rPr>
          <w:rFonts w:hint="eastAsia" w:ascii="宋体" w:hAnsi="宋体"/>
          <w:color w:val="auto"/>
          <w:sz w:val="24"/>
          <w:highlight w:val="none"/>
        </w:rPr>
        <w:t>1、偏离说明栏中必须标明技术及配置的响应情况，整项货物及该项货物各部分相应情况须按下列要求填写，任何不真实响应都将按无效投标处理：</w:t>
      </w:r>
    </w:p>
    <w:p w14:paraId="58579B32">
      <w:pPr>
        <w:numPr>
          <w:ilvl w:val="0"/>
          <w:numId w:val="13"/>
        </w:numPr>
        <w:ind w:firstLine="480" w:firstLineChars="200"/>
        <w:rPr>
          <w:rFonts w:ascii="宋体" w:hAnsi="宋体"/>
          <w:color w:val="auto"/>
          <w:sz w:val="24"/>
          <w:highlight w:val="none"/>
        </w:rPr>
      </w:pPr>
      <w:r>
        <w:rPr>
          <w:rFonts w:hint="eastAsia" w:ascii="宋体" w:hAnsi="宋体"/>
          <w:color w:val="auto"/>
          <w:sz w:val="24"/>
          <w:highlight w:val="none"/>
        </w:rPr>
        <w:t>对应项中的所有技术参数、性能和配置全部符合招标文件要求的才能填写“符合”；</w:t>
      </w:r>
    </w:p>
    <w:p w14:paraId="32CCD4E7">
      <w:pPr>
        <w:numPr>
          <w:ilvl w:val="0"/>
          <w:numId w:val="13"/>
        </w:numPr>
        <w:ind w:firstLine="480" w:firstLineChars="200"/>
        <w:rPr>
          <w:rFonts w:ascii="宋体" w:hAnsi="宋体"/>
          <w:color w:val="auto"/>
          <w:sz w:val="24"/>
          <w:highlight w:val="none"/>
        </w:rPr>
      </w:pPr>
      <w:r>
        <w:rPr>
          <w:rFonts w:hint="eastAsia" w:ascii="宋体" w:hAnsi="宋体"/>
          <w:color w:val="auto"/>
          <w:sz w:val="24"/>
          <w:highlight w:val="none"/>
        </w:rPr>
        <w:t>对应项中的所有技术参数、性能和配置全部符合招标文件要求并且其中有一个或以上指标优于招标文件要求的，可填写“正偏离”；</w:t>
      </w:r>
    </w:p>
    <w:p w14:paraId="5375A81B">
      <w:pPr>
        <w:pStyle w:val="11"/>
        <w:ind w:firstLine="480" w:firstLineChars="200"/>
        <w:jc w:val="both"/>
        <w:rPr>
          <w:rFonts w:hint="eastAsia" w:ascii="宋体" w:hAnsi="宋体" w:eastAsia="宋体" w:cs="宋体"/>
          <w:b w:val="0"/>
          <w:color w:val="auto"/>
          <w:sz w:val="24"/>
          <w:szCs w:val="24"/>
          <w:highlight w:val="none"/>
          <w:lang w:val="en-US" w:eastAsia="zh-CN" w:bidi="zh-CN"/>
        </w:rPr>
      </w:pPr>
      <w:r>
        <w:rPr>
          <w:rFonts w:hint="eastAsia" w:ascii="宋体" w:hAnsi="宋体" w:cs="宋体"/>
          <w:b w:val="0"/>
          <w:color w:val="auto"/>
          <w:sz w:val="24"/>
          <w:szCs w:val="24"/>
          <w:highlight w:val="none"/>
          <w:lang w:val="en-US" w:eastAsia="zh-CN" w:bidi="zh-CN"/>
        </w:rPr>
        <w:t>（3）</w:t>
      </w:r>
      <w:r>
        <w:rPr>
          <w:rFonts w:hint="eastAsia" w:ascii="宋体" w:hAnsi="宋体" w:eastAsia="宋体" w:cs="宋体"/>
          <w:b w:val="0"/>
          <w:color w:val="auto"/>
          <w:sz w:val="24"/>
          <w:szCs w:val="24"/>
          <w:highlight w:val="none"/>
          <w:lang w:val="en-US" w:eastAsia="zh-CN" w:bidi="zh-CN"/>
        </w:rPr>
        <w:t>供应商可根据需要自行增减表格行数。</w:t>
      </w:r>
    </w:p>
    <w:p w14:paraId="3109657E">
      <w:pPr>
        <w:spacing w:line="600" w:lineRule="exact"/>
        <w:rPr>
          <w:rFonts w:ascii="宋体" w:hAnsi="宋体" w:cs="宋体"/>
          <w:color w:val="auto"/>
          <w:sz w:val="24"/>
          <w:highlight w:val="none"/>
        </w:rPr>
      </w:pPr>
    </w:p>
    <w:p w14:paraId="6A4F20CB">
      <w:pPr>
        <w:spacing w:line="600" w:lineRule="exact"/>
        <w:rPr>
          <w:rFonts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供应商</w:t>
      </w:r>
      <w:r>
        <w:rPr>
          <w:rFonts w:hint="eastAsia" w:ascii="宋体" w:hAnsi="宋体" w:cs="宋体"/>
          <w:color w:val="auto"/>
          <w:sz w:val="24"/>
          <w:highlight w:val="none"/>
        </w:rPr>
        <w:t>（盖章）：</w:t>
      </w:r>
    </w:p>
    <w:p w14:paraId="47E79B87">
      <w:pPr>
        <w:spacing w:line="600" w:lineRule="exact"/>
        <w:rPr>
          <w:rFonts w:ascii="宋体" w:hAnsi="宋体" w:cs="宋体"/>
          <w:color w:val="auto"/>
          <w:sz w:val="24"/>
          <w:highlight w:val="none"/>
        </w:rPr>
      </w:pPr>
      <w:r>
        <w:rPr>
          <w:rFonts w:hint="eastAsia" w:ascii="宋体" w:hAnsi="宋体" w:cs="宋体"/>
          <w:color w:val="auto"/>
          <w:sz w:val="24"/>
          <w:highlight w:val="none"/>
        </w:rPr>
        <w:t>法人代表或授权委托人（签字或盖章）：</w:t>
      </w:r>
    </w:p>
    <w:p w14:paraId="71AE374A">
      <w:pPr>
        <w:ind w:firstLine="480"/>
        <w:rPr>
          <w:rFonts w:ascii="宋体" w:hAnsi="宋体" w:cs="宋体"/>
          <w:color w:val="auto"/>
          <w:sz w:val="24"/>
          <w:highlight w:val="none"/>
        </w:rPr>
        <w:sectPr>
          <w:pgSz w:w="11907" w:h="16840"/>
          <w:pgMar w:top="1276" w:right="1117" w:bottom="1417" w:left="913" w:header="850" w:footer="998" w:gutter="0"/>
          <w:pgNumType w:fmt="numberInDash"/>
          <w:cols w:space="0" w:num="1"/>
          <w:docGrid w:type="lines" w:linePitch="379" w:charSpace="0"/>
        </w:sectPr>
      </w:pPr>
      <w:r>
        <w:rPr>
          <w:rFonts w:hint="eastAsia" w:ascii="宋体" w:hAnsi="宋体" w:cs="宋体"/>
          <w:color w:val="auto"/>
          <w:sz w:val="24"/>
          <w:highlight w:val="none"/>
        </w:rPr>
        <w:t xml:space="preserve">                                         年    月    日  </w:t>
      </w:r>
    </w:p>
    <w:p w14:paraId="58C204C8">
      <w:pPr>
        <w:pStyle w:val="18"/>
        <w:numPr>
          <w:ilvl w:val="0"/>
          <w:numId w:val="14"/>
        </w:numPr>
        <w:spacing w:before="120" w:after="120" w:line="500" w:lineRule="exact"/>
        <w:ind w:right="29" w:rightChars="14"/>
        <w:outlineLvl w:val="1"/>
        <w:rPr>
          <w:rFonts w:ascii="宋体" w:hAnsi="宋体" w:eastAsia="宋体" w:cs="宋体"/>
          <w:color w:val="auto"/>
          <w:sz w:val="30"/>
          <w:szCs w:val="30"/>
          <w:highlight w:val="none"/>
        </w:rPr>
      </w:pPr>
      <w:bookmarkStart w:id="275" w:name="_Toc5614"/>
      <w:bookmarkStart w:id="276" w:name="_Toc26698"/>
      <w:bookmarkStart w:id="277" w:name="_Toc2213"/>
      <w:bookmarkStart w:id="278" w:name="_Toc17935"/>
      <w:r>
        <w:rPr>
          <w:rFonts w:hint="eastAsia" w:ascii="宋体" w:hAnsi="宋体" w:eastAsia="宋体" w:cs="宋体"/>
          <w:color w:val="auto"/>
          <w:sz w:val="30"/>
          <w:szCs w:val="30"/>
          <w:highlight w:val="none"/>
        </w:rPr>
        <w:t>法定代表人身份证明书</w:t>
      </w:r>
      <w:bookmarkEnd w:id="275"/>
      <w:bookmarkEnd w:id="276"/>
      <w:bookmarkEnd w:id="277"/>
      <w:bookmarkEnd w:id="278"/>
    </w:p>
    <w:p w14:paraId="7E82061F">
      <w:pPr>
        <w:rPr>
          <w:color w:val="auto"/>
          <w:highlight w:val="none"/>
        </w:rPr>
      </w:pPr>
    </w:p>
    <w:p w14:paraId="308D291C">
      <w:pPr>
        <w:spacing w:line="360" w:lineRule="auto"/>
        <w:ind w:firstLine="480" w:firstLineChars="200"/>
        <w:rPr>
          <w:rFonts w:ascii="宋体" w:hAnsi="宋体"/>
          <w:color w:val="auto"/>
          <w:sz w:val="24"/>
          <w:highlight w:val="none"/>
        </w:rPr>
      </w:pPr>
      <w:r>
        <w:rPr>
          <w:rFonts w:hint="eastAsia" w:ascii="宋体" w:hAnsi="宋体"/>
          <w:color w:val="auto"/>
          <w:sz w:val="24"/>
          <w:szCs w:val="18"/>
          <w:highlight w:val="none"/>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52111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F49354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F0B1C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CEA602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9766A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r>
        <w:rPr>
          <w:rFonts w:hint="eastAsia" w:ascii="宋体" w:hAnsi="宋体"/>
          <w:color w:val="auto"/>
          <w:sz w:val="24"/>
          <w:highlight w:val="none"/>
        </w:rPr>
        <w:t>_</w:t>
      </w:r>
    </w:p>
    <w:p w14:paraId="40E2AC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w:t>
      </w:r>
    </w:p>
    <w:p w14:paraId="71B851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特此证明。</w:t>
      </w:r>
    </w:p>
    <w:p w14:paraId="480CB865">
      <w:pPr>
        <w:rPr>
          <w:rFonts w:ascii="宋体" w:hAnsi="宋体"/>
          <w:color w:val="auto"/>
          <w:sz w:val="24"/>
          <w:highlight w:val="none"/>
        </w:rPr>
      </w:pPr>
    </w:p>
    <w:p w14:paraId="0D93FA35">
      <w:pPr>
        <w:rPr>
          <w:rFonts w:ascii="宋体" w:hAnsi="宋体"/>
          <w:color w:val="auto"/>
          <w:sz w:val="24"/>
          <w:highlight w:val="none"/>
        </w:rPr>
      </w:pPr>
    </w:p>
    <w:p w14:paraId="7E028100">
      <w:pPr>
        <w:ind w:firstLine="480" w:firstLineChars="200"/>
        <w:rPr>
          <w:color w:val="auto"/>
          <w:highlight w:val="none"/>
        </w:rPr>
      </w:pPr>
      <w:r>
        <w:rPr>
          <w:rFonts w:hint="eastAsia" w:ascii="宋体" w:hAnsi="宋体"/>
          <w:color w:val="auto"/>
          <w:sz w:val="24"/>
          <w:highlight w:val="none"/>
        </w:rPr>
        <w:t>附：法定代表人身份证复印件（正反面）</w:t>
      </w:r>
    </w:p>
    <w:p w14:paraId="36B229C3">
      <w:pPr>
        <w:rPr>
          <w:rFonts w:ascii="宋体" w:hAnsi="宋体"/>
          <w:color w:val="auto"/>
          <w:sz w:val="24"/>
          <w:highlight w:val="none"/>
        </w:rPr>
      </w:pPr>
    </w:p>
    <w:p w14:paraId="476F4F42">
      <w:pPr>
        <w:rPr>
          <w:color w:val="auto"/>
          <w:highlight w:val="none"/>
        </w:rPr>
      </w:pPr>
    </w:p>
    <w:p w14:paraId="5AA6C826">
      <w:pPr>
        <w:spacing w:line="360" w:lineRule="auto"/>
        <w:ind w:firstLine="480" w:firstLineChars="200"/>
        <w:rPr>
          <w:rFonts w:ascii="宋体" w:hAnsi="宋体"/>
          <w:color w:val="auto"/>
          <w:sz w:val="24"/>
          <w:highlight w:val="none"/>
        </w:rPr>
      </w:pPr>
    </w:p>
    <w:p w14:paraId="066BBC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w:t>
      </w:r>
    </w:p>
    <w:p w14:paraId="75C0BBE3">
      <w:pPr>
        <w:spacing w:line="360" w:lineRule="auto"/>
        <w:ind w:firstLine="480" w:firstLineChars="200"/>
        <w:rPr>
          <w:rFonts w:ascii="宋体" w:hAnsi="宋体"/>
          <w:color w:val="auto"/>
          <w:sz w:val="24"/>
          <w:highlight w:val="none"/>
        </w:rPr>
      </w:pPr>
    </w:p>
    <w:p w14:paraId="4ABB7917">
      <w:pPr>
        <w:spacing w:line="360" w:lineRule="auto"/>
        <w:ind w:firstLine="5760" w:firstLineChars="2400"/>
        <w:rPr>
          <w:rFonts w:ascii="宋体" w:hAnsi="宋体"/>
          <w:color w:val="auto"/>
          <w:sz w:val="24"/>
          <w:highlight w:val="none"/>
        </w:rPr>
      </w:pPr>
    </w:p>
    <w:p w14:paraId="66D8E81E">
      <w:pPr>
        <w:spacing w:line="360" w:lineRule="auto"/>
        <w:ind w:firstLine="5760" w:firstLineChars="2400"/>
        <w:rPr>
          <w:rFonts w:ascii="宋体" w:hAnsi="宋体"/>
          <w:color w:val="auto"/>
          <w:sz w:val="24"/>
          <w:highlight w:val="none"/>
        </w:rPr>
      </w:pPr>
    </w:p>
    <w:p w14:paraId="2C747A1E">
      <w:pPr>
        <w:spacing w:line="360" w:lineRule="auto"/>
        <w:ind w:firstLine="5760" w:firstLineChars="2400"/>
        <w:rPr>
          <w:rFonts w:ascii="宋体" w:hAnsi="宋体"/>
          <w:color w:val="auto"/>
          <w:sz w:val="24"/>
          <w:highlight w:val="none"/>
        </w:rPr>
      </w:pPr>
    </w:p>
    <w:p w14:paraId="6F451D23">
      <w:pPr>
        <w:spacing w:line="360" w:lineRule="auto"/>
        <w:jc w:val="right"/>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（盖单位公章） </w:t>
      </w:r>
    </w:p>
    <w:p w14:paraId="3734DC09">
      <w:pPr>
        <w:spacing w:line="360" w:lineRule="auto"/>
        <w:ind w:firstLine="5760" w:firstLineChars="2400"/>
        <w:jc w:val="right"/>
        <w:rPr>
          <w:rFonts w:ascii="宋体" w:hAnsi="宋体"/>
          <w:color w:val="auto"/>
          <w:sz w:val="24"/>
          <w:highlight w:val="none"/>
        </w:rPr>
      </w:pPr>
    </w:p>
    <w:p w14:paraId="7BE3D777">
      <w:pPr>
        <w:spacing w:line="360" w:lineRule="auto"/>
        <w:ind w:firstLine="5760" w:firstLineChars="2400"/>
        <w:jc w:val="right"/>
        <w:rPr>
          <w:rFonts w:ascii="宋体" w:hAnsi="宋体"/>
          <w:color w:val="auto"/>
          <w:sz w:val="24"/>
          <w:highlight w:val="none"/>
        </w:rPr>
      </w:pPr>
      <w:r>
        <w:rPr>
          <w:rFonts w:hint="eastAsia" w:ascii="宋体" w:hAnsi="宋体"/>
          <w:color w:val="auto"/>
          <w:sz w:val="24"/>
          <w:highlight w:val="none"/>
        </w:rPr>
        <w:t>年    月     日</w:t>
      </w:r>
    </w:p>
    <w:p w14:paraId="44566F73">
      <w:pPr>
        <w:spacing w:line="440" w:lineRule="exact"/>
        <w:rPr>
          <w:rFonts w:ascii="宋体" w:hAnsi="宋体" w:eastAsia="宋体" w:cs="宋体"/>
          <w:color w:val="auto"/>
          <w:highlight w:val="none"/>
        </w:rPr>
      </w:pPr>
    </w:p>
    <w:p w14:paraId="7B8D0D51">
      <w:pPr>
        <w:jc w:val="center"/>
        <w:rPr>
          <w:rFonts w:ascii="宋体" w:hAnsi="宋体" w:eastAsia="宋体" w:cs="宋体"/>
          <w:b/>
          <w:bCs/>
          <w:color w:val="auto"/>
          <w:sz w:val="30"/>
          <w:szCs w:val="30"/>
          <w:highlight w:val="none"/>
        </w:rPr>
      </w:pPr>
      <w:bookmarkStart w:id="279" w:name="_Toc6009"/>
      <w:bookmarkStart w:id="280" w:name="_Toc17980"/>
      <w:bookmarkStart w:id="281" w:name="_Toc5815"/>
      <w:bookmarkStart w:id="282" w:name="_Toc15395"/>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三、授权委托书</w:t>
      </w:r>
      <w:bookmarkEnd w:id="279"/>
      <w:bookmarkEnd w:id="280"/>
      <w:bookmarkEnd w:id="281"/>
      <w:bookmarkEnd w:id="282"/>
    </w:p>
    <w:p w14:paraId="30884969">
      <w:pPr>
        <w:rPr>
          <w:color w:val="auto"/>
          <w:highlight w:val="none"/>
        </w:rPr>
      </w:pPr>
    </w:p>
    <w:p w14:paraId="486C03A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w:t>
      </w:r>
      <w:r>
        <w:rPr>
          <w:rFonts w:hint="eastAsia" w:ascii="宋体" w:hAnsi="宋体"/>
          <w:color w:val="auto"/>
          <w:sz w:val="24"/>
          <w:highlight w:val="none"/>
          <w:lang w:val="en-US" w:eastAsia="zh-CN"/>
        </w:rPr>
        <w:t>的</w:t>
      </w:r>
      <w:r>
        <w:rPr>
          <w:rFonts w:hint="eastAsia" w:ascii="宋体" w:hAnsi="宋体"/>
          <w:color w:val="auto"/>
          <w:sz w:val="24"/>
          <w:highlight w:val="none"/>
        </w:rPr>
        <w:t>投标文件、签订合同和处理有关事宜，其法律后果由我方承担。</w:t>
      </w:r>
    </w:p>
    <w:p w14:paraId="128F173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14:paraId="4CA7480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14:paraId="480E3EA9">
      <w:pPr>
        <w:spacing w:line="360" w:lineRule="auto"/>
        <w:ind w:firstLine="480" w:firstLineChars="200"/>
        <w:rPr>
          <w:rFonts w:ascii="宋体" w:hAnsi="宋体"/>
          <w:color w:val="auto"/>
          <w:sz w:val="24"/>
          <w:highlight w:val="none"/>
        </w:rPr>
      </w:pPr>
    </w:p>
    <w:p w14:paraId="72BC886E">
      <w:pPr>
        <w:rPr>
          <w:color w:val="auto"/>
          <w:highlight w:val="none"/>
        </w:rPr>
      </w:pPr>
      <w:r>
        <w:rPr>
          <w:rFonts w:hint="eastAsia" w:ascii="宋体" w:hAnsi="宋体"/>
          <w:color w:val="auto"/>
          <w:sz w:val="24"/>
          <w:highlight w:val="none"/>
        </w:rPr>
        <w:t>附：委托代理人身份证复印件正反面</w:t>
      </w:r>
    </w:p>
    <w:p w14:paraId="33EA5FBB">
      <w:pPr>
        <w:spacing w:line="360" w:lineRule="auto"/>
        <w:jc w:val="left"/>
        <w:rPr>
          <w:rFonts w:ascii="宋体" w:hAnsi="宋体"/>
          <w:color w:val="auto"/>
          <w:sz w:val="24"/>
          <w:highlight w:val="none"/>
        </w:rPr>
      </w:pPr>
    </w:p>
    <w:p w14:paraId="4B75A67F">
      <w:pPr>
        <w:spacing w:line="360" w:lineRule="auto"/>
        <w:ind w:firstLine="480" w:firstLineChars="200"/>
        <w:jc w:val="left"/>
        <w:rPr>
          <w:rFonts w:ascii="宋体" w:hAnsi="宋体"/>
          <w:color w:val="auto"/>
          <w:sz w:val="24"/>
          <w:highlight w:val="none"/>
        </w:rPr>
      </w:pPr>
    </w:p>
    <w:p w14:paraId="102EB67E">
      <w:pPr>
        <w:spacing w:line="360" w:lineRule="auto"/>
        <w:ind w:firstLine="480" w:firstLineChars="200"/>
        <w:jc w:val="left"/>
        <w:rPr>
          <w:rFonts w:ascii="宋体" w:hAnsi="宋体"/>
          <w:color w:val="auto"/>
          <w:sz w:val="24"/>
          <w:highlight w:val="none"/>
        </w:rPr>
      </w:pPr>
    </w:p>
    <w:p w14:paraId="0CFC737B">
      <w:pPr>
        <w:spacing w:line="360" w:lineRule="auto"/>
        <w:ind w:firstLine="480" w:firstLineChars="200"/>
        <w:jc w:val="left"/>
        <w:rPr>
          <w:rFonts w:ascii="宋体" w:hAnsi="宋体"/>
          <w:color w:val="auto"/>
          <w:sz w:val="24"/>
          <w:highlight w:val="none"/>
        </w:rPr>
      </w:pPr>
    </w:p>
    <w:p w14:paraId="2B272219">
      <w:pPr>
        <w:spacing w:line="360" w:lineRule="auto"/>
        <w:ind w:firstLine="480" w:firstLineChars="200"/>
        <w:jc w:val="left"/>
        <w:rPr>
          <w:rFonts w:ascii="宋体" w:hAnsi="宋体"/>
          <w:color w:val="auto"/>
          <w:sz w:val="24"/>
          <w:highlight w:val="none"/>
        </w:rPr>
      </w:pPr>
    </w:p>
    <w:p w14:paraId="4A56345F">
      <w:pPr>
        <w:spacing w:line="360" w:lineRule="auto"/>
        <w:jc w:val="left"/>
        <w:rPr>
          <w:rFonts w:ascii="宋体" w:hAnsi="宋体"/>
          <w:color w:val="auto"/>
          <w:sz w:val="24"/>
          <w:highlight w:val="none"/>
        </w:rPr>
      </w:pPr>
    </w:p>
    <w:p w14:paraId="1140B230">
      <w:pPr>
        <w:spacing w:line="360" w:lineRule="auto"/>
        <w:ind w:firstLine="4560" w:firstLineChars="1900"/>
        <w:jc w:val="left"/>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（盖单位公章） </w:t>
      </w:r>
    </w:p>
    <w:p w14:paraId="10C459E5">
      <w:pPr>
        <w:spacing w:line="360" w:lineRule="auto"/>
        <w:ind w:firstLine="4560" w:firstLineChars="1900"/>
        <w:jc w:val="lef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451C4DEA">
      <w:pPr>
        <w:spacing w:line="360" w:lineRule="auto"/>
        <w:ind w:firstLine="4560" w:firstLineChars="1900"/>
        <w:jc w:val="left"/>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567A3D03">
      <w:pPr>
        <w:spacing w:line="360" w:lineRule="auto"/>
        <w:ind w:firstLine="5040" w:firstLineChars="2100"/>
        <w:rPr>
          <w:rFonts w:ascii="宋体" w:hAnsi="宋体"/>
          <w:color w:val="auto"/>
          <w:sz w:val="24"/>
          <w:highlight w:val="none"/>
        </w:rPr>
      </w:pPr>
    </w:p>
    <w:p w14:paraId="4052C71F">
      <w:pPr>
        <w:spacing w:line="360" w:lineRule="auto"/>
        <w:ind w:firstLine="5040" w:firstLineChars="2100"/>
        <w:rPr>
          <w:rFonts w:ascii="宋体" w:hAnsi="宋体" w:eastAsia="宋体" w:cs="宋体"/>
          <w:color w:val="auto"/>
          <w:sz w:val="30"/>
          <w:szCs w:val="30"/>
          <w:highlight w:val="none"/>
        </w:rPr>
      </w:pP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bookmarkEnd w:id="248"/>
    </w:p>
    <w:p w14:paraId="46D24BAC">
      <w:pPr>
        <w:pStyle w:val="17"/>
        <w:widowControl w:val="0"/>
        <w:spacing w:before="120" w:beforeAutospacing="0" w:after="120" w:afterAutospacing="0" w:line="500" w:lineRule="exact"/>
        <w:ind w:right="29" w:rightChars="14"/>
        <w:jc w:val="center"/>
        <w:rPr>
          <w:rFonts w:ascii="宋体" w:hAnsi="宋体" w:eastAsia="宋体" w:cs="宋体"/>
          <w:color w:val="auto"/>
          <w:kern w:val="2"/>
          <w:sz w:val="30"/>
          <w:szCs w:val="30"/>
          <w:highlight w:val="none"/>
        </w:rPr>
      </w:pPr>
    </w:p>
    <w:p w14:paraId="40BE3324">
      <w:pPr>
        <w:pStyle w:val="17"/>
        <w:widowControl w:val="0"/>
        <w:spacing w:before="120" w:beforeAutospacing="0" w:after="120" w:afterAutospacing="0" w:line="500" w:lineRule="exact"/>
        <w:ind w:right="29" w:rightChars="14"/>
        <w:jc w:val="both"/>
        <w:rPr>
          <w:rFonts w:ascii="宋体" w:hAnsi="宋体" w:eastAsia="宋体" w:cs="宋体"/>
          <w:b/>
          <w:bCs/>
          <w:color w:val="auto"/>
          <w:kern w:val="2"/>
          <w:sz w:val="30"/>
          <w:szCs w:val="30"/>
          <w:highlight w:val="none"/>
        </w:rPr>
      </w:pPr>
    </w:p>
    <w:p w14:paraId="4EB58ED6">
      <w:pPr>
        <w:pStyle w:val="17"/>
        <w:widowControl w:val="0"/>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bookmarkStart w:id="283" w:name="_Toc8304"/>
      <w:bookmarkStart w:id="284" w:name="_Toc25161"/>
    </w:p>
    <w:p w14:paraId="7C7E1F40">
      <w:pP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5586882A">
      <w:pPr>
        <w:pStyle w:val="17"/>
        <w:widowControl w:val="0"/>
        <w:spacing w:before="120" w:beforeAutospacing="0" w:after="120" w:afterAutospacing="0" w:line="500" w:lineRule="exact"/>
        <w:ind w:right="29" w:rightChars="14"/>
        <w:jc w:val="center"/>
        <w:outlineLvl w:val="1"/>
        <w:rPr>
          <w:rFonts w:ascii="宋体" w:hAnsi="宋体" w:eastAsia="宋体" w:cs="宋体"/>
          <w:b/>
          <w:color w:val="auto"/>
          <w:sz w:val="30"/>
          <w:szCs w:val="30"/>
          <w:highlight w:val="none"/>
        </w:rPr>
      </w:pPr>
      <w:r>
        <w:rPr>
          <w:rFonts w:hint="eastAsia" w:ascii="宋体" w:hAnsi="宋体" w:eastAsia="宋体" w:cs="宋体"/>
          <w:b/>
          <w:color w:val="auto"/>
          <w:kern w:val="2"/>
          <w:sz w:val="30"/>
          <w:szCs w:val="30"/>
          <w:highlight w:val="none"/>
        </w:rPr>
        <w:t>四、项目</w:t>
      </w:r>
      <w:r>
        <w:rPr>
          <w:rFonts w:hint="eastAsia" w:ascii="宋体" w:hAnsi="宋体" w:eastAsia="宋体" w:cs="宋体"/>
          <w:b/>
          <w:color w:val="auto"/>
          <w:kern w:val="2"/>
          <w:sz w:val="30"/>
          <w:szCs w:val="30"/>
          <w:highlight w:val="none"/>
          <w:lang w:val="en-US" w:eastAsia="zh-CN"/>
        </w:rPr>
        <w:t>服务</w:t>
      </w:r>
      <w:r>
        <w:rPr>
          <w:rFonts w:hint="eastAsia" w:ascii="宋体" w:hAnsi="宋体" w:eastAsia="宋体" w:cs="宋体"/>
          <w:b/>
          <w:color w:val="auto"/>
          <w:kern w:val="2"/>
          <w:sz w:val="30"/>
          <w:szCs w:val="30"/>
          <w:highlight w:val="none"/>
        </w:rPr>
        <w:t>方案</w:t>
      </w:r>
      <w:bookmarkEnd w:id="283"/>
      <w:r>
        <w:rPr>
          <w:rFonts w:hint="eastAsia" w:ascii="宋体" w:hAnsi="宋体" w:eastAsia="宋体" w:cs="宋体"/>
          <w:b/>
          <w:color w:val="auto"/>
          <w:kern w:val="2"/>
          <w:sz w:val="30"/>
          <w:szCs w:val="30"/>
          <w:highlight w:val="none"/>
        </w:rPr>
        <w:t>等</w:t>
      </w:r>
      <w:bookmarkEnd w:id="284"/>
    </w:p>
    <w:p w14:paraId="6B4DA0A6">
      <w:pPr>
        <w:ind w:left="420"/>
        <w:rPr>
          <w:rFonts w:ascii="宋体" w:hAnsi="宋体" w:eastAsia="宋体" w:cs="宋体"/>
          <w:b/>
          <w:color w:val="auto"/>
          <w:sz w:val="30"/>
          <w:szCs w:val="30"/>
          <w:highlight w:val="none"/>
        </w:rPr>
      </w:pPr>
    </w:p>
    <w:p w14:paraId="1EC12FE2">
      <w:pPr>
        <w:ind w:left="420"/>
        <w:rPr>
          <w:rFonts w:ascii="宋体" w:hAnsi="宋体" w:eastAsia="宋体" w:cs="宋体"/>
          <w:b/>
          <w:color w:val="auto"/>
          <w:sz w:val="30"/>
          <w:szCs w:val="30"/>
          <w:highlight w:val="none"/>
        </w:rPr>
      </w:pPr>
    </w:p>
    <w:p w14:paraId="120D1DC2">
      <w:pPr>
        <w:ind w:left="420"/>
        <w:rPr>
          <w:rFonts w:ascii="宋体" w:hAnsi="宋体" w:eastAsia="宋体" w:cs="宋体"/>
          <w:b/>
          <w:color w:val="auto"/>
          <w:sz w:val="30"/>
          <w:szCs w:val="30"/>
          <w:highlight w:val="none"/>
        </w:rPr>
      </w:pPr>
    </w:p>
    <w:p w14:paraId="632A2701">
      <w:pPr>
        <w:ind w:left="420"/>
        <w:rPr>
          <w:rFonts w:ascii="宋体" w:hAnsi="宋体" w:eastAsia="宋体" w:cs="宋体"/>
          <w:b/>
          <w:color w:val="auto"/>
          <w:sz w:val="30"/>
          <w:szCs w:val="30"/>
          <w:highlight w:val="none"/>
        </w:rPr>
      </w:pPr>
    </w:p>
    <w:p w14:paraId="03367DA1">
      <w:pPr>
        <w:ind w:left="420"/>
        <w:rPr>
          <w:rFonts w:ascii="宋体" w:hAnsi="宋体" w:eastAsia="宋体" w:cs="宋体"/>
          <w:b/>
          <w:color w:val="auto"/>
          <w:sz w:val="30"/>
          <w:szCs w:val="30"/>
          <w:highlight w:val="none"/>
        </w:rPr>
      </w:pPr>
    </w:p>
    <w:p w14:paraId="4C99D689">
      <w:pPr>
        <w:ind w:left="420"/>
        <w:rPr>
          <w:rFonts w:ascii="宋体" w:hAnsi="宋体" w:eastAsia="宋体" w:cs="宋体"/>
          <w:b/>
          <w:color w:val="auto"/>
          <w:sz w:val="30"/>
          <w:szCs w:val="30"/>
          <w:highlight w:val="none"/>
        </w:rPr>
      </w:pPr>
    </w:p>
    <w:p w14:paraId="6C6726DC">
      <w:pPr>
        <w:ind w:left="420"/>
        <w:rPr>
          <w:rFonts w:ascii="宋体" w:hAnsi="宋体" w:eastAsia="宋体" w:cs="宋体"/>
          <w:b/>
          <w:color w:val="auto"/>
          <w:sz w:val="30"/>
          <w:szCs w:val="30"/>
          <w:highlight w:val="none"/>
        </w:rPr>
      </w:pPr>
    </w:p>
    <w:p w14:paraId="69F0A5E1">
      <w:pPr>
        <w:ind w:left="420"/>
        <w:rPr>
          <w:rFonts w:ascii="宋体" w:hAnsi="宋体" w:eastAsia="宋体" w:cs="宋体"/>
          <w:b/>
          <w:color w:val="auto"/>
          <w:sz w:val="30"/>
          <w:szCs w:val="30"/>
          <w:highlight w:val="none"/>
        </w:rPr>
      </w:pPr>
    </w:p>
    <w:p w14:paraId="32092F7F">
      <w:pPr>
        <w:ind w:left="420"/>
        <w:rPr>
          <w:rFonts w:ascii="宋体" w:hAnsi="宋体" w:eastAsia="宋体" w:cs="宋体"/>
          <w:b/>
          <w:color w:val="auto"/>
          <w:sz w:val="30"/>
          <w:szCs w:val="30"/>
          <w:highlight w:val="none"/>
        </w:rPr>
      </w:pPr>
    </w:p>
    <w:p w14:paraId="0EDFDEFA">
      <w:pPr>
        <w:ind w:left="420"/>
        <w:rPr>
          <w:rFonts w:ascii="宋体" w:hAnsi="宋体" w:eastAsia="宋体" w:cs="宋体"/>
          <w:b/>
          <w:color w:val="auto"/>
          <w:sz w:val="30"/>
          <w:szCs w:val="30"/>
          <w:highlight w:val="none"/>
        </w:rPr>
      </w:pPr>
    </w:p>
    <w:p w14:paraId="0196857A">
      <w:pPr>
        <w:ind w:left="420"/>
        <w:rPr>
          <w:rFonts w:ascii="宋体" w:hAnsi="宋体" w:eastAsia="宋体" w:cs="宋体"/>
          <w:b/>
          <w:color w:val="auto"/>
          <w:sz w:val="30"/>
          <w:szCs w:val="30"/>
          <w:highlight w:val="none"/>
        </w:rPr>
      </w:pPr>
    </w:p>
    <w:p w14:paraId="76A40BBC">
      <w:pPr>
        <w:rPr>
          <w:rFonts w:ascii="宋体" w:hAnsi="宋体" w:eastAsia="宋体" w:cs="宋体"/>
          <w:b/>
          <w:color w:val="auto"/>
          <w:sz w:val="30"/>
          <w:szCs w:val="30"/>
          <w:highlight w:val="none"/>
        </w:rPr>
      </w:pPr>
    </w:p>
    <w:p w14:paraId="0E46890D">
      <w:pPr>
        <w:rPr>
          <w:rFonts w:ascii="宋体" w:hAnsi="宋体" w:eastAsia="宋体" w:cs="宋体"/>
          <w:b/>
          <w:color w:val="auto"/>
          <w:sz w:val="30"/>
          <w:szCs w:val="30"/>
          <w:highlight w:val="none"/>
        </w:rPr>
      </w:pPr>
    </w:p>
    <w:p w14:paraId="797610E8">
      <w:pPr>
        <w:ind w:left="420"/>
        <w:rPr>
          <w:rFonts w:ascii="宋体" w:hAnsi="宋体" w:eastAsia="宋体" w:cs="宋体"/>
          <w:b/>
          <w:color w:val="auto"/>
          <w:sz w:val="30"/>
          <w:szCs w:val="30"/>
          <w:highlight w:val="none"/>
        </w:rPr>
      </w:pPr>
    </w:p>
    <w:p w14:paraId="6B6B2C0C">
      <w:pPr>
        <w:pStyle w:val="17"/>
        <w:widowControl w:val="0"/>
        <w:spacing w:before="120" w:beforeAutospacing="0" w:after="120" w:afterAutospacing="0" w:line="500" w:lineRule="exact"/>
        <w:ind w:right="29" w:rightChars="14"/>
        <w:jc w:val="center"/>
        <w:rPr>
          <w:rFonts w:ascii="宋体" w:hAnsi="宋体" w:eastAsia="宋体" w:cs="宋体"/>
          <w:color w:val="auto"/>
          <w:sz w:val="30"/>
          <w:szCs w:val="30"/>
          <w:highlight w:val="none"/>
        </w:rPr>
      </w:pPr>
      <w:bookmarkStart w:id="285" w:name="_Toc10043"/>
    </w:p>
    <w:p w14:paraId="4B6D1CDD">
      <w:pPr>
        <w:pStyle w:val="17"/>
        <w:widowControl w:val="0"/>
        <w:spacing w:before="120" w:beforeAutospacing="0" w:after="120" w:afterAutospacing="0" w:line="500" w:lineRule="exact"/>
        <w:ind w:right="29" w:rightChars="14"/>
        <w:jc w:val="center"/>
        <w:rPr>
          <w:rFonts w:ascii="宋体" w:hAnsi="宋体" w:eastAsia="宋体" w:cs="宋体"/>
          <w:color w:val="auto"/>
          <w:sz w:val="30"/>
          <w:szCs w:val="30"/>
          <w:highlight w:val="none"/>
        </w:rPr>
      </w:pPr>
    </w:p>
    <w:p w14:paraId="24070E08">
      <w:pPr>
        <w:rPr>
          <w:rFonts w:ascii="宋体" w:hAnsi="宋体" w:eastAsia="宋体" w:cs="宋体"/>
          <w:b/>
          <w:color w:val="auto"/>
          <w:sz w:val="30"/>
          <w:szCs w:val="30"/>
          <w:highlight w:val="none"/>
        </w:rPr>
      </w:pPr>
      <w:bookmarkStart w:id="286" w:name="_Toc29492"/>
      <w:bookmarkStart w:id="287" w:name="_Toc20650"/>
      <w:bookmarkStart w:id="288" w:name="_Toc30146"/>
    </w:p>
    <w:p w14:paraId="5596EDE1">
      <w:pPr>
        <w:overflowPunct w:val="0"/>
        <w:adjustRightInd w:val="0"/>
        <w:snapToGrid w:val="0"/>
        <w:spacing w:line="574" w:lineRule="exact"/>
        <w:jc w:val="center"/>
        <w:rPr>
          <w:rFonts w:ascii="宋体" w:hAnsi="宋体" w:cs="宋体"/>
          <w:b/>
          <w:bCs/>
          <w:color w:val="auto"/>
          <w:sz w:val="32"/>
          <w:szCs w:val="32"/>
          <w:highlight w:val="none"/>
        </w:rPr>
      </w:pPr>
      <w:r>
        <w:rPr>
          <w:rFonts w:hint="eastAsia" w:ascii="宋体" w:hAnsi="宋体" w:eastAsia="宋体" w:cs="宋体"/>
          <w:b/>
          <w:color w:val="auto"/>
          <w:sz w:val="30"/>
          <w:szCs w:val="30"/>
          <w:highlight w:val="none"/>
        </w:rPr>
        <w:t>五、</w:t>
      </w:r>
      <w:bookmarkEnd w:id="285"/>
      <w:bookmarkEnd w:id="286"/>
      <w:bookmarkEnd w:id="287"/>
      <w:bookmarkEnd w:id="288"/>
      <w:r>
        <w:rPr>
          <w:rFonts w:hint="eastAsia" w:ascii="宋体" w:hAnsi="宋体" w:cs="宋体"/>
          <w:b/>
          <w:bCs/>
          <w:color w:val="auto"/>
          <w:sz w:val="32"/>
          <w:szCs w:val="32"/>
          <w:highlight w:val="none"/>
        </w:rPr>
        <w:t>政府采购供应商资格信用承诺函</w:t>
      </w:r>
    </w:p>
    <w:p w14:paraId="7A30CC86">
      <w:pPr>
        <w:spacing w:line="400" w:lineRule="exact"/>
        <w:jc w:val="left"/>
        <w:rPr>
          <w:color w:val="auto"/>
          <w:sz w:val="24"/>
          <w:highlight w:val="none"/>
        </w:rPr>
      </w:pPr>
    </w:p>
    <w:p w14:paraId="5511D746">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致</w:t>
      </w:r>
      <w:r>
        <w:rPr>
          <w:rFonts w:hint="eastAsia" w:ascii="仿宋_GB2312" w:hAnsi="仿宋_GB2312" w:cs="仿宋_GB2312"/>
          <w:color w:val="auto"/>
          <w:sz w:val="24"/>
          <w:highlight w:val="none"/>
          <w:u w:val="single"/>
        </w:rPr>
        <w:t xml:space="preserve">（采购人）     </w:t>
      </w:r>
      <w:r>
        <w:rPr>
          <w:rFonts w:hint="eastAsia" w:ascii="仿宋_GB2312" w:hAnsi="仿宋_GB2312" w:cs="仿宋_GB2312"/>
          <w:color w:val="auto"/>
          <w:sz w:val="24"/>
          <w:highlight w:val="none"/>
        </w:rPr>
        <w:t>：</w:t>
      </w:r>
    </w:p>
    <w:p w14:paraId="37E3ABC1">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供应商名称：</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 xml:space="preserve">                                  </w:t>
      </w:r>
    </w:p>
    <w:p w14:paraId="4E4A7394">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统一社会信用代码：</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 xml:space="preserve">                            </w:t>
      </w:r>
    </w:p>
    <w:p w14:paraId="65616D71">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供应商地址：</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 xml:space="preserve">                              </w:t>
      </w:r>
    </w:p>
    <w:p w14:paraId="6F35920F">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376FFC8">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一、我单位具有有效的营业执照（三证合一），并具有实施完成本项目的经营实力和完善的售后服务体系；</w:t>
      </w:r>
    </w:p>
    <w:p w14:paraId="7726A400">
      <w:pPr>
        <w:overflowPunct w:val="0"/>
        <w:adjustRightInd w:val="0"/>
        <w:snapToGrid w:val="0"/>
        <w:spacing w:line="574" w:lineRule="exact"/>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二、我单位符合《中华人民共和国政府采购法》第二十二条规定的条件：</w:t>
      </w:r>
    </w:p>
    <w:p w14:paraId="5A1AD443">
      <w:pPr>
        <w:overflowPunct w:val="0"/>
        <w:adjustRightInd w:val="0"/>
        <w:snapToGrid w:val="0"/>
        <w:spacing w:line="574" w:lineRule="exact"/>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1.我单位具有符合采购文件资格要求的独立承担民事责任的能力。</w:t>
      </w:r>
    </w:p>
    <w:p w14:paraId="6DC96DBE">
      <w:pPr>
        <w:overflowPunct w:val="0"/>
        <w:adjustRightInd w:val="0"/>
        <w:snapToGrid w:val="0"/>
        <w:spacing w:line="574" w:lineRule="exact"/>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2.我单位具有符合采购文件资格要求的财务状况报告。</w:t>
      </w:r>
    </w:p>
    <w:p w14:paraId="39CD4B6A">
      <w:pPr>
        <w:overflowPunct w:val="0"/>
        <w:adjustRightInd w:val="0"/>
        <w:snapToGrid w:val="0"/>
        <w:spacing w:line="574" w:lineRule="exact"/>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3.我单位具有符合采购文件资格要求的依法缴纳税收和社会保障记录的良好记录。</w:t>
      </w:r>
    </w:p>
    <w:p w14:paraId="25EC1A07">
      <w:pPr>
        <w:overflowPunct w:val="0"/>
        <w:adjustRightInd w:val="0"/>
        <w:snapToGrid w:val="0"/>
        <w:spacing w:line="574" w:lineRule="exact"/>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4.我单位具有符合采购文件资格要求的履行合同所必需的设备和专业技术能力。</w:t>
      </w:r>
    </w:p>
    <w:p w14:paraId="16095D05">
      <w:pPr>
        <w:overflowPunct w:val="0"/>
        <w:adjustRightInd w:val="0"/>
        <w:snapToGrid w:val="0"/>
        <w:spacing w:line="574" w:lineRule="exact"/>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5.我单位参加政府采购活动前三年内，在经营活动中没有重大违法记录。</w:t>
      </w:r>
    </w:p>
    <w:p w14:paraId="42BB00B5">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若我单位承诺不实，自愿承担提供虚假材料谋取中标、成交的法律责任。</w:t>
      </w:r>
    </w:p>
    <w:p w14:paraId="56363412">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承诺供应商（全称并加盖公章）：</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 xml:space="preserve"> </w:t>
      </w:r>
    </w:p>
    <w:p w14:paraId="18FF00DB">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法定代表人或授权代表(签字或签章)：</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 xml:space="preserve">  </w:t>
      </w:r>
    </w:p>
    <w:p w14:paraId="1B72225D">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日期：    年  月  日 </w:t>
      </w:r>
    </w:p>
    <w:p w14:paraId="141AF9DA">
      <w:pPr>
        <w:overflowPunct w:val="0"/>
        <w:adjustRightInd w:val="0"/>
        <w:snapToGrid w:val="0"/>
        <w:spacing w:line="574" w:lineRule="exac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    </w:t>
      </w:r>
      <w:r>
        <w:rPr>
          <w:rFonts w:hint="eastAsia" w:ascii="仿宋_GB2312" w:hAnsi="仿宋_GB2312" w:cs="仿宋_GB2312"/>
          <w:b/>
          <w:bCs/>
          <w:color w:val="auto"/>
          <w:sz w:val="24"/>
          <w:highlight w:val="none"/>
        </w:rPr>
        <w:t>注：</w:t>
      </w:r>
      <w:r>
        <w:rPr>
          <w:rFonts w:hint="eastAsia" w:ascii="Times New Roman" w:hAnsi="Times New Roman" w:cs="仿宋_GB2312"/>
          <w:color w:val="auto"/>
          <w:sz w:val="24"/>
          <w:highlight w:val="none"/>
        </w:rPr>
        <w:t>1</w:t>
      </w:r>
      <w:r>
        <w:rPr>
          <w:rFonts w:hint="eastAsia" w:ascii="仿宋_GB2312" w:hAnsi="仿宋_GB2312" w:cs="仿宋_GB2312"/>
          <w:color w:val="auto"/>
          <w:sz w:val="24"/>
          <w:highlight w:val="none"/>
        </w:rPr>
        <w:t>.供应商须在投标文件中按此模板提供承诺函，未提供视为未实质性响应招标文件要求，按无效投标处理。</w:t>
      </w:r>
    </w:p>
    <w:p w14:paraId="07CFE16C">
      <w:pPr>
        <w:pStyle w:val="17"/>
        <w:widowControl w:val="0"/>
        <w:tabs>
          <w:tab w:val="left" w:pos="0"/>
        </w:tabs>
        <w:spacing w:before="120" w:beforeAutospacing="0" w:after="120" w:afterAutospacing="0" w:line="500" w:lineRule="exact"/>
        <w:ind w:right="29" w:rightChars="14" w:firstLine="2640" w:firstLineChars="1100"/>
        <w:outlineLvl w:val="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w:t>
      </w:r>
      <w:bookmarkStart w:id="289" w:name="_Toc4390"/>
      <w:bookmarkStart w:id="290" w:name="_Toc8330"/>
      <w:bookmarkStart w:id="291" w:name="_Toc6465"/>
      <w:bookmarkStart w:id="292" w:name="_Toc31553"/>
    </w:p>
    <w:p w14:paraId="440E2E67">
      <w:pPr>
        <w:pStyle w:val="17"/>
        <w:widowControl w:val="0"/>
        <w:tabs>
          <w:tab w:val="left" w:pos="0"/>
        </w:tabs>
        <w:spacing w:before="120" w:beforeAutospacing="0" w:after="120" w:afterAutospacing="0" w:line="500" w:lineRule="exact"/>
        <w:ind w:right="29" w:rightChars="14" w:firstLine="3313" w:firstLineChars="1100"/>
        <w:outlineLvl w:val="1"/>
        <w:rPr>
          <w:rFonts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六、供应商服务承诺和优惠承诺</w:t>
      </w:r>
      <w:bookmarkEnd w:id="289"/>
    </w:p>
    <w:p w14:paraId="115D60D1">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6DF404F5">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786D996E">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1BD4B3D2">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65E3A244">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67FE72E3">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D8051BF">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E188372">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C2EF493">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68662759">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3AB28608">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DFAF6EE">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5BEFFAD">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77BA995A">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71F266E">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208FDF7F">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765936D4">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11CF368F">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p w14:paraId="1C385974">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auto"/>
          <w:kern w:val="2"/>
          <w:sz w:val="30"/>
          <w:szCs w:val="30"/>
          <w:highlight w:val="none"/>
        </w:rPr>
      </w:pPr>
    </w:p>
    <w:bookmarkEnd w:id="290"/>
    <w:bookmarkEnd w:id="291"/>
    <w:p w14:paraId="4B7AB15E">
      <w:pPr>
        <w:pStyle w:val="17"/>
        <w:widowControl w:val="0"/>
        <w:spacing w:before="120" w:beforeAutospacing="0" w:after="120" w:afterAutospacing="0" w:line="500" w:lineRule="exact"/>
        <w:ind w:right="29" w:rightChars="14"/>
        <w:jc w:val="both"/>
        <w:rPr>
          <w:rFonts w:ascii="宋体" w:hAnsi="宋体" w:eastAsia="宋体" w:cs="宋体"/>
          <w:b/>
          <w:color w:val="auto"/>
          <w:kern w:val="2"/>
          <w:sz w:val="30"/>
          <w:szCs w:val="30"/>
          <w:highlight w:val="none"/>
        </w:rPr>
      </w:pPr>
      <w:bookmarkStart w:id="293" w:name="_Toc23227"/>
      <w:bookmarkStart w:id="294" w:name="_Toc24850"/>
      <w:bookmarkStart w:id="295" w:name="_Toc10717"/>
    </w:p>
    <w:p w14:paraId="65E259AD">
      <w:pPr>
        <w:pStyle w:val="17"/>
        <w:widowControl w:val="0"/>
        <w:numPr>
          <w:ilvl w:val="0"/>
          <w:numId w:val="0"/>
        </w:numPr>
        <w:spacing w:before="120" w:beforeAutospacing="0" w:after="120" w:afterAutospacing="0" w:line="500" w:lineRule="exact"/>
        <w:ind w:left="420" w:leftChars="0" w:right="29" w:rightChars="14"/>
        <w:jc w:val="center"/>
        <w:outlineLvl w:val="1"/>
        <w:rPr>
          <w:rFonts w:hint="eastAsia" w:ascii="宋体" w:hAnsi="宋体" w:eastAsia="宋体" w:cs="宋体"/>
          <w:b/>
          <w:color w:val="auto"/>
          <w:kern w:val="2"/>
          <w:sz w:val="30"/>
          <w:szCs w:val="30"/>
          <w:highlight w:val="none"/>
          <w:lang w:val="en-US" w:eastAsia="zh-CN"/>
        </w:rPr>
      </w:pPr>
    </w:p>
    <w:p w14:paraId="4B0DC2DC">
      <w:pPr>
        <w:pStyle w:val="17"/>
        <w:widowControl w:val="0"/>
        <w:numPr>
          <w:ilvl w:val="0"/>
          <w:numId w:val="0"/>
        </w:numPr>
        <w:spacing w:before="120" w:beforeAutospacing="0" w:after="120" w:afterAutospacing="0" w:line="500" w:lineRule="exact"/>
        <w:ind w:left="420" w:leftChars="0" w:right="29" w:rightChars="14"/>
        <w:jc w:val="center"/>
        <w:outlineLvl w:val="1"/>
        <w:rPr>
          <w:rFonts w:hint="eastAsia" w:ascii="宋体" w:hAnsi="宋体" w:eastAsia="宋体" w:cs="宋体"/>
          <w:b/>
          <w:color w:val="auto"/>
          <w:kern w:val="2"/>
          <w:sz w:val="30"/>
          <w:szCs w:val="30"/>
          <w:highlight w:val="none"/>
          <w:lang w:val="en-US" w:eastAsia="zh-CN"/>
        </w:rPr>
      </w:pPr>
    </w:p>
    <w:p w14:paraId="4CE3335C">
      <w:pPr>
        <w:pStyle w:val="17"/>
        <w:widowControl w:val="0"/>
        <w:numPr>
          <w:ilvl w:val="0"/>
          <w:numId w:val="0"/>
        </w:numPr>
        <w:spacing w:before="120" w:beforeAutospacing="0" w:after="120" w:afterAutospacing="0" w:line="500" w:lineRule="exact"/>
        <w:ind w:left="420" w:leftChars="0" w:right="29" w:rightChars="14"/>
        <w:jc w:val="center"/>
        <w:outlineLvl w:val="1"/>
        <w:rPr>
          <w:rFonts w:hint="default"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七、</w:t>
      </w:r>
      <w:r>
        <w:rPr>
          <w:rFonts w:hint="eastAsia" w:ascii="宋体" w:hAnsi="宋体" w:eastAsia="宋体" w:cs="宋体"/>
          <w:b/>
          <w:color w:val="auto"/>
          <w:kern w:val="2"/>
          <w:sz w:val="30"/>
          <w:szCs w:val="30"/>
          <w:highlight w:val="none"/>
        </w:rPr>
        <w:t>中小企业声明函</w:t>
      </w:r>
      <w:bookmarkEnd w:id="293"/>
      <w:bookmarkEnd w:id="294"/>
      <w:bookmarkEnd w:id="295"/>
      <w:r>
        <w:rPr>
          <w:rFonts w:hint="eastAsia" w:cs="宋体"/>
          <w:b/>
          <w:color w:val="auto"/>
          <w:kern w:val="2"/>
          <w:sz w:val="30"/>
          <w:szCs w:val="30"/>
          <w:highlight w:val="none"/>
          <w:lang w:eastAsia="zh-CN"/>
        </w:rPr>
        <w:t>（</w:t>
      </w:r>
      <w:r>
        <w:rPr>
          <w:rFonts w:hint="eastAsia" w:cs="宋体"/>
          <w:b/>
          <w:color w:val="auto"/>
          <w:kern w:val="2"/>
          <w:sz w:val="30"/>
          <w:szCs w:val="30"/>
          <w:highlight w:val="none"/>
          <w:lang w:val="en-US" w:eastAsia="zh-CN"/>
        </w:rPr>
        <w:t>如有)</w:t>
      </w:r>
    </w:p>
    <w:p w14:paraId="3A045FFB">
      <w:pPr>
        <w:pStyle w:val="17"/>
        <w:widowControl w:val="0"/>
        <w:numPr>
          <w:ilvl w:val="0"/>
          <w:numId w:val="0"/>
        </w:numPr>
        <w:spacing w:before="120" w:beforeAutospacing="0" w:after="120" w:afterAutospacing="0" w:line="500" w:lineRule="exact"/>
        <w:ind w:left="420" w:leftChars="0" w:right="29" w:rightChars="14"/>
        <w:jc w:val="both"/>
        <w:outlineLvl w:val="1"/>
        <w:rPr>
          <w:rFonts w:hint="eastAsia" w:ascii="宋体" w:hAnsi="宋体" w:eastAsia="宋体" w:cs="宋体"/>
          <w:b/>
          <w:color w:val="auto"/>
          <w:kern w:val="2"/>
          <w:sz w:val="30"/>
          <w:szCs w:val="30"/>
          <w:highlight w:val="none"/>
        </w:rPr>
      </w:pPr>
    </w:p>
    <w:p w14:paraId="5D6D599C">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olor w:val="auto"/>
          <w:sz w:val="24"/>
          <w:highlight w:val="none"/>
          <w:u w:val="single"/>
        </w:rPr>
        <w:t>项目名称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BE49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万元</w: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7941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997DE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0C42AD41">
      <w:pPr>
        <w:spacing w:line="360" w:lineRule="auto"/>
        <w:ind w:firstLine="6240" w:firstLineChars="2600"/>
        <w:rPr>
          <w:rFonts w:ascii="宋体" w:hAnsi="宋体" w:cs="宋体"/>
          <w:color w:val="auto"/>
          <w:sz w:val="24"/>
          <w:highlight w:val="none"/>
        </w:rPr>
      </w:pPr>
    </w:p>
    <w:p w14:paraId="16AD63D6">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企业名称（电子公章）：</w:t>
      </w:r>
    </w:p>
    <w:p w14:paraId="19C7A401">
      <w:pPr>
        <w:spacing w:line="360" w:lineRule="auto"/>
        <w:ind w:firstLine="7440" w:firstLineChars="3100"/>
        <w:rPr>
          <w:rFonts w:ascii="宋体" w:hAnsi="宋体" w:cs="宋体"/>
          <w:color w:val="auto"/>
          <w:sz w:val="24"/>
          <w:highlight w:val="none"/>
        </w:rPr>
      </w:pPr>
      <w:r>
        <w:rPr>
          <w:rFonts w:hint="eastAsia" w:ascii="宋体" w:hAnsi="宋体" w:cs="宋体"/>
          <w:color w:val="auto"/>
          <w:sz w:val="24"/>
          <w:highlight w:val="none"/>
        </w:rPr>
        <w:t>日期：</w:t>
      </w:r>
    </w:p>
    <w:p w14:paraId="4E6ABA5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690F2D5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1.从业人员、营业收入、资产总额填报上一年度数据，无上一年度数据的新成立企业可不填报。</w:t>
      </w:r>
    </w:p>
    <w:p w14:paraId="4E34EC8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2.填写前请认真阅读《关于印发中小企业划型标准规定的通知》（工信部联企业[2011]300 号）和《关于 印发＜政府采购促进中小企业发展管理办法＞的通知》(财库﹝2020﹞46号)相关规定。</w:t>
      </w:r>
    </w:p>
    <w:p w14:paraId="198C515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3.未按上述要求提供、填写的，评审时不予以考虑。</w:t>
      </w:r>
    </w:p>
    <w:p w14:paraId="4D8F59EE">
      <w:pPr>
        <w:pStyle w:val="17"/>
        <w:widowControl w:val="0"/>
        <w:spacing w:before="120" w:beforeAutospacing="0" w:after="120" w:afterAutospacing="0" w:line="500" w:lineRule="exact"/>
        <w:ind w:right="29" w:rightChars="14"/>
        <w:jc w:val="center"/>
        <w:outlineLvl w:val="1"/>
        <w:rPr>
          <w:rFonts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bookmarkStart w:id="296" w:name="_Toc20881"/>
      <w:bookmarkStart w:id="297" w:name="_Toc11708"/>
      <w:bookmarkStart w:id="298" w:name="_Toc30170"/>
      <w:bookmarkStart w:id="299" w:name="_Toc14292"/>
      <w:r>
        <w:rPr>
          <w:rFonts w:hint="eastAsia" w:ascii="宋体" w:hAnsi="宋体" w:eastAsia="宋体" w:cs="宋体"/>
          <w:b/>
          <w:color w:val="auto"/>
          <w:kern w:val="2"/>
          <w:sz w:val="30"/>
          <w:szCs w:val="30"/>
          <w:highlight w:val="none"/>
          <w:lang w:val="en-US" w:eastAsia="zh-CN"/>
        </w:rPr>
        <w:t>八</w:t>
      </w:r>
      <w:r>
        <w:rPr>
          <w:rFonts w:hint="eastAsia" w:ascii="宋体" w:hAnsi="宋体" w:eastAsia="宋体" w:cs="宋体"/>
          <w:b/>
          <w:color w:val="auto"/>
          <w:kern w:val="2"/>
          <w:sz w:val="30"/>
          <w:szCs w:val="30"/>
          <w:highlight w:val="none"/>
        </w:rPr>
        <w:t>、残疾人福利性单位声明函（如有）</w:t>
      </w:r>
      <w:bookmarkEnd w:id="296"/>
      <w:bookmarkEnd w:id="297"/>
    </w:p>
    <w:p w14:paraId="1DEEEB48">
      <w:pPr>
        <w:spacing w:afterLines="200"/>
        <w:ind w:firstLine="2259" w:firstLineChars="750"/>
        <w:rPr>
          <w:rFonts w:ascii="宋体" w:hAnsi="宋体" w:eastAsia="宋体" w:cs="宋体"/>
          <w:b/>
          <w:color w:val="auto"/>
          <w:sz w:val="30"/>
          <w:szCs w:val="30"/>
          <w:highlight w:val="none"/>
        </w:rPr>
      </w:pPr>
    </w:p>
    <w:p w14:paraId="65694583">
      <w:pPr>
        <w:spacing w:afterLines="200"/>
        <w:ind w:firstLine="2259" w:firstLineChars="750"/>
        <w:rPr>
          <w:rFonts w:ascii="宋体" w:hAnsi="宋体" w:eastAsia="宋体" w:cs="宋体"/>
          <w:b/>
          <w:color w:val="auto"/>
          <w:sz w:val="30"/>
          <w:szCs w:val="30"/>
          <w:highlight w:val="none"/>
        </w:rPr>
      </w:pPr>
    </w:p>
    <w:p w14:paraId="5139F9C9">
      <w:pPr>
        <w:spacing w:afterLines="200"/>
        <w:ind w:firstLine="2259" w:firstLineChars="750"/>
        <w:rPr>
          <w:rFonts w:ascii="宋体" w:hAnsi="宋体" w:eastAsia="宋体" w:cs="宋体"/>
          <w:b/>
          <w:color w:val="auto"/>
          <w:sz w:val="30"/>
          <w:szCs w:val="30"/>
          <w:highlight w:val="none"/>
        </w:rPr>
      </w:pPr>
    </w:p>
    <w:p w14:paraId="0F64D505">
      <w:pPr>
        <w:spacing w:afterLines="200"/>
        <w:ind w:firstLine="2259" w:firstLineChars="750"/>
        <w:rPr>
          <w:rFonts w:ascii="宋体" w:hAnsi="宋体" w:eastAsia="宋体" w:cs="宋体"/>
          <w:b/>
          <w:color w:val="auto"/>
          <w:sz w:val="30"/>
          <w:szCs w:val="30"/>
          <w:highlight w:val="none"/>
        </w:rPr>
      </w:pPr>
    </w:p>
    <w:p w14:paraId="1668ACA6">
      <w:pPr>
        <w:spacing w:afterLines="200"/>
        <w:ind w:firstLine="2259" w:firstLineChars="750"/>
        <w:rPr>
          <w:rFonts w:ascii="宋体" w:hAnsi="宋体" w:eastAsia="宋体" w:cs="宋体"/>
          <w:b/>
          <w:color w:val="auto"/>
          <w:sz w:val="30"/>
          <w:szCs w:val="30"/>
          <w:highlight w:val="none"/>
        </w:rPr>
      </w:pPr>
    </w:p>
    <w:p w14:paraId="6C133EB1">
      <w:pPr>
        <w:spacing w:afterLines="200"/>
        <w:ind w:firstLine="2259" w:firstLineChars="750"/>
        <w:rPr>
          <w:rFonts w:ascii="宋体" w:hAnsi="宋体" w:eastAsia="宋体" w:cs="宋体"/>
          <w:b/>
          <w:color w:val="auto"/>
          <w:sz w:val="30"/>
          <w:szCs w:val="30"/>
          <w:highlight w:val="none"/>
        </w:rPr>
      </w:pPr>
    </w:p>
    <w:p w14:paraId="45A28F05">
      <w:pPr>
        <w:spacing w:afterLines="200"/>
        <w:ind w:firstLine="2259" w:firstLineChars="750"/>
        <w:rPr>
          <w:rFonts w:ascii="宋体" w:hAnsi="宋体" w:eastAsia="宋体" w:cs="宋体"/>
          <w:b/>
          <w:color w:val="auto"/>
          <w:sz w:val="30"/>
          <w:szCs w:val="30"/>
          <w:highlight w:val="none"/>
        </w:rPr>
      </w:pPr>
    </w:p>
    <w:p w14:paraId="0028BABF">
      <w:pPr>
        <w:spacing w:afterLines="200"/>
        <w:ind w:firstLine="2259" w:firstLineChars="750"/>
        <w:rPr>
          <w:rFonts w:ascii="宋体" w:hAnsi="宋体" w:eastAsia="宋体" w:cs="宋体"/>
          <w:b/>
          <w:color w:val="auto"/>
          <w:sz w:val="30"/>
          <w:szCs w:val="30"/>
          <w:highlight w:val="none"/>
        </w:rPr>
      </w:pPr>
    </w:p>
    <w:p w14:paraId="514730DC">
      <w:pPr>
        <w:spacing w:afterLines="200"/>
        <w:ind w:firstLine="2259" w:firstLineChars="750"/>
        <w:rPr>
          <w:rFonts w:ascii="宋体" w:hAnsi="宋体" w:eastAsia="宋体" w:cs="宋体"/>
          <w:b/>
          <w:color w:val="auto"/>
          <w:sz w:val="30"/>
          <w:szCs w:val="30"/>
          <w:highlight w:val="none"/>
        </w:rPr>
      </w:pPr>
    </w:p>
    <w:bookmarkEnd w:id="292"/>
    <w:bookmarkEnd w:id="298"/>
    <w:bookmarkEnd w:id="299"/>
    <w:p w14:paraId="74DF9308">
      <w:pPr>
        <w:rPr>
          <w:rFonts w:ascii="Times New Roman" w:hAnsi="Times New Roman" w:eastAsia="仿宋"/>
          <w:color w:val="auto"/>
          <w:sz w:val="32"/>
          <w:szCs w:val="32"/>
          <w:highlight w:val="none"/>
          <w:shd w:val="clear" w:color="FFFFFF" w:fill="D9D9D9"/>
        </w:rPr>
      </w:pPr>
    </w:p>
    <w:p w14:paraId="7A4A605E">
      <w:pPr>
        <w:pStyle w:val="17"/>
        <w:widowControl w:val="0"/>
        <w:spacing w:before="120" w:beforeAutospacing="0" w:after="120" w:afterAutospacing="0" w:line="500" w:lineRule="exact"/>
        <w:ind w:right="29" w:rightChars="14" w:firstLine="602" w:firstLineChars="200"/>
        <w:jc w:val="center"/>
        <w:outlineLvl w:val="1"/>
        <w:rPr>
          <w:rFonts w:ascii="宋体" w:hAnsi="宋体" w:eastAsia="宋体" w:cs="宋体"/>
          <w:b/>
          <w:color w:val="auto"/>
          <w:kern w:val="2"/>
          <w:sz w:val="30"/>
          <w:szCs w:val="30"/>
          <w:highlight w:val="none"/>
        </w:rPr>
      </w:pPr>
      <w:bookmarkStart w:id="300" w:name="_Toc18605"/>
      <w:bookmarkStart w:id="301" w:name="_Toc16608"/>
      <w:r>
        <w:rPr>
          <w:rFonts w:hint="eastAsia" w:ascii="宋体" w:hAnsi="宋体" w:eastAsia="宋体" w:cs="宋体"/>
          <w:b/>
          <w:color w:val="auto"/>
          <w:kern w:val="2"/>
          <w:sz w:val="30"/>
          <w:szCs w:val="30"/>
          <w:highlight w:val="none"/>
          <w:lang w:val="en-US" w:eastAsia="zh-CN"/>
        </w:rPr>
        <w:t>九</w:t>
      </w:r>
      <w:r>
        <w:rPr>
          <w:rFonts w:hint="eastAsia" w:ascii="宋体" w:hAnsi="宋体" w:eastAsia="宋体" w:cs="宋体"/>
          <w:b/>
          <w:color w:val="auto"/>
          <w:kern w:val="2"/>
          <w:sz w:val="30"/>
          <w:szCs w:val="30"/>
          <w:highlight w:val="none"/>
        </w:rPr>
        <w:t>、招标文件要求的或供应商认为须提交的其他材料</w:t>
      </w:r>
      <w:bookmarkEnd w:id="300"/>
      <w:bookmarkEnd w:id="301"/>
    </w:p>
    <w:p w14:paraId="1A87C16E">
      <w:pPr>
        <w:spacing w:line="360" w:lineRule="auto"/>
        <w:rPr>
          <w:rFonts w:ascii="宋体" w:hAnsi="宋体" w:eastAsia="宋体" w:cs="宋体"/>
          <w:color w:val="auto"/>
          <w:sz w:val="24"/>
          <w:highlight w:val="none"/>
          <w:shd w:val="clear" w:color="FFFFFF" w:fill="D9D9D9"/>
        </w:rPr>
      </w:pPr>
    </w:p>
    <w:p w14:paraId="29E4DBD1">
      <w:pPr>
        <w:spacing w:line="600" w:lineRule="exact"/>
        <w:ind w:firstLine="480" w:firstLineChars="200"/>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t>招标文件规定的其他资料及供应商认为需要提交的其他材料。</w:t>
      </w:r>
    </w:p>
    <w:p w14:paraId="310B28B8">
      <w:pPr>
        <w:spacing w:line="600" w:lineRule="exact"/>
        <w:ind w:firstLine="600" w:firstLineChars="200"/>
        <w:rPr>
          <w:rFonts w:ascii="仿宋" w:hAnsi="仿宋" w:eastAsia="仿宋" w:cs="仿宋"/>
          <w:color w:val="auto"/>
          <w:sz w:val="30"/>
          <w:szCs w:val="30"/>
          <w:highlight w:val="none"/>
        </w:rPr>
      </w:pPr>
    </w:p>
    <w:p w14:paraId="031E72C0">
      <w:pPr>
        <w:widowControl/>
        <w:spacing w:line="580" w:lineRule="atLeast"/>
        <w:jc w:val="center"/>
        <w:rPr>
          <w:rFonts w:ascii="宋体" w:hAnsi="宋体" w:eastAsia="宋体" w:cs="宋体"/>
          <w:b/>
          <w:color w:val="auto"/>
          <w:kern w:val="0"/>
          <w:sz w:val="32"/>
          <w:szCs w:val="32"/>
          <w:highlight w:val="none"/>
        </w:rPr>
      </w:pPr>
    </w:p>
    <w:p w14:paraId="7583E55D">
      <w:pPr>
        <w:pStyle w:val="38"/>
        <w:rPr>
          <w:rFonts w:ascii="宋体" w:hAnsi="宋体" w:eastAsia="宋体" w:cs="宋体"/>
          <w:b/>
          <w:bCs/>
          <w:color w:val="auto"/>
          <w:kern w:val="0"/>
          <w:sz w:val="32"/>
          <w:szCs w:val="32"/>
          <w:highlight w:val="none"/>
        </w:rPr>
      </w:pPr>
    </w:p>
    <w:p w14:paraId="3A74F00F">
      <w:pPr>
        <w:rPr>
          <w:rFonts w:ascii="宋体" w:hAnsi="宋体" w:eastAsia="宋体" w:cs="宋体"/>
          <w:b/>
          <w:bCs/>
          <w:color w:val="auto"/>
          <w:kern w:val="0"/>
          <w:sz w:val="32"/>
          <w:szCs w:val="32"/>
          <w:highlight w:val="none"/>
        </w:rPr>
      </w:pPr>
    </w:p>
    <w:p w14:paraId="28B8D345">
      <w:pPr>
        <w:pStyle w:val="38"/>
        <w:rPr>
          <w:rFonts w:ascii="宋体" w:hAnsi="宋体" w:eastAsia="宋体" w:cs="宋体"/>
          <w:b/>
          <w:bCs/>
          <w:color w:val="auto"/>
          <w:kern w:val="0"/>
          <w:sz w:val="32"/>
          <w:szCs w:val="32"/>
          <w:highlight w:val="none"/>
        </w:rPr>
      </w:pPr>
    </w:p>
    <w:p w14:paraId="40686303">
      <w:pPr>
        <w:rPr>
          <w:rFonts w:ascii="宋体" w:hAnsi="宋体" w:eastAsia="宋体" w:cs="宋体"/>
          <w:b/>
          <w:bCs/>
          <w:color w:val="auto"/>
          <w:kern w:val="0"/>
          <w:sz w:val="32"/>
          <w:szCs w:val="32"/>
          <w:highlight w:val="none"/>
        </w:rPr>
      </w:pPr>
    </w:p>
    <w:p w14:paraId="6B96F961">
      <w:pPr>
        <w:pStyle w:val="38"/>
        <w:rPr>
          <w:rFonts w:ascii="宋体" w:hAnsi="宋体" w:eastAsia="宋体" w:cs="宋体"/>
          <w:b/>
          <w:bCs/>
          <w:color w:val="auto"/>
          <w:kern w:val="0"/>
          <w:sz w:val="32"/>
          <w:szCs w:val="32"/>
          <w:highlight w:val="none"/>
        </w:rPr>
      </w:pPr>
    </w:p>
    <w:p w14:paraId="129CECF7">
      <w:pPr>
        <w:spacing w:line="440" w:lineRule="exact"/>
        <w:jc w:val="center"/>
        <w:rPr>
          <w:rFonts w:ascii="宋体" w:hAnsi="宋体" w:cs="宋体"/>
          <w:b/>
          <w:color w:val="auto"/>
          <w:sz w:val="36"/>
          <w:szCs w:val="36"/>
          <w:highlight w:val="none"/>
        </w:rPr>
      </w:pPr>
    </w:p>
    <w:p w14:paraId="25DBB732">
      <w:pPr>
        <w:spacing w:line="440" w:lineRule="exact"/>
        <w:jc w:val="center"/>
        <w:rPr>
          <w:rFonts w:ascii="宋体" w:hAnsi="宋体" w:cs="宋体"/>
          <w:b/>
          <w:color w:val="auto"/>
          <w:sz w:val="36"/>
          <w:szCs w:val="36"/>
          <w:highlight w:val="none"/>
        </w:rPr>
      </w:pPr>
      <w:r>
        <w:rPr>
          <w:rFonts w:ascii="宋体" w:hAnsi="宋体" w:cs="宋体"/>
          <w:color w:val="auto"/>
          <w:kern w:val="0"/>
          <w:sz w:val="24"/>
          <w:highlight w:val="none"/>
        </w:rPr>
        <w:br w:type="page"/>
      </w:r>
    </w:p>
    <w:p w14:paraId="3FEB680B">
      <w:pPr>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优化和提升政府采购政策</w:t>
      </w:r>
    </w:p>
    <w:p w14:paraId="25CC7D0A">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一、全面取消采购文件费用和投标保证金费用。</w:t>
      </w:r>
    </w:p>
    <w:p w14:paraId="7F598535">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二、免收履约保证金。确因项目需要的，应以保函等非现金形式收取，比例不得超过合同金额的</w:t>
      </w:r>
      <w:r>
        <w:rPr>
          <w:rFonts w:hint="eastAsia" w:ascii="宋体" w:hAnsi="宋体" w:eastAsia="宋体" w:cs="宋体"/>
          <w:color w:val="auto"/>
          <w:sz w:val="24"/>
          <w:highlight w:val="none"/>
          <w:u w:val="single"/>
        </w:rPr>
        <w:t>6%</w:t>
      </w:r>
      <w:r>
        <w:rPr>
          <w:rFonts w:hint="eastAsia" w:ascii="宋体" w:hAnsi="宋体" w:eastAsia="宋体" w:cs="宋体"/>
          <w:color w:val="auto"/>
          <w:sz w:val="24"/>
          <w:highlight w:val="none"/>
        </w:rPr>
        <w:t>，并按约定的时间和条件退还。</w:t>
      </w:r>
    </w:p>
    <w:p w14:paraId="6C428EF7">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三、评标结果确认时限。自评标（评审）结束后应2个工作日内确定中标供应商，5个工作日内公告结果，同时发送中标通知书。</w:t>
      </w:r>
    </w:p>
    <w:p w14:paraId="5694EE89">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四、合同签订时限。自中标通知书发出之日起</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 xml:space="preserve">日内，按照采购文件和投标文件确定的事项签订政府采购合同。 </w:t>
      </w:r>
    </w:p>
    <w:p w14:paraId="7A477D23">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五、合同公告和备案时限。自合同签订之日起2个工作日内。</w:t>
      </w:r>
    </w:p>
    <w:p w14:paraId="0FB63E07">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六、项目验收。自收到供应商项目验收建议之日起5个工作日内组织验收；验收结束后2个工作日内出具《验收报告》，并在焦作市政府采购网公告验收结果。</w:t>
      </w:r>
    </w:p>
    <w:p w14:paraId="220C277A">
      <w:pPr>
        <w:shd w:val="clear" w:color="auto" w:fill="FFFFFF"/>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七、资金支付。按照合同约定的条件及时支付资金，不得因机构变更、人员更替、政策调整等原因拒绝或延迟资金支付。</w:t>
      </w:r>
    </w:p>
    <w:p w14:paraId="368BD8CD">
      <w:pPr>
        <w:shd w:val="clear" w:color="auto" w:fill="FFFFFF"/>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在政府采购活动中，若发现采购人或采购代理机构未按以上政策执行的，可向监督部门举报反映。</w:t>
      </w:r>
    </w:p>
    <w:p w14:paraId="323D9604">
      <w:pPr>
        <w:shd w:val="clear" w:color="auto" w:fill="FFFFFF"/>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监督单位：博爱县财政局政府采购监督管理办公室</w:t>
      </w:r>
    </w:p>
    <w:p w14:paraId="56DDFBF0">
      <w:pPr>
        <w:shd w:val="clear" w:color="auto" w:fill="FFFFFF"/>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监督电话：0391-8683273</w:t>
      </w:r>
    </w:p>
    <w:p w14:paraId="3026069C">
      <w:pPr>
        <w:shd w:val="clear" w:color="auto" w:fill="FFFFFF"/>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地址：博爱县发展大道188号机关综合办公楼主楼1213室</w:t>
      </w:r>
    </w:p>
    <w:p w14:paraId="7E94A24F">
      <w:pPr>
        <w:spacing w:line="440" w:lineRule="exact"/>
        <w:jc w:val="center"/>
        <w:rPr>
          <w:rFonts w:ascii="宋体" w:hAnsi="宋体" w:cs="宋体"/>
          <w:b/>
          <w:color w:val="auto"/>
          <w:sz w:val="36"/>
          <w:szCs w:val="36"/>
          <w:highlight w:val="none"/>
        </w:rPr>
      </w:pPr>
    </w:p>
    <w:p w14:paraId="1477B31C">
      <w:pPr>
        <w:spacing w:line="440" w:lineRule="exact"/>
        <w:jc w:val="center"/>
        <w:rPr>
          <w:rFonts w:ascii="宋体" w:hAnsi="宋体" w:cs="宋体"/>
          <w:b/>
          <w:color w:val="auto"/>
          <w:sz w:val="36"/>
          <w:szCs w:val="36"/>
          <w:highlight w:val="none"/>
        </w:rPr>
      </w:pPr>
    </w:p>
    <w:p w14:paraId="5F8ED878">
      <w:pPr>
        <w:rPr>
          <w:rFonts w:ascii="宋体" w:hAnsi="宋体" w:cs="宋体"/>
          <w:color w:val="auto"/>
          <w:sz w:val="36"/>
          <w:szCs w:val="36"/>
          <w:highlight w:val="none"/>
        </w:rPr>
      </w:pPr>
    </w:p>
    <w:p w14:paraId="38B6C8B5">
      <w:pPr>
        <w:rPr>
          <w:rFonts w:ascii="宋体" w:hAnsi="宋体" w:cs="宋体"/>
          <w:b/>
          <w:color w:val="auto"/>
          <w:sz w:val="36"/>
          <w:szCs w:val="36"/>
          <w:highlight w:val="none"/>
        </w:rPr>
      </w:pPr>
    </w:p>
    <w:p w14:paraId="0ADE01AE">
      <w:pPr>
        <w:spacing w:line="440" w:lineRule="exact"/>
        <w:jc w:val="center"/>
        <w:rPr>
          <w:rFonts w:ascii="宋体" w:hAnsi="宋体" w:cs="宋体"/>
          <w:b/>
          <w:color w:val="auto"/>
          <w:sz w:val="36"/>
          <w:szCs w:val="36"/>
          <w:highlight w:val="none"/>
        </w:rPr>
      </w:pPr>
    </w:p>
    <w:p w14:paraId="2C0362DE">
      <w:pPr>
        <w:pStyle w:val="4"/>
        <w:spacing w:line="480" w:lineRule="exact"/>
        <w:rPr>
          <w:rFonts w:ascii="宋体" w:hAnsi="宋体" w:cs="宋体"/>
          <w:color w:val="auto"/>
          <w:sz w:val="36"/>
          <w:szCs w:val="36"/>
          <w:highlight w:val="none"/>
        </w:rPr>
      </w:pPr>
      <w:bookmarkStart w:id="302" w:name="_Toc7574"/>
      <w:r>
        <w:rPr>
          <w:rFonts w:hint="eastAsia" w:ascii="宋体" w:hAnsi="宋体" w:cs="宋体"/>
          <w:color w:val="auto"/>
          <w:sz w:val="36"/>
          <w:szCs w:val="36"/>
          <w:highlight w:val="none"/>
        </w:rPr>
        <w:t>河南省政府采购合同融资政策告知函</w:t>
      </w:r>
      <w:bookmarkEnd w:id="302"/>
    </w:p>
    <w:p w14:paraId="7C0CDA41">
      <w:pPr>
        <w:pStyle w:val="4"/>
        <w:spacing w:line="400" w:lineRule="exact"/>
        <w:jc w:val="both"/>
        <w:rPr>
          <w:rFonts w:ascii="宋体" w:hAnsi="宋体" w:cs="宋体"/>
          <w:color w:val="auto"/>
          <w:sz w:val="24"/>
          <w:highlight w:val="none"/>
        </w:rPr>
      </w:pPr>
      <w:bookmarkStart w:id="303" w:name="_Toc4905"/>
      <w:r>
        <w:rPr>
          <w:rFonts w:hint="eastAsia" w:ascii="宋体" w:hAnsi="宋体" w:cs="宋体"/>
          <w:color w:val="auto"/>
          <w:sz w:val="24"/>
          <w:highlight w:val="none"/>
        </w:rPr>
        <w:t>各供应商：</w:t>
      </w:r>
      <w:bookmarkEnd w:id="303"/>
    </w:p>
    <w:p w14:paraId="51B7EA8D">
      <w:pPr>
        <w:pStyle w:val="4"/>
        <w:spacing w:line="400" w:lineRule="exact"/>
        <w:jc w:val="both"/>
        <w:rPr>
          <w:rFonts w:ascii="宋体" w:hAnsi="宋体" w:cs="宋体"/>
          <w:color w:val="auto"/>
          <w:sz w:val="24"/>
          <w:highlight w:val="none"/>
        </w:rPr>
      </w:pPr>
      <w:r>
        <w:rPr>
          <w:rFonts w:hint="eastAsia" w:ascii="宋体" w:hAnsi="宋体" w:cs="宋体"/>
          <w:color w:val="auto"/>
          <w:sz w:val="24"/>
          <w:highlight w:val="none"/>
        </w:rPr>
        <w:t>欢迎贵公司参与河南省政府采购活动！</w:t>
      </w:r>
    </w:p>
    <w:p w14:paraId="52B89D76">
      <w:pPr>
        <w:spacing w:line="400" w:lineRule="exact"/>
        <w:ind w:firstLine="420" w:firstLineChars="175"/>
        <w:rPr>
          <w:rFonts w:ascii="宋体" w:hAnsi="宋体" w:cs="宋体"/>
          <w:bCs/>
          <w:color w:val="auto"/>
          <w:sz w:val="24"/>
          <w:highlight w:val="none"/>
        </w:rPr>
      </w:pPr>
      <w:r>
        <w:rPr>
          <w:rFonts w:hint="eastAsia" w:ascii="宋体" w:hAnsi="宋体" w:cs="宋体"/>
          <w:bCs/>
          <w:color w:val="auto"/>
          <w:sz w:val="24"/>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45865801">
      <w:pPr>
        <w:spacing w:line="400" w:lineRule="exact"/>
        <w:ind w:firstLine="420" w:firstLineChars="175"/>
        <w:rPr>
          <w:rFonts w:ascii="宋体" w:hAnsi="宋体" w:cs="宋体"/>
          <w:bCs/>
          <w:color w:val="auto"/>
          <w:sz w:val="24"/>
          <w:highlight w:val="none"/>
        </w:rPr>
      </w:pPr>
      <w:r>
        <w:rPr>
          <w:rFonts w:hint="eastAsia" w:ascii="宋体" w:hAnsi="宋体" w:cs="宋体"/>
          <w:bCs/>
          <w:color w:val="auto"/>
          <w:sz w:val="24"/>
          <w:highlight w:val="none"/>
        </w:rPr>
        <w:t xml:space="preserve"> 贷款渠道和提供贷款的金融机构，可在河南省政府采购网“河南省政府采购合同融资平台”查询联系。</w:t>
      </w:r>
    </w:p>
    <w:p w14:paraId="5611DDA8">
      <w:pPr>
        <w:spacing w:line="420" w:lineRule="exact"/>
        <w:ind w:firstLine="2168" w:firstLineChars="675"/>
        <w:outlineLvl w:val="0"/>
        <w:rPr>
          <w:rFonts w:ascii="宋体" w:hAnsi="宋体"/>
          <w:b/>
          <w:color w:val="auto"/>
          <w:sz w:val="32"/>
          <w:szCs w:val="32"/>
          <w:highlight w:val="none"/>
        </w:rPr>
      </w:pPr>
      <w:bookmarkStart w:id="304" w:name="_Toc30161"/>
      <w:r>
        <w:rPr>
          <w:rFonts w:hint="eastAsia" w:ascii="宋体" w:hAnsi="宋体"/>
          <w:b/>
          <w:color w:val="auto"/>
          <w:sz w:val="32"/>
          <w:szCs w:val="32"/>
          <w:highlight w:val="none"/>
        </w:rPr>
        <w:t>焦作市政府采购合同融资合作企业</w:t>
      </w:r>
      <w:bookmarkEnd w:id="304"/>
    </w:p>
    <w:tbl>
      <w:tblPr>
        <w:tblStyle w:val="21"/>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6"/>
        <w:gridCol w:w="1280"/>
        <w:gridCol w:w="1933"/>
        <w:gridCol w:w="2689"/>
      </w:tblGrid>
      <w:tr w14:paraId="124D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096" w:type="dxa"/>
            <w:vAlign w:val="center"/>
          </w:tcPr>
          <w:p w14:paraId="7A54AEBD">
            <w:pPr>
              <w:widowControl/>
              <w:tabs>
                <w:tab w:val="left" w:pos="0"/>
              </w:tabs>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名称</w:t>
            </w:r>
          </w:p>
        </w:tc>
        <w:tc>
          <w:tcPr>
            <w:tcW w:w="1280" w:type="dxa"/>
            <w:vAlign w:val="center"/>
          </w:tcPr>
          <w:p w14:paraId="6179ED13">
            <w:pPr>
              <w:widowControl/>
              <w:tabs>
                <w:tab w:val="left" w:pos="0"/>
              </w:tabs>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联系人</w:t>
            </w:r>
          </w:p>
        </w:tc>
        <w:tc>
          <w:tcPr>
            <w:tcW w:w="1933" w:type="dxa"/>
            <w:vAlign w:val="center"/>
          </w:tcPr>
          <w:p w14:paraId="62C4D037">
            <w:pPr>
              <w:widowControl/>
              <w:tabs>
                <w:tab w:val="left" w:pos="0"/>
              </w:tabs>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联系电话</w:t>
            </w:r>
          </w:p>
        </w:tc>
        <w:tc>
          <w:tcPr>
            <w:tcW w:w="2689" w:type="dxa"/>
            <w:vAlign w:val="center"/>
          </w:tcPr>
          <w:p w14:paraId="39F0EEDD">
            <w:pPr>
              <w:widowControl/>
              <w:tabs>
                <w:tab w:val="left" w:pos="0"/>
              </w:tabs>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地址</w:t>
            </w:r>
          </w:p>
        </w:tc>
      </w:tr>
      <w:tr w14:paraId="151B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096" w:type="dxa"/>
            <w:shd w:val="clear" w:color="auto" w:fill="auto"/>
            <w:vAlign w:val="center"/>
          </w:tcPr>
          <w:p w14:paraId="36C83A2F">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中国农业银行股份有限公司焦作分行</w:t>
            </w:r>
          </w:p>
        </w:tc>
        <w:tc>
          <w:tcPr>
            <w:tcW w:w="1280" w:type="dxa"/>
            <w:shd w:val="solid" w:color="FFFFFF" w:fill="auto"/>
            <w:vAlign w:val="center"/>
          </w:tcPr>
          <w:p w14:paraId="09CCB234">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薛国战</w:t>
            </w:r>
          </w:p>
        </w:tc>
        <w:tc>
          <w:tcPr>
            <w:tcW w:w="1933" w:type="dxa"/>
            <w:shd w:val="solid" w:color="FFFFFF" w:fill="auto"/>
            <w:vAlign w:val="center"/>
          </w:tcPr>
          <w:p w14:paraId="4B233F25">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0391-2878039       13839109026</w:t>
            </w:r>
          </w:p>
        </w:tc>
        <w:tc>
          <w:tcPr>
            <w:tcW w:w="2689" w:type="dxa"/>
            <w:shd w:val="solid" w:color="FFFFFF" w:fill="auto"/>
            <w:vAlign w:val="center"/>
          </w:tcPr>
          <w:p w14:paraId="15CC6141">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焦作市民主南路88号</w:t>
            </w:r>
          </w:p>
        </w:tc>
      </w:tr>
      <w:tr w14:paraId="4873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shd w:val="clear" w:color="auto" w:fill="auto"/>
            <w:vAlign w:val="center"/>
          </w:tcPr>
          <w:p w14:paraId="619E81E1">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中国银行股份有限公司焦作分行</w:t>
            </w:r>
          </w:p>
        </w:tc>
        <w:tc>
          <w:tcPr>
            <w:tcW w:w="1280" w:type="dxa"/>
            <w:shd w:val="solid" w:color="FFFFFF" w:fill="auto"/>
            <w:vAlign w:val="center"/>
          </w:tcPr>
          <w:p w14:paraId="641632A1">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曹阳</w:t>
            </w:r>
          </w:p>
        </w:tc>
        <w:tc>
          <w:tcPr>
            <w:tcW w:w="1933" w:type="dxa"/>
            <w:shd w:val="solid" w:color="FFFFFF" w:fill="auto"/>
            <w:vAlign w:val="center"/>
          </w:tcPr>
          <w:p w14:paraId="53AE146E">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0391-8825171  13839118160</w:t>
            </w:r>
          </w:p>
        </w:tc>
        <w:tc>
          <w:tcPr>
            <w:tcW w:w="2689" w:type="dxa"/>
            <w:shd w:val="solid" w:color="FFFFFF" w:fill="auto"/>
            <w:vAlign w:val="center"/>
          </w:tcPr>
          <w:p w14:paraId="73690722">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焦作市丰收路159号</w:t>
            </w:r>
          </w:p>
        </w:tc>
      </w:tr>
      <w:tr w14:paraId="5D7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6" w:type="dxa"/>
            <w:shd w:val="clear" w:color="auto" w:fill="auto"/>
            <w:vAlign w:val="center"/>
          </w:tcPr>
          <w:p w14:paraId="2ABC93DC">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中国建设银行股份有限公司焦作分行</w:t>
            </w:r>
          </w:p>
        </w:tc>
        <w:tc>
          <w:tcPr>
            <w:tcW w:w="1280" w:type="dxa"/>
            <w:shd w:val="clear" w:color="auto" w:fill="auto"/>
            <w:vAlign w:val="center"/>
          </w:tcPr>
          <w:p w14:paraId="6E5A2833">
            <w:pPr>
              <w:widowControl/>
              <w:tabs>
                <w:tab w:val="left" w:pos="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李华莹</w:t>
            </w:r>
          </w:p>
        </w:tc>
        <w:tc>
          <w:tcPr>
            <w:tcW w:w="1933" w:type="dxa"/>
            <w:shd w:val="clear" w:color="auto" w:fill="auto"/>
            <w:vAlign w:val="center"/>
          </w:tcPr>
          <w:p w14:paraId="1C517244">
            <w:pPr>
              <w:widowControl/>
              <w:tabs>
                <w:tab w:val="left" w:pos="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0391-3918471</w:t>
            </w:r>
          </w:p>
        </w:tc>
        <w:tc>
          <w:tcPr>
            <w:tcW w:w="2689" w:type="dxa"/>
            <w:shd w:val="solid" w:color="FFFFFF" w:fill="auto"/>
            <w:vAlign w:val="center"/>
          </w:tcPr>
          <w:p w14:paraId="11B59DA9">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焦作市建设东路152号</w:t>
            </w:r>
          </w:p>
        </w:tc>
      </w:tr>
      <w:tr w14:paraId="4138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shd w:val="clear" w:color="auto" w:fill="auto"/>
            <w:vAlign w:val="center"/>
          </w:tcPr>
          <w:p w14:paraId="08894ADD">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中国邮政储蓄银行股份有限公司焦作市分行</w:t>
            </w:r>
          </w:p>
        </w:tc>
        <w:tc>
          <w:tcPr>
            <w:tcW w:w="1280" w:type="dxa"/>
            <w:shd w:val="solid" w:color="FFFFFF" w:fill="auto"/>
            <w:vAlign w:val="center"/>
          </w:tcPr>
          <w:p w14:paraId="10D79F26">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李天祥</w:t>
            </w:r>
          </w:p>
        </w:tc>
        <w:tc>
          <w:tcPr>
            <w:tcW w:w="1933" w:type="dxa"/>
            <w:shd w:val="solid" w:color="FFFFFF" w:fill="auto"/>
            <w:vAlign w:val="center"/>
          </w:tcPr>
          <w:p w14:paraId="44C56E6B">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0391-2981968 13523359082</w:t>
            </w:r>
          </w:p>
        </w:tc>
        <w:tc>
          <w:tcPr>
            <w:tcW w:w="2689" w:type="dxa"/>
            <w:shd w:val="solid" w:color="FFFFFF" w:fill="auto"/>
            <w:vAlign w:val="center"/>
          </w:tcPr>
          <w:p w14:paraId="1AC8D704">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焦作市丰收中路2233号</w:t>
            </w:r>
          </w:p>
        </w:tc>
      </w:tr>
      <w:tr w14:paraId="26C8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096" w:type="dxa"/>
            <w:shd w:val="clear" w:color="auto" w:fill="auto"/>
            <w:vAlign w:val="center"/>
          </w:tcPr>
          <w:p w14:paraId="5DCCA3BD">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焦作中旅银行股份有限公司</w:t>
            </w:r>
          </w:p>
        </w:tc>
        <w:tc>
          <w:tcPr>
            <w:tcW w:w="1280" w:type="dxa"/>
            <w:shd w:val="solid" w:color="FFFFFF" w:fill="auto"/>
            <w:vAlign w:val="center"/>
          </w:tcPr>
          <w:p w14:paraId="78A79EC3">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周建林</w:t>
            </w:r>
          </w:p>
        </w:tc>
        <w:tc>
          <w:tcPr>
            <w:tcW w:w="1933" w:type="dxa"/>
            <w:shd w:val="solid" w:color="FFFFFF" w:fill="auto"/>
            <w:vAlign w:val="center"/>
          </w:tcPr>
          <w:p w14:paraId="67F94143">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0391-2116963 15893053027 </w:t>
            </w:r>
          </w:p>
        </w:tc>
        <w:tc>
          <w:tcPr>
            <w:tcW w:w="2689" w:type="dxa"/>
            <w:shd w:val="solid" w:color="FFFFFF" w:fill="auto"/>
            <w:vAlign w:val="center"/>
          </w:tcPr>
          <w:p w14:paraId="3C317AE0">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焦作市山阳区迎宾路1号</w:t>
            </w:r>
          </w:p>
        </w:tc>
      </w:tr>
      <w:tr w14:paraId="2A21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096" w:type="dxa"/>
            <w:shd w:val="clear" w:color="auto" w:fill="auto"/>
            <w:vAlign w:val="center"/>
          </w:tcPr>
          <w:p w14:paraId="7C0BFC04">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中信银行股份有限公司焦作分行</w:t>
            </w:r>
          </w:p>
        </w:tc>
        <w:tc>
          <w:tcPr>
            <w:tcW w:w="1280" w:type="dxa"/>
            <w:shd w:val="clear" w:color="auto" w:fill="auto"/>
            <w:vAlign w:val="center"/>
          </w:tcPr>
          <w:p w14:paraId="0F22610D">
            <w:pPr>
              <w:widowControl/>
              <w:tabs>
                <w:tab w:val="left" w:pos="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周江江</w:t>
            </w:r>
          </w:p>
        </w:tc>
        <w:tc>
          <w:tcPr>
            <w:tcW w:w="1933" w:type="dxa"/>
            <w:shd w:val="clear" w:color="auto" w:fill="auto"/>
            <w:vAlign w:val="center"/>
          </w:tcPr>
          <w:p w14:paraId="3D9CF103">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17639185001</w:t>
            </w:r>
          </w:p>
        </w:tc>
        <w:tc>
          <w:tcPr>
            <w:tcW w:w="2689" w:type="dxa"/>
            <w:shd w:val="solid" w:color="FFFFFF" w:fill="auto"/>
            <w:vAlign w:val="center"/>
          </w:tcPr>
          <w:p w14:paraId="5FDB5D5F">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焦作市塔南路1736号嘉隆国际中心</w:t>
            </w:r>
          </w:p>
        </w:tc>
      </w:tr>
      <w:tr w14:paraId="78CD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96" w:type="dxa"/>
            <w:shd w:val="clear" w:color="auto" w:fill="auto"/>
            <w:vAlign w:val="center"/>
          </w:tcPr>
          <w:p w14:paraId="6F67FFF4">
            <w:pPr>
              <w:widowControl/>
              <w:tabs>
                <w:tab w:val="left" w:pos="0"/>
              </w:tabs>
              <w:spacing w:line="360" w:lineRule="exact"/>
              <w:rPr>
                <w:rFonts w:ascii="宋体" w:hAnsi="宋体" w:cs="宋体"/>
                <w:color w:val="auto"/>
                <w:sz w:val="24"/>
                <w:highlight w:val="none"/>
              </w:rPr>
            </w:pPr>
            <w:r>
              <w:rPr>
                <w:rFonts w:hint="eastAsia" w:ascii="宋体" w:hAnsi="宋体" w:cs="宋体"/>
                <w:bCs/>
                <w:color w:val="auto"/>
                <w:sz w:val="24"/>
                <w:highlight w:val="none"/>
              </w:rPr>
              <w:t>中国光大银行股份有限公司焦作分行</w:t>
            </w:r>
          </w:p>
        </w:tc>
        <w:tc>
          <w:tcPr>
            <w:tcW w:w="1280" w:type="dxa"/>
            <w:shd w:val="solid" w:color="FFFFFF" w:fill="auto"/>
            <w:vAlign w:val="center"/>
          </w:tcPr>
          <w:p w14:paraId="2AAEF6A4">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王海宾</w:t>
            </w:r>
          </w:p>
        </w:tc>
        <w:tc>
          <w:tcPr>
            <w:tcW w:w="1933" w:type="dxa"/>
            <w:shd w:val="solid" w:color="FFFFFF" w:fill="auto"/>
            <w:vAlign w:val="center"/>
          </w:tcPr>
          <w:p w14:paraId="29092E34">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0391-8787996 13598534626</w:t>
            </w:r>
          </w:p>
        </w:tc>
        <w:tc>
          <w:tcPr>
            <w:tcW w:w="2689" w:type="dxa"/>
            <w:shd w:val="solid" w:color="FFFFFF" w:fill="auto"/>
            <w:vAlign w:val="center"/>
          </w:tcPr>
          <w:p w14:paraId="6C23506E">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焦作市塔南路1736号</w:t>
            </w:r>
          </w:p>
        </w:tc>
      </w:tr>
      <w:tr w14:paraId="01D9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096" w:type="dxa"/>
            <w:shd w:val="clear" w:color="auto" w:fill="auto"/>
            <w:vAlign w:val="center"/>
          </w:tcPr>
          <w:p w14:paraId="13A99985">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中原银行股份有限公司焦作分行</w:t>
            </w:r>
          </w:p>
        </w:tc>
        <w:tc>
          <w:tcPr>
            <w:tcW w:w="1280" w:type="dxa"/>
            <w:shd w:val="solid" w:color="FFFFFF" w:fill="auto"/>
            <w:vAlign w:val="center"/>
          </w:tcPr>
          <w:p w14:paraId="5D63AB65">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赵伟</w:t>
            </w:r>
          </w:p>
        </w:tc>
        <w:tc>
          <w:tcPr>
            <w:tcW w:w="1933" w:type="dxa"/>
            <w:shd w:val="solid" w:color="FFFFFF" w:fill="auto"/>
            <w:vAlign w:val="center"/>
          </w:tcPr>
          <w:p w14:paraId="2F6DBD93">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0391-8796520 15738533033</w:t>
            </w:r>
          </w:p>
        </w:tc>
        <w:tc>
          <w:tcPr>
            <w:tcW w:w="2689" w:type="dxa"/>
            <w:shd w:val="solid" w:color="FFFFFF" w:fill="auto"/>
            <w:vAlign w:val="center"/>
          </w:tcPr>
          <w:p w14:paraId="5F243BD7">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焦作市解放区人民路479号</w:t>
            </w:r>
          </w:p>
        </w:tc>
      </w:tr>
      <w:tr w14:paraId="467C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96" w:type="dxa"/>
            <w:shd w:val="clear" w:color="auto" w:fill="auto"/>
            <w:vAlign w:val="center"/>
          </w:tcPr>
          <w:p w14:paraId="0645AFBB">
            <w:pPr>
              <w:widowControl/>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广发银行股份有限公司焦作分行</w:t>
            </w:r>
          </w:p>
        </w:tc>
        <w:tc>
          <w:tcPr>
            <w:tcW w:w="1280" w:type="dxa"/>
            <w:shd w:val="solid" w:color="FFFFFF" w:fill="auto"/>
            <w:vAlign w:val="center"/>
          </w:tcPr>
          <w:p w14:paraId="063D0A54">
            <w:pPr>
              <w:shd w:val="solid" w:color="FFFFFF" w:fill="auto"/>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shd w:val="clear" w:color="auto" w:fill="FFFFFF"/>
              </w:rPr>
              <w:t>张嘉强</w:t>
            </w:r>
          </w:p>
        </w:tc>
        <w:tc>
          <w:tcPr>
            <w:tcW w:w="1933" w:type="dxa"/>
            <w:shd w:val="solid" w:color="FFFFFF" w:fill="auto"/>
            <w:vAlign w:val="center"/>
          </w:tcPr>
          <w:p w14:paraId="0554ED8E">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0391-653785 13203910032</w:t>
            </w:r>
          </w:p>
        </w:tc>
        <w:tc>
          <w:tcPr>
            <w:tcW w:w="2689" w:type="dxa"/>
            <w:shd w:val="solid" w:color="FFFFFF" w:fill="auto"/>
            <w:vAlign w:val="center"/>
          </w:tcPr>
          <w:p w14:paraId="30E2A1BA">
            <w:pPr>
              <w:shd w:val="solid" w:color="FFFFFF" w:fill="auto"/>
              <w:autoSpaceDN w:val="0"/>
              <w:jc w:val="center"/>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焦作市塔南路1736号嘉隆金融中心</w:t>
            </w:r>
          </w:p>
        </w:tc>
      </w:tr>
    </w:tbl>
    <w:p w14:paraId="55A160BF">
      <w:pPr>
        <w:rPr>
          <w:rFonts w:ascii="宋体" w:hAnsi="宋体" w:cs="宋体"/>
          <w:color w:val="auto"/>
          <w:sz w:val="24"/>
          <w:highlight w:val="none"/>
        </w:rPr>
      </w:pPr>
      <w:r>
        <w:rPr>
          <w:rFonts w:hint="eastAsia" w:ascii="宋体" w:hAnsi="宋体" w:cs="宋体"/>
          <w:color w:val="auto"/>
          <w:sz w:val="24"/>
          <w:highlight w:val="none"/>
        </w:rPr>
        <w:t>备注：融资服务机构名单和人员联系方式会随时变化。具体情况可登录“焦作市政府采购网”政府采购合同融资平台查询</w:t>
      </w:r>
    </w:p>
    <w:sectPr>
      <w:headerReference r:id="rId5" w:type="default"/>
      <w:footerReference r:id="rId6" w:type="default"/>
      <w:pgSz w:w="11907" w:h="16840"/>
      <w:pgMar w:top="1276" w:right="1117" w:bottom="1417" w:left="913" w:header="850" w:footer="998" w:gutter="0"/>
      <w:pgNumType w:fmt="numberInDash"/>
      <w:cols w:space="72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auto"/>
    <w:pitch w:val="default"/>
    <w:sig w:usb0="00000000" w:usb1="00000000" w:usb2="00000000" w:usb3="00000000" w:csb0="2000009F" w:csb1="DFD7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1009">
    <w:pPr>
      <w:pStyle w:val="16"/>
      <w:pBdr>
        <w:bottom w:val="thinThickMediumGap" w:color="auto" w:sz="18" w:space="1"/>
      </w:pBdr>
    </w:pPr>
  </w:p>
  <w:p w14:paraId="0C216B84">
    <w:pPr>
      <w:pStyle w:val="15"/>
      <w:wordWrap w:val="0"/>
      <w:jc w:val="right"/>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2296">
    <w:pPr>
      <w:pStyle w:val="15"/>
    </w:pPr>
    <w:r>
      <w:rPr>
        <w:rFonts w:ascii="Times New Roman" w:hAnsi="Times New Roman" w:eastAsia="宋体" w:cs="Times New Roman"/>
        <w:kern w:val="2"/>
        <w:sz w:val="18"/>
        <w:szCs w:val="18"/>
        <w:lang w:val="en-US" w:eastAsia="zh-CN" w:bidi="ar-SA"/>
      </w:rPr>
      <w:pict>
        <v:rect id="文本框 17" o:spid="_x0000_s4097"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C005CE1">
                <w:pPr>
                  <w:pStyle w:val="15"/>
                </w:pPr>
                <w:r>
                  <w:fldChar w:fldCharType="begin"/>
                </w:r>
                <w:r>
                  <w:instrText xml:space="preserve"> PAGE  \* MERGEFORMAT </w:instrText>
                </w:r>
                <w:r>
                  <w:fldChar w:fldCharType="separate"/>
                </w:r>
                <w:r>
                  <w:t>30</w:t>
                </w:r>
                <w:r>
                  <w:fldChar w:fldCharType="end"/>
                </w:r>
              </w:p>
            </w:txbxContent>
          </v:textbox>
        </v:rect>
      </w:pict>
    </w:r>
    <w:r>
      <w:rPr>
        <w:rFonts w:ascii="Times New Roman" w:hAnsi="Times New Roman" w:eastAsia="宋体" w:cs="Times New Roman"/>
        <w:kern w:val="2"/>
        <w:sz w:val="18"/>
        <w:szCs w:val="18"/>
        <w:lang w:val="en-US" w:eastAsia="zh-CN" w:bidi="ar-SA"/>
      </w:rPr>
      <w:pict>
        <v:rect id="文本框 18"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547D659">
                <w:pPr>
                  <w:pStyle w:val="15"/>
                </w:pPr>
              </w:p>
              <w:p w14:paraId="1704549A">
                <w:pPr>
                  <w:pStyle w:val="15"/>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64B6">
    <w:pPr>
      <w:pStyle w:val="15"/>
      <w:rPr>
        <w:sz w:val="16"/>
        <w:szCs w:val="22"/>
      </w:rPr>
    </w:pPr>
    <w:r>
      <w:rPr>
        <w:rFonts w:ascii="Times New Roman" w:hAnsi="Times New Roman" w:eastAsia="宋体" w:cs="Times New Roman"/>
        <w:kern w:val="2"/>
        <w:sz w:val="20"/>
        <w:szCs w:val="22"/>
        <w:lang w:val="en-US" w:eastAsia="zh-CN" w:bidi="ar-SA"/>
      </w:rPr>
      <w:pict>
        <v:rect id="文本框 3" o:spid="_x0000_s4099" o:spt="1" style="position:absolute;left:0pt;margin-top:0pt;height:10.35pt;width:1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39493DE">
                <w:pPr>
                  <w:pStyle w:val="15"/>
                </w:pPr>
                <w:r>
                  <w:fldChar w:fldCharType="begin"/>
                </w:r>
                <w:r>
                  <w:instrText xml:space="preserve"> PAGE  \* MERGEFORMAT </w:instrText>
                </w:r>
                <w:r>
                  <w:fldChar w:fldCharType="separate"/>
                </w:r>
                <w:r>
                  <w:t>- 23 -</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A6FC">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039FA"/>
    <w:multiLevelType w:val="singleLevel"/>
    <w:tmpl w:val="9FB039FA"/>
    <w:lvl w:ilvl="0" w:tentative="0">
      <w:start w:val="2"/>
      <w:numFmt w:val="chineseCounting"/>
      <w:suff w:val="nothing"/>
      <w:lvlText w:val="%1、"/>
      <w:lvlJc w:val="left"/>
      <w:rPr>
        <w:rFonts w:hint="eastAsia"/>
      </w:rPr>
    </w:lvl>
  </w:abstractNum>
  <w:abstractNum w:abstractNumId="1">
    <w:nsid w:val="A2C6ACF8"/>
    <w:multiLevelType w:val="singleLevel"/>
    <w:tmpl w:val="A2C6ACF8"/>
    <w:lvl w:ilvl="0" w:tentative="0">
      <w:start w:val="1"/>
      <w:numFmt w:val="decimal"/>
      <w:suff w:val="nothing"/>
      <w:lvlText w:val="（%1）"/>
      <w:lvlJc w:val="left"/>
      <w:pPr>
        <w:ind w:left="420" w:firstLine="0"/>
      </w:pPr>
      <w:rPr>
        <w:rFonts w:hint="default"/>
        <w:b w:val="0"/>
        <w:bCs w:val="0"/>
      </w:rPr>
    </w:lvl>
  </w:abstractNum>
  <w:abstractNum w:abstractNumId="2">
    <w:nsid w:val="A58974FB"/>
    <w:multiLevelType w:val="singleLevel"/>
    <w:tmpl w:val="A58974FB"/>
    <w:lvl w:ilvl="0" w:tentative="0">
      <w:start w:val="1"/>
      <w:numFmt w:val="decimal"/>
      <w:suff w:val="space"/>
      <w:lvlText w:val="%1."/>
      <w:lvlJc w:val="left"/>
    </w:lvl>
  </w:abstractNum>
  <w:abstractNum w:abstractNumId="3">
    <w:nsid w:val="B940B7CB"/>
    <w:multiLevelType w:val="singleLevel"/>
    <w:tmpl w:val="B940B7CB"/>
    <w:lvl w:ilvl="0" w:tentative="0">
      <w:start w:val="3"/>
      <w:numFmt w:val="decimal"/>
      <w:suff w:val="nothing"/>
      <w:lvlText w:val="%1、"/>
      <w:lvlJc w:val="left"/>
    </w:lvl>
  </w:abstractNum>
  <w:abstractNum w:abstractNumId="4">
    <w:nsid w:val="C8A1EB61"/>
    <w:multiLevelType w:val="singleLevel"/>
    <w:tmpl w:val="C8A1EB61"/>
    <w:lvl w:ilvl="0" w:tentative="0">
      <w:start w:val="8"/>
      <w:numFmt w:val="chineseCounting"/>
      <w:suff w:val="space"/>
      <w:lvlText w:val="第%1章"/>
      <w:lvlJc w:val="left"/>
      <w:rPr>
        <w:rFonts w:hint="eastAsia"/>
      </w:rPr>
    </w:lvl>
  </w:abstractNum>
  <w:abstractNum w:abstractNumId="5">
    <w:nsid w:val="F81E0CCD"/>
    <w:multiLevelType w:val="singleLevel"/>
    <w:tmpl w:val="F81E0CCD"/>
    <w:lvl w:ilvl="0" w:tentative="0">
      <w:start w:val="1"/>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2E675402"/>
    <w:multiLevelType w:val="singleLevel"/>
    <w:tmpl w:val="2E675402"/>
    <w:lvl w:ilvl="0" w:tentative="0">
      <w:start w:val="1"/>
      <w:numFmt w:val="chineseCounting"/>
      <w:suff w:val="nothing"/>
      <w:lvlText w:val="（%1）"/>
      <w:lvlJc w:val="left"/>
      <w:rPr>
        <w:rFonts w:hint="eastAsia"/>
      </w:rPr>
    </w:lvl>
  </w:abstractNum>
  <w:abstractNum w:abstractNumId="9">
    <w:nsid w:val="45B1F745"/>
    <w:multiLevelType w:val="singleLevel"/>
    <w:tmpl w:val="45B1F745"/>
    <w:lvl w:ilvl="0" w:tentative="0">
      <w:start w:val="1"/>
      <w:numFmt w:val="decimal"/>
      <w:lvlText w:val="%1."/>
      <w:lvlJc w:val="left"/>
      <w:pPr>
        <w:tabs>
          <w:tab w:val="left" w:pos="312"/>
        </w:tabs>
      </w:pPr>
    </w:lvl>
  </w:abstractNum>
  <w:abstractNum w:abstractNumId="10">
    <w:nsid w:val="59CCA2E1"/>
    <w:multiLevelType w:val="singleLevel"/>
    <w:tmpl w:val="59CCA2E1"/>
    <w:lvl w:ilvl="0" w:tentative="0">
      <w:start w:val="1"/>
      <w:numFmt w:val="decimal"/>
      <w:suff w:val="nothing"/>
      <w:lvlText w:val="（%1）"/>
      <w:lvlJc w:val="left"/>
    </w:lvl>
  </w:abstractNum>
  <w:abstractNum w:abstractNumId="11">
    <w:nsid w:val="5A693C2F"/>
    <w:multiLevelType w:val="singleLevel"/>
    <w:tmpl w:val="5A693C2F"/>
    <w:lvl w:ilvl="0" w:tentative="0">
      <w:start w:val="3"/>
      <w:numFmt w:val="chineseCounting"/>
      <w:suff w:val="space"/>
      <w:lvlText w:val="第%1章"/>
      <w:lvlJc w:val="left"/>
    </w:lvl>
  </w:abstractNum>
  <w:abstractNum w:abstractNumId="12">
    <w:nsid w:val="5CB206B3"/>
    <w:multiLevelType w:val="singleLevel"/>
    <w:tmpl w:val="5CB206B3"/>
    <w:lvl w:ilvl="0" w:tentative="0">
      <w:start w:val="1"/>
      <w:numFmt w:val="chineseCounting"/>
      <w:suff w:val="nothing"/>
      <w:lvlText w:val="%1、"/>
      <w:lvlJc w:val="left"/>
      <w:rPr>
        <w:rFonts w:hint="eastAsia"/>
      </w:rPr>
    </w:lvl>
  </w:abstractNum>
  <w:abstractNum w:abstractNumId="13">
    <w:nsid w:val="75324FB0"/>
    <w:multiLevelType w:val="singleLevel"/>
    <w:tmpl w:val="75324FB0"/>
    <w:lvl w:ilvl="0" w:tentative="0">
      <w:start w:val="1"/>
      <w:numFmt w:val="chineseCounting"/>
      <w:suff w:val="space"/>
      <w:lvlText w:val="第%1章"/>
      <w:lvlJc w:val="left"/>
      <w:pPr>
        <w:ind w:left="630"/>
      </w:pPr>
      <w:rPr>
        <w:rFonts w:hint="eastAsia"/>
      </w:rPr>
    </w:lvl>
  </w:abstractNum>
  <w:num w:numId="1">
    <w:abstractNumId w:val="3"/>
  </w:num>
  <w:num w:numId="2">
    <w:abstractNumId w:val="1"/>
  </w:num>
  <w:num w:numId="3">
    <w:abstractNumId w:val="13"/>
  </w:num>
  <w:num w:numId="4">
    <w:abstractNumId w:val="6"/>
  </w:num>
  <w:num w:numId="5">
    <w:abstractNumId w:val="11"/>
  </w:num>
  <w:num w:numId="6">
    <w:abstractNumId w:val="9"/>
  </w:num>
  <w:num w:numId="7">
    <w:abstractNumId w:val="5"/>
  </w:num>
  <w:num w:numId="8">
    <w:abstractNumId w:val="12"/>
  </w:num>
  <w:num w:numId="9">
    <w:abstractNumId w:val="7"/>
  </w:num>
  <w:num w:numId="10">
    <w:abstractNumId w:val="2"/>
  </w:num>
  <w:num w:numId="11">
    <w:abstractNumId w:val="4"/>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AD1D77"/>
    <w:rsid w:val="0436780B"/>
    <w:rsid w:val="04BD1B14"/>
    <w:rsid w:val="050C7F23"/>
    <w:rsid w:val="051F459A"/>
    <w:rsid w:val="05AE724D"/>
    <w:rsid w:val="07056484"/>
    <w:rsid w:val="075B283B"/>
    <w:rsid w:val="077A591B"/>
    <w:rsid w:val="079A3AB1"/>
    <w:rsid w:val="09C0632E"/>
    <w:rsid w:val="0E6A6868"/>
    <w:rsid w:val="0EF600FC"/>
    <w:rsid w:val="163D12A9"/>
    <w:rsid w:val="163E1733"/>
    <w:rsid w:val="16946B78"/>
    <w:rsid w:val="17996925"/>
    <w:rsid w:val="1AF85387"/>
    <w:rsid w:val="1DFE712B"/>
    <w:rsid w:val="21516354"/>
    <w:rsid w:val="21751354"/>
    <w:rsid w:val="21F93D33"/>
    <w:rsid w:val="23384D2F"/>
    <w:rsid w:val="239121A2"/>
    <w:rsid w:val="24A36BE8"/>
    <w:rsid w:val="24A51F50"/>
    <w:rsid w:val="273D1FEC"/>
    <w:rsid w:val="277078FF"/>
    <w:rsid w:val="281126A6"/>
    <w:rsid w:val="29AA1DB7"/>
    <w:rsid w:val="29C15A7E"/>
    <w:rsid w:val="2C3951D5"/>
    <w:rsid w:val="2E0A72C8"/>
    <w:rsid w:val="2E4861A3"/>
    <w:rsid w:val="2FEF6776"/>
    <w:rsid w:val="30C45E54"/>
    <w:rsid w:val="30F5383E"/>
    <w:rsid w:val="31C34C45"/>
    <w:rsid w:val="32104622"/>
    <w:rsid w:val="32475CBA"/>
    <w:rsid w:val="32581039"/>
    <w:rsid w:val="3330157F"/>
    <w:rsid w:val="3509652C"/>
    <w:rsid w:val="362D1D88"/>
    <w:rsid w:val="36733BBB"/>
    <w:rsid w:val="36E43241"/>
    <w:rsid w:val="3BD47340"/>
    <w:rsid w:val="3C530CB6"/>
    <w:rsid w:val="3C7A386B"/>
    <w:rsid w:val="402204A1"/>
    <w:rsid w:val="40C559FD"/>
    <w:rsid w:val="41F17B54"/>
    <w:rsid w:val="41FF230A"/>
    <w:rsid w:val="454B049A"/>
    <w:rsid w:val="45621508"/>
    <w:rsid w:val="45782AFB"/>
    <w:rsid w:val="47242D51"/>
    <w:rsid w:val="472955DD"/>
    <w:rsid w:val="47583A9C"/>
    <w:rsid w:val="47650557"/>
    <w:rsid w:val="476C5D1B"/>
    <w:rsid w:val="47CE50F6"/>
    <w:rsid w:val="4883053F"/>
    <w:rsid w:val="4C420036"/>
    <w:rsid w:val="4C813624"/>
    <w:rsid w:val="4CAC181F"/>
    <w:rsid w:val="4D0B0C3B"/>
    <w:rsid w:val="4DE659BF"/>
    <w:rsid w:val="4EBB3F9B"/>
    <w:rsid w:val="4FA72771"/>
    <w:rsid w:val="50564861"/>
    <w:rsid w:val="50C5735A"/>
    <w:rsid w:val="50F9524E"/>
    <w:rsid w:val="51371CAC"/>
    <w:rsid w:val="52905E25"/>
    <w:rsid w:val="55D13549"/>
    <w:rsid w:val="56B06503"/>
    <w:rsid w:val="579932E7"/>
    <w:rsid w:val="57F426F9"/>
    <w:rsid w:val="584E40D2"/>
    <w:rsid w:val="5A193F92"/>
    <w:rsid w:val="5BB9611A"/>
    <w:rsid w:val="5C6C4B26"/>
    <w:rsid w:val="5C744DA8"/>
    <w:rsid w:val="5DE42392"/>
    <w:rsid w:val="5EC62C14"/>
    <w:rsid w:val="5FC10FB8"/>
    <w:rsid w:val="602D6CC3"/>
    <w:rsid w:val="60C211B9"/>
    <w:rsid w:val="61406582"/>
    <w:rsid w:val="61AA2758"/>
    <w:rsid w:val="65717652"/>
    <w:rsid w:val="68D772EA"/>
    <w:rsid w:val="6B7E15F6"/>
    <w:rsid w:val="6C313697"/>
    <w:rsid w:val="6D286848"/>
    <w:rsid w:val="6D605FE2"/>
    <w:rsid w:val="6E3000AA"/>
    <w:rsid w:val="6F221450"/>
    <w:rsid w:val="71C8684B"/>
    <w:rsid w:val="72EC118F"/>
    <w:rsid w:val="731C46D5"/>
    <w:rsid w:val="73F505DC"/>
    <w:rsid w:val="74257F85"/>
    <w:rsid w:val="75736ACE"/>
    <w:rsid w:val="760616F0"/>
    <w:rsid w:val="76BB34E6"/>
    <w:rsid w:val="77C1686A"/>
    <w:rsid w:val="78160310"/>
    <w:rsid w:val="7A561865"/>
    <w:rsid w:val="7AF91823"/>
    <w:rsid w:val="7B0069F9"/>
    <w:rsid w:val="7B827A6B"/>
    <w:rsid w:val="7D826040"/>
    <w:rsid w:val="7DE06C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character" w:default="1" w:styleId="23">
    <w:name w:val="Default Paragraph Font"/>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qFormat/>
    <w:uiPriority w:val="0"/>
    <w:pPr>
      <w:spacing w:line="400" w:lineRule="exact"/>
    </w:pPr>
    <w:rPr>
      <w:sz w:val="24"/>
    </w:rPr>
  </w:style>
  <w:style w:type="paragraph" w:customStyle="1" w:styleId="3">
    <w:name w:val="TOC Heading1"/>
    <w:next w:val="1"/>
    <w:qFormat/>
    <w:uiPriority w:val="0"/>
    <w:pPr>
      <w:wordWrap w:val="0"/>
    </w:pPr>
    <w:rPr>
      <w:rFonts w:ascii="Calibri" w:hAnsi="Calibri" w:eastAsia="宋体" w:cs="Times New Roman"/>
      <w:sz w:val="32"/>
      <w:szCs w:val="22"/>
      <w:lang w:val="en-US" w:eastAsia="zh-CN" w:bidi="ar-SA"/>
    </w:rPr>
  </w:style>
  <w:style w:type="paragraph" w:styleId="6">
    <w:name w:val="Normal Indent"/>
    <w:basedOn w:val="1"/>
    <w:unhideWhenUsed/>
    <w:qFormat/>
    <w:uiPriority w:val="99"/>
    <w:pPr>
      <w:ind w:firstLine="420"/>
    </w:pPr>
    <w:rPr>
      <w:rFonts w:ascii="Calibri" w:hAnsi="Calibri"/>
      <w:szCs w:val="20"/>
    </w:rPr>
  </w:style>
  <w:style w:type="paragraph" w:styleId="7">
    <w:name w:val="toa heading"/>
    <w:basedOn w:val="1"/>
    <w:next w:val="1"/>
    <w:unhideWhenUsed/>
    <w:qFormat/>
    <w:uiPriority w:val="99"/>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3"/>
    <w:basedOn w:val="1"/>
    <w:unhideWhenUsed/>
    <w:qFormat/>
    <w:uiPriority w:val="0"/>
    <w:pPr>
      <w:spacing w:after="120"/>
    </w:pPr>
    <w:rPr>
      <w:rFonts w:ascii="Times New Roman" w:hAnsi="Times New Roman"/>
      <w:sz w:val="16"/>
      <w:szCs w:val="16"/>
    </w:rPr>
  </w:style>
  <w:style w:type="paragraph" w:styleId="10">
    <w:name w:val="Body Text"/>
    <w:basedOn w:val="1"/>
    <w:next w:val="11"/>
    <w:qFormat/>
    <w:uiPriority w:val="0"/>
    <w:rPr>
      <w:rFonts w:ascii="Times New Roman" w:hAnsi="Times New Roman"/>
    </w:rPr>
  </w:style>
  <w:style w:type="paragraph" w:styleId="11">
    <w:name w:val="Body Text 2"/>
    <w:basedOn w:val="1"/>
    <w:next w:val="1"/>
    <w:unhideWhenUsed/>
    <w:qFormat/>
    <w:uiPriority w:val="0"/>
    <w:pPr>
      <w:spacing w:after="120" w:line="480" w:lineRule="auto"/>
    </w:pPr>
    <w:rPr>
      <w:rFonts w:ascii="Times New Roman" w:hAnsi="Times New Roman"/>
    </w:rPr>
  </w:style>
  <w:style w:type="paragraph" w:styleId="12">
    <w:name w:val="Body Text Indent"/>
    <w:basedOn w:val="1"/>
    <w:next w:val="13"/>
    <w:qFormat/>
    <w:uiPriority w:val="0"/>
    <w:pPr>
      <w:ind w:firstLine="560" w:firstLineChars="200"/>
    </w:pPr>
    <w:rPr>
      <w:rFonts w:ascii="Times New Roman" w:hAnsi="Times New Roman"/>
    </w:rPr>
  </w:style>
  <w:style w:type="paragraph" w:styleId="13">
    <w:name w:val="envelope return"/>
    <w:basedOn w:val="1"/>
    <w:qFormat/>
    <w:uiPriority w:val="99"/>
    <w:pPr>
      <w:snapToGrid w:val="0"/>
    </w:pPr>
    <w:rPr>
      <w:rFonts w:ascii="Arial" w:hAnsi="Arial" w:cs="Arial"/>
    </w:rPr>
  </w:style>
  <w:style w:type="paragraph" w:styleId="14">
    <w:name w:val="Plain Text"/>
    <w:basedOn w:val="1"/>
    <w:next w:val="10"/>
    <w:qFormat/>
    <w:uiPriority w:val="0"/>
    <w:rPr>
      <w:rFonts w:hint="eastAsia" w:ascii="宋体" w:hAnsi="Courier New"/>
      <w:szCs w:val="21"/>
    </w:rPr>
  </w:style>
  <w:style w:type="paragraph" w:styleId="1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Calibri Light" w:hAnsi="Calibri Light" w:eastAsia="Calibri Light"/>
      <w:b/>
      <w:sz w:val="32"/>
      <w:szCs w:val="32"/>
    </w:rPr>
  </w:style>
  <w:style w:type="paragraph" w:styleId="19">
    <w:name w:val="Body Text First Indent"/>
    <w:basedOn w:val="10"/>
    <w:next w:val="20"/>
    <w:unhideWhenUsed/>
    <w:qFormat/>
    <w:uiPriority w:val="0"/>
    <w:pPr>
      <w:ind w:firstLine="420" w:firstLineChars="100"/>
    </w:pPr>
    <w:rPr>
      <w:rFonts w:hint="eastAsia" w:ascii="楷体_GB2312" w:eastAsia="楷体_GB2312"/>
      <w:sz w:val="32"/>
    </w:rPr>
  </w:style>
  <w:style w:type="paragraph" w:styleId="20">
    <w:name w:val="Body Text First Indent 2"/>
    <w:basedOn w:val="12"/>
    <w:next w:val="1"/>
    <w:qFormat/>
    <w:uiPriority w:val="0"/>
    <w:pPr>
      <w:ind w:firstLine="420"/>
    </w:p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qFormat/>
    <w:uiPriority w:val="99"/>
    <w:rPr>
      <w:rFonts w:cs="Times New Roman"/>
      <w:color w:val="0000FF"/>
      <w:u w:val="single"/>
    </w:rPr>
  </w:style>
  <w:style w:type="paragraph" w:customStyle="1" w:styleId="26">
    <w:name w:val="Default"/>
    <w:basedOn w:val="14"/>
    <w:qFormat/>
    <w:uiPriority w:val="0"/>
    <w:pPr>
      <w:autoSpaceDE w:val="0"/>
      <w:autoSpaceDN w:val="0"/>
      <w:adjustRightInd w:val="0"/>
      <w:jc w:val="left"/>
    </w:pPr>
    <w:rPr>
      <w:rFonts w:hint="eastAsia" w:ascii="宋体" w:hAnsi="Calibri"/>
      <w:color w:val="000000"/>
      <w:kern w:val="0"/>
      <w:sz w:val="24"/>
    </w:rPr>
  </w:style>
  <w:style w:type="paragraph" w:customStyle="1" w:styleId="27">
    <w:name w:val="正文 A"/>
    <w:next w:val="26"/>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 w:type="paragraph" w:customStyle="1" w:styleId="30">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表格文字"/>
    <w:basedOn w:val="1"/>
    <w:next w:val="1"/>
    <w:qFormat/>
    <w:uiPriority w:val="0"/>
    <w:pPr>
      <w:adjustRightInd w:val="0"/>
      <w:spacing w:line="420" w:lineRule="atLeast"/>
      <w:jc w:val="left"/>
      <w:textAlignment w:val="baseline"/>
    </w:pPr>
    <w:rPr>
      <w:kern w:val="0"/>
    </w:rPr>
  </w:style>
  <w:style w:type="paragraph" w:customStyle="1" w:styleId="32">
    <w:name w:val="p0"/>
    <w:basedOn w:val="33"/>
    <w:qFormat/>
    <w:uiPriority w:val="0"/>
    <w:pPr>
      <w:widowControl/>
    </w:pPr>
    <w:rPr>
      <w:kern w:val="0"/>
      <w:szCs w:val="21"/>
    </w:rPr>
  </w:style>
  <w:style w:type="paragraph" w:customStyle="1" w:styleId="33">
    <w:name w:val="正文1"/>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qFormat/>
    <w:uiPriority w:val="99"/>
    <w:rPr>
      <w:rFonts w:eastAsia="楷体_GB2312"/>
      <w:sz w:val="28"/>
    </w:rPr>
  </w:style>
  <w:style w:type="paragraph" w:customStyle="1" w:styleId="35">
    <w:name w:val="Table Paragraph"/>
    <w:basedOn w:val="33"/>
    <w:qFormat/>
    <w:uiPriority w:val="1"/>
    <w:rPr>
      <w:rFonts w:ascii="宋体" w:hAnsi="宋体" w:cs="宋体"/>
      <w:lang w:val="zh-CN" w:bidi="zh-CN"/>
    </w:rPr>
  </w:style>
  <w:style w:type="paragraph" w:customStyle="1" w:styleId="36">
    <w:name w:val="正文（首行缩进） Char"/>
    <w:basedOn w:val="1"/>
    <w:next w:val="37"/>
    <w:qFormat/>
    <w:uiPriority w:val="0"/>
    <w:pPr>
      <w:spacing w:line="360" w:lineRule="auto"/>
      <w:ind w:firstLine="480"/>
    </w:pPr>
    <w:rPr>
      <w:rFonts w:ascii="Arial"/>
      <w:color w:val="000000"/>
      <w:sz w:val="24"/>
    </w:rPr>
  </w:style>
  <w:style w:type="paragraph" w:customStyle="1" w:styleId="37">
    <w:name w:val="2号黑体加粗"/>
    <w:basedOn w:val="1"/>
    <w:next w:val="31"/>
    <w:qFormat/>
    <w:uiPriority w:val="0"/>
    <w:pPr>
      <w:jc w:val="center"/>
    </w:pPr>
    <w:rPr>
      <w:rFonts w:ascii="Calibri" w:eastAsia="黑体"/>
      <w:b/>
      <w:sz w:val="44"/>
    </w:rPr>
  </w:style>
  <w:style w:type="paragraph" w:customStyle="1" w:styleId="38">
    <w:name w:val="TOAHeading"/>
    <w:basedOn w:val="1"/>
    <w:next w:val="1"/>
    <w:qFormat/>
    <w:uiPriority w:val="0"/>
    <w:pPr>
      <w:spacing w:before="120"/>
      <w:textAlignment w:val="baseline"/>
    </w:pPr>
    <w:rPr>
      <w:rFonts w:ascii="Arial" w:hAnsi="Arial"/>
      <w:sz w:val="24"/>
      <w:szCs w:val="2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31"/>
    <w:basedOn w:val="23"/>
    <w:qFormat/>
    <w:uiPriority w:val="0"/>
    <w:rPr>
      <w:rFonts w:hint="eastAsia" w:ascii="仿宋" w:hAnsi="仿宋" w:eastAsia="仿宋" w:cs="仿宋"/>
      <w:color w:val="000000"/>
      <w:sz w:val="20"/>
      <w:szCs w:val="20"/>
      <w:u w:val="none"/>
    </w:rPr>
  </w:style>
  <w:style w:type="character" w:customStyle="1" w:styleId="42">
    <w:name w:val="font41"/>
    <w:basedOn w:val="23"/>
    <w:qFormat/>
    <w:uiPriority w:val="0"/>
    <w:rPr>
      <w:rFonts w:hint="eastAsia" w:ascii="仿宋" w:hAnsi="仿宋" w:eastAsia="仿宋" w:cs="仿宋"/>
      <w:color w:val="C00000"/>
      <w:sz w:val="20"/>
      <w:szCs w:val="20"/>
      <w:u w:val="none"/>
    </w:rPr>
  </w:style>
  <w:style w:type="character" w:customStyle="1" w:styleId="43">
    <w:name w:val="font51"/>
    <w:basedOn w:val="23"/>
    <w:qFormat/>
    <w:uiPriority w:val="0"/>
    <w:rPr>
      <w:rFonts w:hint="eastAsia" w:ascii="仿宋" w:hAnsi="仿宋" w:eastAsia="仿宋" w:cs="仿宋"/>
      <w:color w:val="000000"/>
      <w:sz w:val="20"/>
      <w:szCs w:val="20"/>
      <w:u w:val="none"/>
    </w:rPr>
  </w:style>
  <w:style w:type="character" w:customStyle="1" w:styleId="44">
    <w:name w:val="font61"/>
    <w:basedOn w:val="23"/>
    <w:qFormat/>
    <w:uiPriority w:val="0"/>
    <w:rPr>
      <w:rFonts w:hint="eastAsia" w:ascii="微软雅黑" w:hAnsi="微软雅黑" w:eastAsia="微软雅黑" w:cs="微软雅黑"/>
      <w:color w:val="C00000"/>
      <w:sz w:val="20"/>
      <w:szCs w:val="20"/>
      <w:u w:val="none"/>
    </w:rPr>
  </w:style>
  <w:style w:type="paragraph" w:customStyle="1" w:styleId="45">
    <w:name w:val="xl41"/>
    <w:basedOn w:val="1"/>
    <w:qFormat/>
    <w:uiPriority w:val="0"/>
    <w:pPr>
      <w:widowControl/>
      <w:pBdr>
        <w:bottom w:val="single" w:color="auto" w:sz="4" w:space="0"/>
      </w:pBdr>
      <w:spacing w:before="100" w:beforeLines="0" w:beforeAutospacing="1" w:after="100" w:afterLines="0" w:afterAutospacing="1"/>
      <w:jc w:val="center"/>
      <w:textAlignment w:val="center"/>
    </w:pPr>
    <w:rPr>
      <w:rFonts w:hint="eastAsia" w:ascii="黑体" w:hAnsi="宋体" w:eastAsia="黑体"/>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17800</Words>
  <Characters>19369</Characters>
  <Lines>0</Lines>
  <Paragraphs>0</Paragraphs>
  <TotalTime>0</TotalTime>
  <ScaleCrop>false</ScaleCrop>
  <LinksUpToDate>false</LinksUpToDate>
  <CharactersWithSpaces>19912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2024-02-05T12:31:00Z</dcterms:created>
  <dc:creator>张琰</dc:creator>
  <cp:lastModifiedBy>Administrator</cp:lastModifiedBy>
  <cp:lastPrinted>2025-11-07T09:56:00Z</cp:lastPrinted>
  <dcterms:modified xsi:type="dcterms:W3CDTF">2025-11-14T10:28:00Z</dcterms:modified>
  <dc:title>博爱县农业农村局2025年农业社会化服务采购项目（一标段）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75EAC85A505C4AF98269FB7A655A3546_13</vt:lpwstr>
  </property>
  <property fmtid="{D5CDD505-2E9C-101B-9397-08002B2CF9AE}" pid="4" name="KSOTemplateDocerSaveRecord">
    <vt:lpwstr>eyJoZGlkIjoiOWVlMjhlNzhmNzY2MmVlOGFlNTk5OWM3MzA1Yzc3OTYiLCJ1c2VySWQiOiI0ODg3MzE1MDAifQ==</vt:lpwstr>
  </property>
</Properties>
</file>