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FCE80">
      <w:pPr>
        <w:spacing w:line="360" w:lineRule="auto"/>
        <w:jc w:val="center"/>
        <w:outlineLvl w:val="9"/>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 xml:space="preserve">                              </w:t>
      </w:r>
    </w:p>
    <w:p w14:paraId="1F2DEC3B">
      <w:pPr>
        <w:spacing w:line="360" w:lineRule="auto"/>
        <w:jc w:val="center"/>
        <w:outlineLvl w:val="9"/>
        <w:rPr>
          <w:rFonts w:hint="eastAsia" w:ascii="宋体" w:hAnsi="宋体" w:eastAsia="宋体" w:cs="宋体"/>
          <w:b/>
          <w:bCs/>
          <w:snapToGrid w:val="0"/>
          <w:color w:val="auto"/>
          <w:kern w:val="0"/>
          <w:sz w:val="48"/>
          <w:szCs w:val="52"/>
          <w:highlight w:val="none"/>
          <w:lang w:eastAsia="zh-CN"/>
        </w:rPr>
      </w:pPr>
      <w:r>
        <w:rPr>
          <w:rFonts w:hint="eastAsia" w:ascii="宋体" w:hAnsi="宋体" w:cs="宋体"/>
          <w:b/>
          <w:bCs/>
          <w:snapToGrid w:val="0"/>
          <w:color w:val="auto"/>
          <w:kern w:val="0"/>
          <w:sz w:val="48"/>
          <w:szCs w:val="52"/>
          <w:highlight w:val="none"/>
          <w:lang w:eastAsia="zh-CN"/>
        </w:rPr>
        <w:t>焦作市新材料职业学院学术交流中心中央空调采购项目</w:t>
      </w:r>
    </w:p>
    <w:p w14:paraId="6323B866">
      <w:pPr>
        <w:spacing w:line="360" w:lineRule="auto"/>
        <w:outlineLvl w:val="9"/>
        <w:rPr>
          <w:rFonts w:hint="eastAsia" w:ascii="宋体" w:hAnsi="宋体" w:eastAsia="宋体" w:cs="宋体"/>
          <w:b/>
          <w:color w:val="auto"/>
          <w:sz w:val="100"/>
          <w:szCs w:val="100"/>
          <w:highlight w:val="none"/>
        </w:rPr>
      </w:pPr>
    </w:p>
    <w:p w14:paraId="265524B2">
      <w:pPr>
        <w:spacing w:line="360" w:lineRule="auto"/>
        <w:jc w:val="center"/>
        <w:outlineLvl w:val="9"/>
        <w:rPr>
          <w:rFonts w:hint="eastAsia" w:ascii="宋体" w:hAnsi="宋体" w:eastAsia="宋体" w:cs="宋体"/>
          <w:b/>
          <w:color w:val="auto"/>
          <w:sz w:val="100"/>
          <w:szCs w:val="100"/>
          <w:highlight w:val="none"/>
        </w:rPr>
      </w:pPr>
      <w:r>
        <w:rPr>
          <w:rFonts w:hint="eastAsia" w:ascii="宋体" w:hAnsi="宋体" w:eastAsia="宋体" w:cs="宋体"/>
          <w:b/>
          <w:color w:val="auto"/>
          <w:sz w:val="100"/>
          <w:szCs w:val="100"/>
          <w:highlight w:val="none"/>
        </w:rPr>
        <w:t>招标文件</w:t>
      </w:r>
    </w:p>
    <w:p w14:paraId="44D45881">
      <w:pPr>
        <w:spacing w:line="360" w:lineRule="auto"/>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采购编号：博政采购（2025）</w:t>
      </w:r>
      <w:r>
        <w:rPr>
          <w:rFonts w:hint="eastAsia" w:ascii="宋体" w:hAnsi="宋体" w:cs="宋体"/>
          <w:b/>
          <w:bCs/>
          <w:color w:val="auto"/>
          <w:sz w:val="28"/>
          <w:szCs w:val="28"/>
          <w:highlight w:val="none"/>
          <w:lang w:val="en-US" w:eastAsia="zh-CN"/>
        </w:rPr>
        <w:t>102</w:t>
      </w:r>
      <w:r>
        <w:rPr>
          <w:rFonts w:hint="eastAsia" w:ascii="宋体" w:hAnsi="宋体" w:eastAsia="宋体" w:cs="宋体"/>
          <w:b/>
          <w:bCs/>
          <w:color w:val="auto"/>
          <w:sz w:val="28"/>
          <w:szCs w:val="28"/>
          <w:highlight w:val="none"/>
        </w:rPr>
        <w:t xml:space="preserve">号 </w:t>
      </w:r>
    </w:p>
    <w:p w14:paraId="007C9B18">
      <w:pPr>
        <w:spacing w:line="360" w:lineRule="auto"/>
        <w:ind w:firstLine="2530" w:firstLineChars="900"/>
        <w:jc w:val="both"/>
        <w:outlineLvl w:val="9"/>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 xml:space="preserve">项目编号：博财招标采购-2025-20 </w:t>
      </w:r>
    </w:p>
    <w:p w14:paraId="23DF5D3F">
      <w:pPr>
        <w:jc w:val="center"/>
        <w:outlineLvl w:val="9"/>
        <w:rPr>
          <w:rFonts w:hint="eastAsia" w:ascii="宋体" w:hAnsi="宋体" w:eastAsia="宋体" w:cs="宋体"/>
          <w:color w:val="auto"/>
          <w:sz w:val="30"/>
          <w:highlight w:val="none"/>
        </w:rPr>
      </w:pPr>
      <w:r>
        <w:rPr>
          <w:rFonts w:hint="eastAsia" w:ascii="宋体" w:hAnsi="宋体" w:eastAsia="宋体" w:cs="宋体"/>
          <w:color w:val="auto"/>
          <w:highlight w:val="none"/>
          <w:lang w:eastAsia="zh-CN"/>
        </w:rPr>
        <w:drawing>
          <wp:anchor distT="0" distB="0" distL="114300" distR="114300" simplePos="0" relativeHeight="251659264" behindDoc="1" locked="0" layoutInCell="1" allowOverlap="1">
            <wp:simplePos x="0" y="0"/>
            <wp:positionH relativeFrom="column">
              <wp:posOffset>1739900</wp:posOffset>
            </wp:positionH>
            <wp:positionV relativeFrom="paragraph">
              <wp:posOffset>447040</wp:posOffset>
            </wp:positionV>
            <wp:extent cx="2261870" cy="1551305"/>
            <wp:effectExtent l="0" t="0" r="5080" b="10795"/>
            <wp:wrapTight wrapText="bothSides">
              <wp:wrapPolygon>
                <wp:start x="0" y="0"/>
                <wp:lineTo x="0" y="21220"/>
                <wp:lineTo x="21467" y="21220"/>
                <wp:lineTo x="21467" y="0"/>
                <wp:lineTo x="0" y="0"/>
              </wp:wrapPolygon>
            </wp:wrapTight>
            <wp:docPr id="4" name="图片 1" descr="金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金诺logo"/>
                    <pic:cNvPicPr>
                      <a:picLocks noChangeAspect="1"/>
                    </pic:cNvPicPr>
                  </pic:nvPicPr>
                  <pic:blipFill>
                    <a:blip r:embed="rId9"/>
                    <a:srcRect l="15576" b="28307"/>
                    <a:stretch>
                      <a:fillRect/>
                    </a:stretch>
                  </pic:blipFill>
                  <pic:spPr>
                    <a:xfrm>
                      <a:off x="0" y="0"/>
                      <a:ext cx="2261870" cy="1551305"/>
                    </a:xfrm>
                    <a:prstGeom prst="rect">
                      <a:avLst/>
                    </a:prstGeom>
                    <a:noFill/>
                    <a:ln>
                      <a:noFill/>
                    </a:ln>
                  </pic:spPr>
                </pic:pic>
              </a:graphicData>
            </a:graphic>
          </wp:anchor>
        </w:drawing>
      </w:r>
    </w:p>
    <w:p w14:paraId="04A8893E">
      <w:pPr>
        <w:pStyle w:val="28"/>
        <w:outlineLvl w:val="9"/>
        <w:rPr>
          <w:rFonts w:hint="eastAsia" w:ascii="宋体" w:hAnsi="宋体" w:eastAsia="宋体" w:cs="宋体"/>
          <w:color w:val="auto"/>
          <w:highlight w:val="none"/>
        </w:rPr>
      </w:pPr>
    </w:p>
    <w:p w14:paraId="35DAE650">
      <w:pPr>
        <w:pStyle w:val="17"/>
        <w:outlineLvl w:val="9"/>
        <w:rPr>
          <w:rFonts w:hint="eastAsia" w:ascii="宋体" w:hAnsi="宋体" w:eastAsia="宋体" w:cs="宋体"/>
          <w:color w:val="auto"/>
          <w:highlight w:val="none"/>
        </w:rPr>
      </w:pPr>
    </w:p>
    <w:p w14:paraId="56ED1ECD">
      <w:pPr>
        <w:pStyle w:val="17"/>
        <w:outlineLvl w:val="9"/>
        <w:rPr>
          <w:rFonts w:hint="eastAsia" w:ascii="宋体" w:hAnsi="宋体" w:eastAsia="宋体" w:cs="宋体"/>
          <w:color w:val="auto"/>
          <w:highlight w:val="none"/>
        </w:rPr>
      </w:pPr>
    </w:p>
    <w:p w14:paraId="247AEA75">
      <w:pPr>
        <w:pStyle w:val="28"/>
        <w:outlineLvl w:val="9"/>
        <w:rPr>
          <w:rFonts w:hint="eastAsia" w:ascii="宋体" w:hAnsi="宋体" w:eastAsia="宋体" w:cs="宋体"/>
          <w:color w:val="auto"/>
          <w:highlight w:val="none"/>
        </w:rPr>
      </w:pPr>
    </w:p>
    <w:p w14:paraId="2E0DC792">
      <w:pPr>
        <w:pStyle w:val="17"/>
        <w:outlineLvl w:val="9"/>
        <w:rPr>
          <w:rFonts w:hint="eastAsia" w:ascii="宋体" w:hAnsi="宋体" w:eastAsia="宋体" w:cs="宋体"/>
          <w:color w:val="auto"/>
          <w:highlight w:val="none"/>
        </w:rPr>
      </w:pPr>
    </w:p>
    <w:p w14:paraId="5096537F">
      <w:pPr>
        <w:pStyle w:val="17"/>
        <w:outlineLvl w:val="9"/>
        <w:rPr>
          <w:rFonts w:hint="eastAsia" w:ascii="宋体" w:hAnsi="宋体" w:eastAsia="宋体" w:cs="宋体"/>
          <w:color w:val="auto"/>
          <w:highlight w:val="none"/>
        </w:rPr>
      </w:pPr>
    </w:p>
    <w:p w14:paraId="4410E400">
      <w:pPr>
        <w:spacing w:line="560" w:lineRule="exact"/>
        <w:jc w:val="center"/>
        <w:outlineLvl w:val="9"/>
        <w:rPr>
          <w:rFonts w:hint="eastAsia" w:ascii="宋体" w:hAnsi="宋体" w:eastAsia="宋体" w:cs="宋体"/>
          <w:b/>
          <w:bCs/>
          <w:color w:val="auto"/>
          <w:sz w:val="32"/>
          <w:szCs w:val="32"/>
          <w:highlight w:val="none"/>
        </w:rPr>
      </w:pPr>
    </w:p>
    <w:p w14:paraId="2CD03447">
      <w:pPr>
        <w:spacing w:line="560" w:lineRule="exact"/>
        <w:ind w:firstLine="2249" w:firstLineChars="700"/>
        <w:outlineLvl w:val="9"/>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采 购 人：</w:t>
      </w:r>
      <w:r>
        <w:rPr>
          <w:rFonts w:hint="eastAsia" w:ascii="宋体" w:hAnsi="宋体" w:cs="宋体"/>
          <w:b/>
          <w:bCs/>
          <w:color w:val="auto"/>
          <w:sz w:val="32"/>
          <w:szCs w:val="32"/>
          <w:highlight w:val="none"/>
          <w:lang w:eastAsia="zh-CN"/>
        </w:rPr>
        <w:t>博爱县教育体育局</w:t>
      </w:r>
    </w:p>
    <w:p w14:paraId="2FCA147A">
      <w:pPr>
        <w:spacing w:line="560" w:lineRule="exact"/>
        <w:jc w:val="center"/>
        <w:outlineLvl w:val="9"/>
        <w:rPr>
          <w:rFonts w:hint="eastAsia" w:ascii="宋体" w:hAnsi="宋体" w:eastAsia="宋体" w:cs="宋体"/>
          <w:color w:val="auto"/>
          <w:sz w:val="32"/>
          <w:szCs w:val="32"/>
          <w:highlight w:val="none"/>
          <w:lang w:eastAsia="zh-CN"/>
        </w:rPr>
      </w:pPr>
      <w:r>
        <w:rPr>
          <w:rFonts w:hint="eastAsia" w:ascii="宋体" w:hAnsi="宋体" w:eastAsia="宋体" w:cs="宋体"/>
          <w:b/>
          <w:bCs/>
          <w:color w:val="auto"/>
          <w:sz w:val="32"/>
          <w:szCs w:val="32"/>
          <w:highlight w:val="none"/>
        </w:rPr>
        <w:t xml:space="preserve">   代理机构：</w:t>
      </w:r>
      <w:r>
        <w:rPr>
          <w:rFonts w:hint="eastAsia" w:ascii="宋体" w:hAnsi="宋体" w:cs="宋体"/>
          <w:b/>
          <w:bCs/>
          <w:color w:val="auto"/>
          <w:sz w:val="32"/>
          <w:szCs w:val="32"/>
          <w:highlight w:val="none"/>
          <w:lang w:eastAsia="zh-CN"/>
        </w:rPr>
        <w:t>河南金诺工程管理有限公司</w:t>
      </w:r>
    </w:p>
    <w:p w14:paraId="068127BE">
      <w:pPr>
        <w:spacing w:line="560" w:lineRule="exact"/>
        <w:ind w:firstLine="2249" w:firstLineChars="700"/>
        <w:outlineLvl w:val="9"/>
        <w:rPr>
          <w:rFonts w:hint="eastAsia" w:ascii="宋体" w:hAnsi="宋体" w:eastAsia="宋体" w:cs="宋体"/>
          <w:b/>
          <w:bCs/>
          <w:color w:val="auto"/>
          <w:sz w:val="32"/>
          <w:szCs w:val="32"/>
          <w:highlight w:val="none"/>
        </w:rPr>
        <w:sectPr>
          <w:headerReference r:id="rId3" w:type="default"/>
          <w:pgSz w:w="11907" w:h="16840"/>
          <w:pgMar w:top="1162" w:right="1116" w:bottom="1417" w:left="1331" w:header="624" w:footer="998" w:gutter="0"/>
          <w:pgNumType w:fmt="numberInDash" w:start="1"/>
          <w:cols w:space="720" w:num="1"/>
          <w:titlePg/>
          <w:docGrid w:type="lines" w:linePitch="380" w:charSpace="0"/>
        </w:sectPr>
      </w:pPr>
      <w:r>
        <w:rPr>
          <w:rFonts w:hint="eastAsia" w:ascii="宋体" w:hAnsi="宋体" w:eastAsia="宋体" w:cs="宋体"/>
          <w:b/>
          <w:bCs/>
          <w:color w:val="auto"/>
          <w:sz w:val="32"/>
          <w:szCs w:val="32"/>
          <w:highlight w:val="none"/>
        </w:rPr>
        <w:t>日    期：二〇二五年</w:t>
      </w:r>
      <w:r>
        <w:rPr>
          <w:rFonts w:hint="eastAsia" w:ascii="宋体" w:hAnsi="宋体" w:cs="宋体"/>
          <w:b/>
          <w:bCs/>
          <w:color w:val="auto"/>
          <w:sz w:val="32"/>
          <w:szCs w:val="32"/>
          <w:highlight w:val="none"/>
          <w:lang w:val="en-US" w:eastAsia="zh-CN"/>
        </w:rPr>
        <w:t>十</w:t>
      </w:r>
      <w:r>
        <w:rPr>
          <w:rFonts w:hint="eastAsia" w:ascii="宋体" w:hAnsi="宋体" w:eastAsia="宋体" w:cs="宋体"/>
          <w:b/>
          <w:bCs/>
          <w:color w:val="auto"/>
          <w:sz w:val="32"/>
          <w:szCs w:val="32"/>
          <w:highlight w:val="none"/>
        </w:rPr>
        <w:t>月</w:t>
      </w:r>
    </w:p>
    <w:sdt>
      <w:sdtPr>
        <w:rPr>
          <w:rFonts w:hint="eastAsia" w:ascii="宋体" w:hAnsi="宋体" w:eastAsia="宋体" w:cs="宋体"/>
          <w:b/>
          <w:bCs/>
          <w:color w:val="auto"/>
          <w:kern w:val="2"/>
          <w:sz w:val="32"/>
          <w:szCs w:val="32"/>
          <w:highlight w:val="none"/>
          <w:lang w:val="en-US" w:eastAsia="zh-CN" w:bidi="ar-SA"/>
        </w:rPr>
        <w:id w:val="147468684"/>
        <w15:color w:val="DBDBDB"/>
        <w:docPartObj>
          <w:docPartGallery w:val="Table of Contents"/>
          <w:docPartUnique/>
        </w:docPartObj>
      </w:sdtPr>
      <w:sdtEndPr>
        <w:rPr>
          <w:rFonts w:hint="eastAsia" w:ascii="宋体" w:hAnsi="宋体" w:eastAsia="宋体" w:cs="宋体"/>
          <w:b/>
          <w:bCs/>
          <w:color w:val="auto"/>
          <w:kern w:val="2"/>
          <w:sz w:val="21"/>
          <w:szCs w:val="24"/>
          <w:highlight w:val="none"/>
          <w:lang w:val="en-US" w:eastAsia="zh-CN" w:bidi="ar-SA"/>
        </w:rPr>
      </w:sdtEndPr>
      <w:sdtContent>
        <w:p w14:paraId="748899F2">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录</w:t>
          </w:r>
        </w:p>
        <w:p w14:paraId="42FC4733">
          <w:pPr>
            <w:pStyle w:val="25"/>
            <w:tabs>
              <w:tab w:val="right" w:leader="dot" w:pos="9035"/>
            </w:tabs>
            <w:rPr>
              <w:rFonts w:hint="eastAsia" w:ascii="宋体" w:hAnsi="宋体" w:eastAsia="宋体" w:cs="宋体"/>
              <w:highlight w:val="none"/>
            </w:rPr>
          </w:pPr>
          <w:r>
            <w:rPr>
              <w:rFonts w:hint="eastAsia" w:ascii="宋体" w:hAnsi="宋体" w:eastAsia="宋体" w:cs="宋体"/>
              <w:bCs/>
              <w:color w:val="auto"/>
              <w:kern w:val="2"/>
              <w:sz w:val="24"/>
              <w:szCs w:val="24"/>
              <w:highlight w:val="none"/>
              <w:lang w:val="en-US" w:eastAsia="zh-CN" w:bidi="ar-SA"/>
            </w:rPr>
            <w:fldChar w:fldCharType="begin"/>
          </w:r>
          <w:r>
            <w:rPr>
              <w:rFonts w:hint="eastAsia" w:ascii="宋体" w:hAnsi="宋体" w:eastAsia="宋体" w:cs="宋体"/>
              <w:bCs/>
              <w:color w:val="auto"/>
              <w:kern w:val="2"/>
              <w:sz w:val="24"/>
              <w:szCs w:val="24"/>
              <w:highlight w:val="none"/>
              <w:lang w:val="en-US" w:eastAsia="zh-CN" w:bidi="ar-SA"/>
            </w:rPr>
            <w:instrText xml:space="preserve">TOC \o "1-3" \h \u </w:instrText>
          </w:r>
          <w:r>
            <w:rPr>
              <w:rFonts w:hint="eastAsia" w:ascii="宋体" w:hAnsi="宋体" w:eastAsia="宋体" w:cs="宋体"/>
              <w:bCs/>
              <w:color w:val="auto"/>
              <w:kern w:val="2"/>
              <w:sz w:val="24"/>
              <w:szCs w:val="24"/>
              <w:highlight w:val="none"/>
              <w:lang w:val="en-US" w:eastAsia="zh-CN" w:bidi="ar-SA"/>
            </w:rPr>
            <w:fldChar w:fldCharType="separate"/>
          </w: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_Toc20086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rPr>
            <w:t>重要事项提示</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_Toc20086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499967A0">
          <w:pPr>
            <w:pStyle w:val="25"/>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_Toc2405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rPr>
            <w:t>第一章 招标公告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_Toc2405 \h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43E47A0C">
          <w:pPr>
            <w:pStyle w:val="25"/>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_Toc28802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rPr>
            <w:t>第二章</w:t>
          </w:r>
          <w:r>
            <w:rPr>
              <w:rFonts w:hint="eastAsia" w:ascii="宋体" w:hAnsi="宋体" w:eastAsia="宋体" w:cs="宋体"/>
              <w:highlight w:val="none"/>
              <w:lang w:val="en-US" w:eastAsia="zh-CN"/>
            </w:rPr>
            <w:t xml:space="preserve"> </w:t>
          </w:r>
          <w:r>
            <w:rPr>
              <w:rFonts w:hint="eastAsia" w:ascii="宋体" w:hAnsi="宋体" w:eastAsia="宋体" w:cs="宋体"/>
              <w:highlight w:val="none"/>
            </w:rPr>
            <w:t>投标人须知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_Toc28802 \h </w:instrText>
          </w:r>
          <w:r>
            <w:rPr>
              <w:rFonts w:hint="eastAsia" w:ascii="宋体" w:hAnsi="宋体" w:eastAsia="宋体" w:cs="宋体"/>
              <w:highlight w:val="none"/>
            </w:rPr>
            <w:fldChar w:fldCharType="separate"/>
          </w:r>
          <w:r>
            <w:rPr>
              <w:rFonts w:hint="eastAsia" w:ascii="宋体" w:hAnsi="宋体" w:eastAsia="宋体" w:cs="宋体"/>
              <w:highlight w:val="none"/>
            </w:rPr>
            <w:t>8</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2A08FFFE">
          <w:pPr>
            <w:pStyle w:val="27"/>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_Toc11679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rPr>
            <w:t>投标人须知前附表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_Toc11679 \h </w:instrText>
          </w:r>
          <w:r>
            <w:rPr>
              <w:rFonts w:hint="eastAsia" w:ascii="宋体" w:hAnsi="宋体" w:eastAsia="宋体" w:cs="宋体"/>
              <w:highlight w:val="none"/>
            </w:rPr>
            <w:fldChar w:fldCharType="separate"/>
          </w:r>
          <w:r>
            <w:rPr>
              <w:rFonts w:hint="eastAsia" w:ascii="宋体" w:hAnsi="宋体" w:eastAsia="宋体" w:cs="宋体"/>
              <w:highlight w:val="none"/>
            </w:rPr>
            <w:t>8</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58C058FC">
          <w:pPr>
            <w:pStyle w:val="27"/>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_Toc12375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rPr>
            <w:t>1. 总则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_Toc12375 \h </w:instrText>
          </w:r>
          <w:r>
            <w:rPr>
              <w:rFonts w:hint="eastAsia" w:ascii="宋体" w:hAnsi="宋体" w:eastAsia="宋体" w:cs="宋体"/>
              <w:highlight w:val="none"/>
            </w:rPr>
            <w:fldChar w:fldCharType="separate"/>
          </w:r>
          <w:r>
            <w:rPr>
              <w:rFonts w:hint="eastAsia" w:ascii="宋体" w:hAnsi="宋体" w:eastAsia="宋体" w:cs="宋体"/>
              <w:highlight w:val="none"/>
            </w:rPr>
            <w:t>14</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609EFE07">
          <w:pPr>
            <w:pStyle w:val="27"/>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_Toc1457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rPr>
            <w:t>2. 招标文件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_Toc1457 \h </w:instrText>
          </w:r>
          <w:r>
            <w:rPr>
              <w:rFonts w:hint="eastAsia" w:ascii="宋体" w:hAnsi="宋体" w:eastAsia="宋体" w:cs="宋体"/>
              <w:highlight w:val="none"/>
            </w:rPr>
            <w:fldChar w:fldCharType="separate"/>
          </w:r>
          <w:r>
            <w:rPr>
              <w:rFonts w:hint="eastAsia" w:ascii="宋体" w:hAnsi="宋体" w:eastAsia="宋体" w:cs="宋体"/>
              <w:highlight w:val="none"/>
            </w:rPr>
            <w:t>15</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176F5E56">
          <w:pPr>
            <w:pStyle w:val="27"/>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_Toc2572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rPr>
            <w:t>3. 投标文件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_Toc2572 \h </w:instrText>
          </w:r>
          <w:r>
            <w:rPr>
              <w:rFonts w:hint="eastAsia" w:ascii="宋体" w:hAnsi="宋体" w:eastAsia="宋体" w:cs="宋体"/>
              <w:highlight w:val="none"/>
            </w:rPr>
            <w:fldChar w:fldCharType="separate"/>
          </w:r>
          <w:r>
            <w:rPr>
              <w:rFonts w:hint="eastAsia" w:ascii="宋体" w:hAnsi="宋体" w:eastAsia="宋体" w:cs="宋体"/>
              <w:highlight w:val="none"/>
            </w:rPr>
            <w:t>16</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7C9DF1E7">
          <w:pPr>
            <w:pStyle w:val="27"/>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_Toc22771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rPr>
            <w:t>4. 投标</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_Toc22771 \h </w:instrText>
          </w:r>
          <w:r>
            <w:rPr>
              <w:rFonts w:hint="eastAsia" w:ascii="宋体" w:hAnsi="宋体" w:eastAsia="宋体" w:cs="宋体"/>
              <w:highlight w:val="none"/>
            </w:rPr>
            <w:fldChar w:fldCharType="separate"/>
          </w:r>
          <w:r>
            <w:rPr>
              <w:rFonts w:hint="eastAsia" w:ascii="宋体" w:hAnsi="宋体" w:eastAsia="宋体" w:cs="宋体"/>
              <w:highlight w:val="none"/>
            </w:rPr>
            <w:t>19</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32723871">
          <w:pPr>
            <w:pStyle w:val="27"/>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_Toc23755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rPr>
            <w:t>5. 开标</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_Toc23755 \h </w:instrText>
          </w:r>
          <w:r>
            <w:rPr>
              <w:rFonts w:hint="eastAsia" w:ascii="宋体" w:hAnsi="宋体" w:eastAsia="宋体" w:cs="宋体"/>
              <w:highlight w:val="none"/>
            </w:rPr>
            <w:fldChar w:fldCharType="separate"/>
          </w:r>
          <w:r>
            <w:rPr>
              <w:rFonts w:hint="eastAsia" w:ascii="宋体" w:hAnsi="宋体" w:eastAsia="宋体" w:cs="宋体"/>
              <w:highlight w:val="none"/>
            </w:rPr>
            <w:t>20</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512E0398">
          <w:pPr>
            <w:pStyle w:val="27"/>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_Toc12876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lang w:val="en-US" w:eastAsia="zh-CN"/>
            </w:rPr>
            <w:t>6</w:t>
          </w:r>
          <w:r>
            <w:rPr>
              <w:rFonts w:hint="eastAsia" w:ascii="宋体" w:hAnsi="宋体" w:eastAsia="宋体" w:cs="宋体"/>
              <w:highlight w:val="none"/>
            </w:rPr>
            <w:t xml:space="preserve">. </w:t>
          </w:r>
          <w:r>
            <w:rPr>
              <w:rFonts w:hint="eastAsia" w:ascii="宋体" w:hAnsi="宋体" w:eastAsia="宋体" w:cs="宋体"/>
              <w:highlight w:val="none"/>
              <w:lang w:val="en-US" w:eastAsia="zh-CN"/>
            </w:rPr>
            <w:t>评</w:t>
          </w:r>
          <w:r>
            <w:rPr>
              <w:rFonts w:hint="eastAsia" w:ascii="宋体" w:hAnsi="宋体" w:eastAsia="宋体" w:cs="宋体"/>
              <w:highlight w:val="none"/>
            </w:rPr>
            <w:t>标</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_Toc12876 \h </w:instrText>
          </w:r>
          <w:r>
            <w:rPr>
              <w:rFonts w:hint="eastAsia" w:ascii="宋体" w:hAnsi="宋体" w:eastAsia="宋体" w:cs="宋体"/>
              <w:highlight w:val="none"/>
            </w:rPr>
            <w:fldChar w:fldCharType="separate"/>
          </w:r>
          <w:r>
            <w:rPr>
              <w:rFonts w:hint="eastAsia" w:ascii="宋体" w:hAnsi="宋体" w:eastAsia="宋体" w:cs="宋体"/>
              <w:highlight w:val="none"/>
            </w:rPr>
            <w:t>21</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32CBD95E">
          <w:pPr>
            <w:pStyle w:val="27"/>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_Toc13980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rPr>
            <w:t>7. 合同授予</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_Toc13980 \h </w:instrText>
          </w:r>
          <w:r>
            <w:rPr>
              <w:rFonts w:hint="eastAsia" w:ascii="宋体" w:hAnsi="宋体" w:eastAsia="宋体" w:cs="宋体"/>
              <w:highlight w:val="none"/>
            </w:rPr>
            <w:fldChar w:fldCharType="separate"/>
          </w:r>
          <w:r>
            <w:rPr>
              <w:rFonts w:hint="eastAsia" w:ascii="宋体" w:hAnsi="宋体" w:eastAsia="宋体" w:cs="宋体"/>
              <w:highlight w:val="none"/>
            </w:rPr>
            <w:t>23</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742296C3">
          <w:pPr>
            <w:pStyle w:val="27"/>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_Toc25441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rPr>
            <w:t>8. 重新招标</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_Toc25441 \h </w:instrText>
          </w:r>
          <w:r>
            <w:rPr>
              <w:rFonts w:hint="eastAsia" w:ascii="宋体" w:hAnsi="宋体" w:eastAsia="宋体" w:cs="宋体"/>
              <w:highlight w:val="none"/>
            </w:rPr>
            <w:fldChar w:fldCharType="separate"/>
          </w:r>
          <w:r>
            <w:rPr>
              <w:rFonts w:hint="eastAsia" w:ascii="宋体" w:hAnsi="宋体" w:eastAsia="宋体" w:cs="宋体"/>
              <w:highlight w:val="none"/>
            </w:rPr>
            <w:t>24</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425A41CB">
          <w:pPr>
            <w:pStyle w:val="27"/>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_Toc5991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rPr>
            <w:t>9. 纪律和监督</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_Toc5991 \h </w:instrText>
          </w:r>
          <w:r>
            <w:rPr>
              <w:rFonts w:hint="eastAsia" w:ascii="宋体" w:hAnsi="宋体" w:eastAsia="宋体" w:cs="宋体"/>
              <w:highlight w:val="none"/>
            </w:rPr>
            <w:fldChar w:fldCharType="separate"/>
          </w:r>
          <w:r>
            <w:rPr>
              <w:rFonts w:hint="eastAsia" w:ascii="宋体" w:hAnsi="宋体" w:eastAsia="宋体" w:cs="宋体"/>
              <w:highlight w:val="none"/>
            </w:rPr>
            <w:t>24</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4C928D62">
          <w:pPr>
            <w:pStyle w:val="27"/>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_Toc22016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rPr>
            <w:t>10. 需要补充的其他内容</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_Toc22016 \h </w:instrText>
          </w:r>
          <w:r>
            <w:rPr>
              <w:rFonts w:hint="eastAsia" w:ascii="宋体" w:hAnsi="宋体" w:eastAsia="宋体" w:cs="宋体"/>
              <w:highlight w:val="none"/>
            </w:rPr>
            <w:fldChar w:fldCharType="separate"/>
          </w:r>
          <w:r>
            <w:rPr>
              <w:rFonts w:hint="eastAsia" w:ascii="宋体" w:hAnsi="宋体" w:eastAsia="宋体" w:cs="宋体"/>
              <w:highlight w:val="none"/>
            </w:rPr>
            <w:t>25</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42207512">
          <w:pPr>
            <w:pStyle w:val="25"/>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_Toc11554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rPr>
            <w:t>第三章 评标办法（综合评分法）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_Toc11554 \h </w:instrText>
          </w:r>
          <w:r>
            <w:rPr>
              <w:rFonts w:hint="eastAsia" w:ascii="宋体" w:hAnsi="宋体" w:eastAsia="宋体" w:cs="宋体"/>
              <w:highlight w:val="none"/>
            </w:rPr>
            <w:fldChar w:fldCharType="separate"/>
          </w:r>
          <w:r>
            <w:rPr>
              <w:rFonts w:hint="eastAsia" w:ascii="宋体" w:hAnsi="宋体" w:eastAsia="宋体" w:cs="宋体"/>
              <w:highlight w:val="none"/>
            </w:rPr>
            <w:t>26</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04E8FC08">
          <w:pPr>
            <w:pStyle w:val="27"/>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_Toc17961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bCs/>
              <w:szCs w:val="28"/>
              <w:highlight w:val="none"/>
            </w:rPr>
            <w:t>评分办法前附表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_Toc17961 \h </w:instrText>
          </w:r>
          <w:r>
            <w:rPr>
              <w:rFonts w:hint="eastAsia" w:ascii="宋体" w:hAnsi="宋体" w:eastAsia="宋体" w:cs="宋体"/>
              <w:highlight w:val="none"/>
            </w:rPr>
            <w:fldChar w:fldCharType="separate"/>
          </w:r>
          <w:r>
            <w:rPr>
              <w:rFonts w:hint="eastAsia" w:ascii="宋体" w:hAnsi="宋体" w:eastAsia="宋体" w:cs="宋体"/>
              <w:highlight w:val="none"/>
            </w:rPr>
            <w:t>26</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72E255BE">
          <w:pPr>
            <w:pStyle w:val="19"/>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_Toc23104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rPr>
            <w:t>1. 评标准则和评标方法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_Toc23104 \h </w:instrText>
          </w:r>
          <w:r>
            <w:rPr>
              <w:rFonts w:hint="eastAsia" w:ascii="宋体" w:hAnsi="宋体" w:eastAsia="宋体" w:cs="宋体"/>
              <w:highlight w:val="none"/>
            </w:rPr>
            <w:fldChar w:fldCharType="separate"/>
          </w:r>
          <w:r>
            <w:rPr>
              <w:rFonts w:hint="eastAsia" w:ascii="宋体" w:hAnsi="宋体" w:eastAsia="宋体" w:cs="宋体"/>
              <w:highlight w:val="none"/>
            </w:rPr>
            <w:t>28</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3EACDF97">
          <w:pPr>
            <w:pStyle w:val="19"/>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_Toc4390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lang w:val="en-US" w:eastAsia="zh-CN"/>
            </w:rPr>
            <w:t>2</w:t>
          </w:r>
          <w:r>
            <w:rPr>
              <w:rFonts w:hint="eastAsia" w:ascii="宋体" w:hAnsi="宋体" w:eastAsia="宋体" w:cs="宋体"/>
              <w:highlight w:val="none"/>
            </w:rPr>
            <w:t>. 评审标准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_Toc4390 \h </w:instrText>
          </w:r>
          <w:r>
            <w:rPr>
              <w:rFonts w:hint="eastAsia" w:ascii="宋体" w:hAnsi="宋体" w:eastAsia="宋体" w:cs="宋体"/>
              <w:highlight w:val="none"/>
            </w:rPr>
            <w:fldChar w:fldCharType="separate"/>
          </w:r>
          <w:r>
            <w:rPr>
              <w:rFonts w:hint="eastAsia" w:ascii="宋体" w:hAnsi="宋体" w:eastAsia="宋体" w:cs="宋体"/>
              <w:highlight w:val="none"/>
            </w:rPr>
            <w:t>28</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44B033E5">
          <w:pPr>
            <w:pStyle w:val="19"/>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_Toc8420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lang w:val="en-US" w:eastAsia="zh-CN"/>
            </w:rPr>
            <w:t>3</w:t>
          </w:r>
          <w:r>
            <w:rPr>
              <w:rFonts w:hint="eastAsia" w:ascii="宋体" w:hAnsi="宋体" w:eastAsia="宋体" w:cs="宋体"/>
              <w:highlight w:val="none"/>
            </w:rPr>
            <w:t>. 评标程序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_Toc8420 \h </w:instrText>
          </w:r>
          <w:r>
            <w:rPr>
              <w:rFonts w:hint="eastAsia" w:ascii="宋体" w:hAnsi="宋体" w:eastAsia="宋体" w:cs="宋体"/>
              <w:highlight w:val="none"/>
            </w:rPr>
            <w:fldChar w:fldCharType="separate"/>
          </w:r>
          <w:r>
            <w:rPr>
              <w:rFonts w:hint="eastAsia" w:ascii="宋体" w:hAnsi="宋体" w:eastAsia="宋体" w:cs="宋体"/>
              <w:highlight w:val="none"/>
            </w:rPr>
            <w:t>28</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7CDE59AA">
          <w:pPr>
            <w:pStyle w:val="25"/>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_Toc27274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rPr>
            <w:t>第四章 合同条款及格式 （仅供参考）</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_Toc27274 \h </w:instrText>
          </w:r>
          <w:r>
            <w:rPr>
              <w:rFonts w:hint="eastAsia" w:ascii="宋体" w:hAnsi="宋体" w:eastAsia="宋体" w:cs="宋体"/>
              <w:highlight w:val="none"/>
            </w:rPr>
            <w:fldChar w:fldCharType="separate"/>
          </w:r>
          <w:r>
            <w:rPr>
              <w:rFonts w:hint="eastAsia" w:ascii="宋体" w:hAnsi="宋体" w:eastAsia="宋体" w:cs="宋体"/>
              <w:highlight w:val="none"/>
            </w:rPr>
            <w:t>31</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57A377DD">
          <w:pPr>
            <w:pStyle w:val="25"/>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_Toc8294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lang w:val="en-US" w:eastAsia="zh-CN"/>
            </w:rPr>
            <w:t>第五章 采购内容及技术要求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_Toc8294 \h </w:instrText>
          </w:r>
          <w:r>
            <w:rPr>
              <w:rFonts w:hint="eastAsia" w:ascii="宋体" w:hAnsi="宋体" w:eastAsia="宋体" w:cs="宋体"/>
              <w:highlight w:val="none"/>
            </w:rPr>
            <w:fldChar w:fldCharType="separate"/>
          </w:r>
          <w:r>
            <w:rPr>
              <w:rFonts w:hint="eastAsia" w:ascii="宋体" w:hAnsi="宋体" w:eastAsia="宋体" w:cs="宋体"/>
              <w:highlight w:val="none"/>
            </w:rPr>
            <w:t>33</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5FAE83B8">
          <w:pPr>
            <w:pStyle w:val="27"/>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_Toc3608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bCs/>
              <w:snapToGrid w:val="0"/>
              <w:kern w:val="0"/>
              <w:szCs w:val="32"/>
              <w:highlight w:val="none"/>
              <w:lang w:val="en-US" w:eastAsia="en-US" w:bidi="ar-SA"/>
            </w:rPr>
            <w:t>一、技术参数</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_Toc3608 \h </w:instrText>
          </w:r>
          <w:r>
            <w:rPr>
              <w:rFonts w:hint="eastAsia" w:ascii="宋体" w:hAnsi="宋体" w:eastAsia="宋体" w:cs="宋体"/>
              <w:highlight w:val="none"/>
            </w:rPr>
            <w:fldChar w:fldCharType="separate"/>
          </w:r>
          <w:r>
            <w:rPr>
              <w:rFonts w:hint="eastAsia" w:ascii="宋体" w:hAnsi="宋体" w:eastAsia="宋体" w:cs="宋体"/>
              <w:highlight w:val="none"/>
            </w:rPr>
            <w:t>33</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1BEC7452">
          <w:pPr>
            <w:pStyle w:val="27"/>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_Toc33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bCs/>
              <w:snapToGrid w:val="0"/>
              <w:kern w:val="0"/>
              <w:szCs w:val="32"/>
              <w:highlight w:val="none"/>
              <w:lang w:val="en-US" w:eastAsia="zh-CN" w:bidi="ar-SA"/>
            </w:rPr>
            <w:t>二、技术要求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_Toc33 \h </w:instrText>
          </w:r>
          <w:r>
            <w:rPr>
              <w:rFonts w:hint="eastAsia" w:ascii="宋体" w:hAnsi="宋体" w:eastAsia="宋体" w:cs="宋体"/>
              <w:highlight w:val="none"/>
            </w:rPr>
            <w:fldChar w:fldCharType="separate"/>
          </w:r>
          <w:r>
            <w:rPr>
              <w:rFonts w:hint="eastAsia" w:ascii="宋体" w:hAnsi="宋体" w:eastAsia="宋体" w:cs="宋体"/>
              <w:highlight w:val="none"/>
            </w:rPr>
            <w:t>40</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5A686288">
          <w:pPr>
            <w:pStyle w:val="27"/>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_Toc32216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bCs/>
              <w:snapToGrid w:val="0"/>
              <w:kern w:val="0"/>
              <w:szCs w:val="32"/>
              <w:highlight w:val="none"/>
              <w:lang w:val="en-US" w:eastAsia="zh-CN" w:bidi="ar-SA"/>
            </w:rPr>
            <w:t>三</w:t>
          </w:r>
          <w:r>
            <w:rPr>
              <w:rFonts w:hint="eastAsia" w:ascii="宋体" w:hAnsi="宋体" w:eastAsia="宋体" w:cs="宋体"/>
              <w:bCs/>
              <w:snapToGrid w:val="0"/>
              <w:kern w:val="0"/>
              <w:szCs w:val="32"/>
              <w:highlight w:val="none"/>
              <w:lang w:val="en-US" w:eastAsia="en-US" w:bidi="ar-SA"/>
            </w:rPr>
            <w:t>、商务要求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_Toc32216 \h </w:instrText>
          </w:r>
          <w:r>
            <w:rPr>
              <w:rFonts w:hint="eastAsia" w:ascii="宋体" w:hAnsi="宋体" w:eastAsia="宋体" w:cs="宋体"/>
              <w:highlight w:val="none"/>
            </w:rPr>
            <w:fldChar w:fldCharType="separate"/>
          </w:r>
          <w:r>
            <w:rPr>
              <w:rFonts w:hint="eastAsia" w:ascii="宋体" w:hAnsi="宋体" w:eastAsia="宋体" w:cs="宋体"/>
              <w:highlight w:val="none"/>
            </w:rPr>
            <w:t>41</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550A49E2">
          <w:pPr>
            <w:pStyle w:val="25"/>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_Toc14766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rPr>
            <w:t>第六章 质疑与投诉</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_Toc14766 \h </w:instrText>
          </w:r>
          <w:r>
            <w:rPr>
              <w:rFonts w:hint="eastAsia" w:ascii="宋体" w:hAnsi="宋体" w:eastAsia="宋体" w:cs="宋体"/>
              <w:highlight w:val="none"/>
            </w:rPr>
            <w:fldChar w:fldCharType="separate"/>
          </w:r>
          <w:r>
            <w:rPr>
              <w:rFonts w:hint="eastAsia" w:ascii="宋体" w:hAnsi="宋体" w:eastAsia="宋体" w:cs="宋体"/>
              <w:highlight w:val="none"/>
            </w:rPr>
            <w:t>42</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7442818C">
          <w:pPr>
            <w:pStyle w:val="25"/>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_Toc5609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rPr>
            <w:t>第七章 履约验收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_Toc5609 \h </w:instrText>
          </w:r>
          <w:r>
            <w:rPr>
              <w:rFonts w:hint="eastAsia" w:ascii="宋体" w:hAnsi="宋体" w:eastAsia="宋体" w:cs="宋体"/>
              <w:highlight w:val="none"/>
            </w:rPr>
            <w:fldChar w:fldCharType="separate"/>
          </w:r>
          <w:r>
            <w:rPr>
              <w:rFonts w:hint="eastAsia" w:ascii="宋体" w:hAnsi="宋体" w:eastAsia="宋体" w:cs="宋体"/>
              <w:highlight w:val="none"/>
            </w:rPr>
            <w:t>44</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0BE43523">
          <w:pPr>
            <w:pStyle w:val="25"/>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_Toc1524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rPr>
            <w:t>第八章 投标文件格式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_Toc1524 \h </w:instrText>
          </w:r>
          <w:r>
            <w:rPr>
              <w:rFonts w:hint="eastAsia" w:ascii="宋体" w:hAnsi="宋体" w:eastAsia="宋体" w:cs="宋体"/>
              <w:highlight w:val="none"/>
            </w:rPr>
            <w:fldChar w:fldCharType="separate"/>
          </w:r>
          <w:r>
            <w:rPr>
              <w:rFonts w:hint="eastAsia" w:ascii="宋体" w:hAnsi="宋体" w:eastAsia="宋体" w:cs="宋体"/>
              <w:highlight w:val="none"/>
            </w:rPr>
            <w:t>45</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2A21966A">
          <w:pPr>
            <w:pStyle w:val="27"/>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_Toc19407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rPr>
            <w:t>目    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_Toc19407 \h </w:instrText>
          </w:r>
          <w:r>
            <w:rPr>
              <w:rFonts w:hint="eastAsia" w:ascii="宋体" w:hAnsi="宋体" w:eastAsia="宋体" w:cs="宋体"/>
              <w:highlight w:val="none"/>
            </w:rPr>
            <w:fldChar w:fldCharType="separate"/>
          </w:r>
          <w:r>
            <w:rPr>
              <w:rFonts w:hint="eastAsia" w:ascii="宋体" w:hAnsi="宋体" w:eastAsia="宋体" w:cs="宋体"/>
              <w:highlight w:val="none"/>
            </w:rPr>
            <w:t>46</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4CEDEF8F">
          <w:pPr>
            <w:pStyle w:val="27"/>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_Toc2997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rPr>
            <w:t>一、投标函及开标一览表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_Toc2997 \h </w:instrText>
          </w:r>
          <w:r>
            <w:rPr>
              <w:rFonts w:hint="eastAsia" w:ascii="宋体" w:hAnsi="宋体" w:eastAsia="宋体" w:cs="宋体"/>
              <w:highlight w:val="none"/>
            </w:rPr>
            <w:fldChar w:fldCharType="separate"/>
          </w:r>
          <w:r>
            <w:rPr>
              <w:rFonts w:hint="eastAsia" w:ascii="宋体" w:hAnsi="宋体" w:eastAsia="宋体" w:cs="宋体"/>
              <w:highlight w:val="none"/>
            </w:rPr>
            <w:t>47</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413F6BF5">
          <w:pPr>
            <w:pStyle w:val="19"/>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_Toc23891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rPr>
            <w:t>（一） 投标函</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_Toc23891 \h </w:instrText>
          </w:r>
          <w:r>
            <w:rPr>
              <w:rFonts w:hint="eastAsia" w:ascii="宋体" w:hAnsi="宋体" w:eastAsia="宋体" w:cs="宋体"/>
              <w:highlight w:val="none"/>
            </w:rPr>
            <w:fldChar w:fldCharType="separate"/>
          </w:r>
          <w:r>
            <w:rPr>
              <w:rFonts w:hint="eastAsia" w:ascii="宋体" w:hAnsi="宋体" w:eastAsia="宋体" w:cs="宋体"/>
              <w:highlight w:val="none"/>
            </w:rPr>
            <w:t>47</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03573DFA">
          <w:pPr>
            <w:pStyle w:val="19"/>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_Toc9084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rPr>
            <w:t>（二） 开标一览表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_Toc9084 \h </w:instrText>
          </w:r>
          <w:r>
            <w:rPr>
              <w:rFonts w:hint="eastAsia" w:ascii="宋体" w:hAnsi="宋体" w:eastAsia="宋体" w:cs="宋体"/>
              <w:highlight w:val="none"/>
            </w:rPr>
            <w:fldChar w:fldCharType="separate"/>
          </w:r>
          <w:r>
            <w:rPr>
              <w:rFonts w:hint="eastAsia" w:ascii="宋体" w:hAnsi="宋体" w:eastAsia="宋体" w:cs="宋体"/>
              <w:highlight w:val="none"/>
            </w:rPr>
            <w:t>48</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6F8F6669">
          <w:pPr>
            <w:pStyle w:val="19"/>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_Toc4903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rPr>
            <w:t>（三）报价明细表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_Toc4903 \h </w:instrText>
          </w:r>
          <w:r>
            <w:rPr>
              <w:rFonts w:hint="eastAsia" w:ascii="宋体" w:hAnsi="宋体" w:eastAsia="宋体" w:cs="宋体"/>
              <w:highlight w:val="none"/>
            </w:rPr>
            <w:fldChar w:fldCharType="separate"/>
          </w:r>
          <w:r>
            <w:rPr>
              <w:rFonts w:hint="eastAsia" w:ascii="宋体" w:hAnsi="宋体" w:eastAsia="宋体" w:cs="宋体"/>
              <w:highlight w:val="none"/>
            </w:rPr>
            <w:t>49</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5A3FBA9C">
          <w:pPr>
            <w:pStyle w:val="19"/>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_Toc25633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lang w:eastAsia="zh-CN"/>
            </w:rPr>
            <w:t>（</w:t>
          </w:r>
          <w:r>
            <w:rPr>
              <w:rFonts w:hint="eastAsia" w:ascii="宋体" w:hAnsi="宋体" w:eastAsia="宋体" w:cs="宋体"/>
              <w:highlight w:val="none"/>
              <w:lang w:val="en-US" w:eastAsia="zh-CN"/>
            </w:rPr>
            <w:t>四）</w:t>
          </w:r>
          <w:r>
            <w:rPr>
              <w:rFonts w:hint="eastAsia" w:ascii="宋体" w:hAnsi="宋体" w:eastAsia="宋体" w:cs="宋体"/>
              <w:highlight w:val="none"/>
            </w:rPr>
            <w:t>技术</w:t>
          </w:r>
          <w:r>
            <w:rPr>
              <w:rFonts w:hint="eastAsia" w:ascii="宋体" w:hAnsi="宋体" w:eastAsia="宋体" w:cs="宋体"/>
              <w:highlight w:val="none"/>
              <w:lang w:val="en-US" w:eastAsia="zh-CN"/>
            </w:rPr>
            <w:t>偏离</w:t>
          </w:r>
          <w:r>
            <w:rPr>
              <w:rFonts w:hint="eastAsia" w:ascii="宋体" w:hAnsi="宋体" w:eastAsia="宋体" w:cs="宋体"/>
              <w:highlight w:val="none"/>
            </w:rPr>
            <w:t>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_Toc25633 \h </w:instrText>
          </w:r>
          <w:r>
            <w:rPr>
              <w:rFonts w:hint="eastAsia" w:ascii="宋体" w:hAnsi="宋体" w:eastAsia="宋体" w:cs="宋体"/>
              <w:highlight w:val="none"/>
            </w:rPr>
            <w:fldChar w:fldCharType="separate"/>
          </w:r>
          <w:r>
            <w:rPr>
              <w:rFonts w:hint="eastAsia" w:ascii="宋体" w:hAnsi="宋体" w:eastAsia="宋体" w:cs="宋体"/>
              <w:highlight w:val="none"/>
            </w:rPr>
            <w:t>50</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08A4C947">
          <w:pPr>
            <w:pStyle w:val="19"/>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_Toc7664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lang w:eastAsia="zh-CN"/>
            </w:rPr>
            <w:t>（</w:t>
          </w:r>
          <w:r>
            <w:rPr>
              <w:rFonts w:hint="eastAsia" w:ascii="宋体" w:hAnsi="宋体" w:eastAsia="宋体" w:cs="宋体"/>
              <w:highlight w:val="none"/>
              <w:lang w:val="en-US" w:eastAsia="zh-CN"/>
            </w:rPr>
            <w:t>五）</w:t>
          </w:r>
          <w:r>
            <w:rPr>
              <w:rFonts w:hint="eastAsia" w:ascii="宋体" w:hAnsi="宋体" w:eastAsia="宋体" w:cs="宋体"/>
              <w:highlight w:val="none"/>
            </w:rPr>
            <w:t>商务响应表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_Toc7664 \h </w:instrText>
          </w:r>
          <w:r>
            <w:rPr>
              <w:rFonts w:hint="eastAsia" w:ascii="宋体" w:hAnsi="宋体" w:eastAsia="宋体" w:cs="宋体"/>
              <w:highlight w:val="none"/>
            </w:rPr>
            <w:fldChar w:fldCharType="separate"/>
          </w:r>
          <w:r>
            <w:rPr>
              <w:rFonts w:hint="eastAsia" w:ascii="宋体" w:hAnsi="宋体" w:eastAsia="宋体" w:cs="宋体"/>
              <w:highlight w:val="none"/>
            </w:rPr>
            <w:t>51</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789A5F24">
          <w:pPr>
            <w:pStyle w:val="27"/>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_Toc1082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rPr>
            <w:t>二、 法定代表人身份证明书</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_Toc1082 \h </w:instrText>
          </w:r>
          <w:r>
            <w:rPr>
              <w:rFonts w:hint="eastAsia" w:ascii="宋体" w:hAnsi="宋体" w:eastAsia="宋体" w:cs="宋体"/>
              <w:highlight w:val="none"/>
            </w:rPr>
            <w:fldChar w:fldCharType="separate"/>
          </w:r>
          <w:r>
            <w:rPr>
              <w:rFonts w:hint="eastAsia" w:ascii="宋体" w:hAnsi="宋体" w:eastAsia="宋体" w:cs="宋体"/>
              <w:highlight w:val="none"/>
            </w:rPr>
            <w:t>52</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68524E74">
          <w:pPr>
            <w:pStyle w:val="27"/>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_Toc2152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rPr>
            <w:t>三、授权委托书</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_Toc2152 \h </w:instrText>
          </w:r>
          <w:r>
            <w:rPr>
              <w:rFonts w:hint="eastAsia" w:ascii="宋体" w:hAnsi="宋体" w:eastAsia="宋体" w:cs="宋体"/>
              <w:highlight w:val="none"/>
            </w:rPr>
            <w:fldChar w:fldCharType="separate"/>
          </w:r>
          <w:r>
            <w:rPr>
              <w:rFonts w:hint="eastAsia" w:ascii="宋体" w:hAnsi="宋体" w:eastAsia="宋体" w:cs="宋体"/>
              <w:highlight w:val="none"/>
            </w:rPr>
            <w:t>53</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21F075ED">
          <w:pPr>
            <w:pStyle w:val="27"/>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_Toc16426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lang w:val="en-US" w:eastAsia="zh-CN"/>
            </w:rPr>
            <w:t>四</w:t>
          </w:r>
          <w:r>
            <w:rPr>
              <w:rFonts w:hint="eastAsia" w:ascii="宋体" w:hAnsi="宋体" w:eastAsia="宋体" w:cs="宋体"/>
              <w:highlight w:val="none"/>
            </w:rPr>
            <w:t>、项目实施方案等</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_Toc16426 \h </w:instrText>
          </w:r>
          <w:r>
            <w:rPr>
              <w:rFonts w:hint="eastAsia" w:ascii="宋体" w:hAnsi="宋体" w:eastAsia="宋体" w:cs="宋体"/>
              <w:highlight w:val="none"/>
            </w:rPr>
            <w:fldChar w:fldCharType="separate"/>
          </w:r>
          <w:r>
            <w:rPr>
              <w:rFonts w:hint="eastAsia" w:ascii="宋体" w:hAnsi="宋体" w:eastAsia="宋体" w:cs="宋体"/>
              <w:highlight w:val="none"/>
            </w:rPr>
            <w:t>54</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4E78734E">
          <w:pPr>
            <w:pStyle w:val="27"/>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_Toc20397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lang w:val="en-US" w:eastAsia="zh-CN"/>
            </w:rPr>
            <w:t>五</w:t>
          </w:r>
          <w:r>
            <w:rPr>
              <w:rFonts w:hint="eastAsia" w:ascii="宋体" w:hAnsi="宋体" w:eastAsia="宋体" w:cs="宋体"/>
              <w:highlight w:val="none"/>
            </w:rPr>
            <w:t>、售后服务</w:t>
          </w:r>
          <w:r>
            <w:rPr>
              <w:rFonts w:hint="eastAsia" w:ascii="宋体" w:hAnsi="宋体" w:eastAsia="宋体" w:cs="宋体"/>
              <w:highlight w:val="none"/>
              <w:lang w:val="en-US" w:eastAsia="zh-CN"/>
            </w:rPr>
            <w:t>方案</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_Toc20397 \h </w:instrText>
          </w:r>
          <w:r>
            <w:rPr>
              <w:rFonts w:hint="eastAsia" w:ascii="宋体" w:hAnsi="宋体" w:eastAsia="宋体" w:cs="宋体"/>
              <w:highlight w:val="none"/>
            </w:rPr>
            <w:fldChar w:fldCharType="separate"/>
          </w:r>
          <w:r>
            <w:rPr>
              <w:rFonts w:hint="eastAsia" w:ascii="宋体" w:hAnsi="宋体" w:eastAsia="宋体" w:cs="宋体"/>
              <w:highlight w:val="none"/>
            </w:rPr>
            <w:t>55</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0D9C4C7A">
          <w:pPr>
            <w:pStyle w:val="27"/>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_Toc12730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lang w:val="en-US" w:eastAsia="zh-CN"/>
            </w:rPr>
            <w:t>六</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类似</w:t>
          </w:r>
          <w:r>
            <w:rPr>
              <w:rFonts w:hint="eastAsia" w:ascii="宋体" w:hAnsi="宋体" w:eastAsia="宋体" w:cs="宋体"/>
              <w:highlight w:val="none"/>
              <w:lang w:eastAsia="zh-CN"/>
            </w:rPr>
            <w:t>业绩</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_Toc12730 \h </w:instrText>
          </w:r>
          <w:r>
            <w:rPr>
              <w:rFonts w:hint="eastAsia" w:ascii="宋体" w:hAnsi="宋体" w:eastAsia="宋体" w:cs="宋体"/>
              <w:highlight w:val="none"/>
            </w:rPr>
            <w:fldChar w:fldCharType="separate"/>
          </w:r>
          <w:r>
            <w:rPr>
              <w:rFonts w:hint="eastAsia" w:ascii="宋体" w:hAnsi="宋体" w:eastAsia="宋体" w:cs="宋体"/>
              <w:highlight w:val="none"/>
            </w:rPr>
            <w:t>56</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44A070AA">
          <w:pPr>
            <w:pStyle w:val="27"/>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_Toc31488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lang w:val="en-US" w:eastAsia="zh-CN"/>
            </w:rPr>
            <w:t>七、投标人</w:t>
          </w:r>
          <w:r>
            <w:rPr>
              <w:rFonts w:hint="eastAsia" w:ascii="宋体" w:hAnsi="宋体" w:eastAsia="宋体" w:cs="宋体"/>
              <w:highlight w:val="none"/>
            </w:rPr>
            <w:t>基本情况表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_Toc31488 \h </w:instrText>
          </w:r>
          <w:r>
            <w:rPr>
              <w:rFonts w:hint="eastAsia" w:ascii="宋体" w:hAnsi="宋体" w:eastAsia="宋体" w:cs="宋体"/>
              <w:highlight w:val="none"/>
            </w:rPr>
            <w:fldChar w:fldCharType="separate"/>
          </w:r>
          <w:r>
            <w:rPr>
              <w:rFonts w:hint="eastAsia" w:ascii="宋体" w:hAnsi="宋体" w:eastAsia="宋体" w:cs="宋体"/>
              <w:highlight w:val="none"/>
            </w:rPr>
            <w:t>57</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30651F0A">
          <w:pPr>
            <w:pStyle w:val="27"/>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_Toc11610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lang w:val="en-US" w:eastAsia="zh-CN"/>
            </w:rPr>
            <w:t>八</w:t>
          </w:r>
          <w:r>
            <w:rPr>
              <w:rFonts w:hint="eastAsia" w:ascii="宋体" w:hAnsi="宋体" w:eastAsia="宋体" w:cs="宋体"/>
              <w:highlight w:val="none"/>
            </w:rPr>
            <w:t>、政府采购投标人资格证明承诺函</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_Toc11610 \h </w:instrText>
          </w:r>
          <w:r>
            <w:rPr>
              <w:rFonts w:hint="eastAsia" w:ascii="宋体" w:hAnsi="宋体" w:eastAsia="宋体" w:cs="宋体"/>
              <w:highlight w:val="none"/>
            </w:rPr>
            <w:fldChar w:fldCharType="separate"/>
          </w:r>
          <w:r>
            <w:rPr>
              <w:rFonts w:hint="eastAsia" w:ascii="宋体" w:hAnsi="宋体" w:eastAsia="宋体" w:cs="宋体"/>
              <w:highlight w:val="none"/>
            </w:rPr>
            <w:t>58</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627A0C22">
          <w:pPr>
            <w:pStyle w:val="27"/>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_Toc5757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lang w:val="en-US" w:eastAsia="zh-CN"/>
            </w:rPr>
            <w:t>九</w:t>
          </w:r>
          <w:r>
            <w:rPr>
              <w:rFonts w:hint="eastAsia" w:ascii="宋体" w:hAnsi="宋体" w:eastAsia="宋体" w:cs="宋体"/>
              <w:highlight w:val="none"/>
            </w:rPr>
            <w:t>、投标人所投产品属于政府采购清单规定的节能环保产品的证明材料（如有）</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_Toc5757 \h </w:instrText>
          </w:r>
          <w:r>
            <w:rPr>
              <w:rFonts w:hint="eastAsia" w:ascii="宋体" w:hAnsi="宋体" w:eastAsia="宋体" w:cs="宋体"/>
              <w:highlight w:val="none"/>
            </w:rPr>
            <w:fldChar w:fldCharType="separate"/>
          </w:r>
          <w:r>
            <w:rPr>
              <w:rFonts w:hint="eastAsia" w:ascii="宋体" w:hAnsi="宋体" w:eastAsia="宋体" w:cs="宋体"/>
              <w:highlight w:val="none"/>
            </w:rPr>
            <w:t>59</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7A6C15DF">
          <w:pPr>
            <w:pStyle w:val="27"/>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_Toc6774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bCs/>
              <w:kern w:val="2"/>
              <w:szCs w:val="32"/>
              <w:highlight w:val="none"/>
              <w:lang w:val="en-US" w:eastAsia="zh-CN" w:bidi="ar-SA"/>
            </w:rPr>
            <w:t>十、</w:t>
          </w:r>
          <w:r>
            <w:rPr>
              <w:rFonts w:hint="eastAsia" w:ascii="宋体" w:hAnsi="宋体" w:eastAsia="宋体" w:cs="宋体"/>
              <w:highlight w:val="none"/>
            </w:rPr>
            <w:t>中小企业声明函（</w:t>
          </w:r>
          <w:r>
            <w:rPr>
              <w:rFonts w:hint="eastAsia" w:ascii="宋体" w:hAnsi="宋体" w:eastAsia="宋体" w:cs="宋体"/>
              <w:highlight w:val="none"/>
              <w:lang w:val="en-US" w:eastAsia="zh-CN"/>
            </w:rPr>
            <w:t>如有</w:t>
          </w:r>
          <w:r>
            <w:rPr>
              <w:rFonts w:hint="eastAsia" w:ascii="宋体" w:hAnsi="宋体" w:eastAsia="宋体" w:cs="宋体"/>
              <w:highlight w:val="none"/>
            </w:rPr>
            <w:t>）</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_Toc6774 \h </w:instrText>
          </w:r>
          <w:r>
            <w:rPr>
              <w:rFonts w:hint="eastAsia" w:ascii="宋体" w:hAnsi="宋体" w:eastAsia="宋体" w:cs="宋体"/>
              <w:highlight w:val="none"/>
            </w:rPr>
            <w:fldChar w:fldCharType="separate"/>
          </w:r>
          <w:r>
            <w:rPr>
              <w:rFonts w:hint="eastAsia" w:ascii="宋体" w:hAnsi="宋体" w:eastAsia="宋体" w:cs="宋体"/>
              <w:highlight w:val="none"/>
            </w:rPr>
            <w:t>60</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4588EF17">
          <w:pPr>
            <w:pStyle w:val="27"/>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_Toc20627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highlight w:val="none"/>
              <w:lang w:val="en-US" w:eastAsia="zh-CN"/>
            </w:rPr>
            <w:t>十一、招标文件要求的或投标人认为须提交的其他材料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_Toc20627 \h </w:instrText>
          </w:r>
          <w:r>
            <w:rPr>
              <w:rFonts w:hint="eastAsia" w:ascii="宋体" w:hAnsi="宋体" w:eastAsia="宋体" w:cs="宋体"/>
              <w:highlight w:val="none"/>
            </w:rPr>
            <w:fldChar w:fldCharType="separate"/>
          </w:r>
          <w:r>
            <w:rPr>
              <w:rFonts w:hint="eastAsia" w:ascii="宋体" w:hAnsi="宋体" w:eastAsia="宋体" w:cs="宋体"/>
              <w:highlight w:val="none"/>
            </w:rPr>
            <w:t>63</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6D525FEE">
          <w:pPr>
            <w:pStyle w:val="25"/>
            <w:tabs>
              <w:tab w:val="right" w:leader="dot" w:pos="9035"/>
            </w:tabs>
            <w:rPr>
              <w:rFonts w:hint="eastAsia" w:ascii="宋体" w:hAnsi="宋体" w:eastAsia="宋体" w:cs="宋体"/>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_Toc10128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szCs w:val="36"/>
              <w:highlight w:val="none"/>
            </w:rPr>
            <w:t>优化和提升政府采购政策</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_Toc10128 \h </w:instrText>
          </w:r>
          <w:r>
            <w:rPr>
              <w:rFonts w:hint="eastAsia" w:ascii="宋体" w:hAnsi="宋体" w:eastAsia="宋体" w:cs="宋体"/>
              <w:highlight w:val="none"/>
            </w:rPr>
            <w:fldChar w:fldCharType="separate"/>
          </w:r>
          <w:r>
            <w:rPr>
              <w:rFonts w:hint="eastAsia" w:ascii="宋体" w:hAnsi="宋体" w:eastAsia="宋体" w:cs="宋体"/>
              <w:highlight w:val="none"/>
            </w:rPr>
            <w:t>64</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67E8A478">
          <w:pPr>
            <w:pStyle w:val="25"/>
            <w:tabs>
              <w:tab w:val="right" w:leader="dot" w:pos="9035"/>
            </w:tabs>
            <w:rPr>
              <w:highlight w:val="none"/>
            </w:rPr>
          </w:pPr>
          <w:r>
            <w:rPr>
              <w:rFonts w:hint="eastAsia" w:ascii="宋体" w:hAnsi="宋体" w:eastAsia="宋体" w:cs="宋体"/>
              <w:bCs/>
              <w:color w:val="auto"/>
              <w:kern w:val="2"/>
              <w:szCs w:val="24"/>
              <w:highlight w:val="none"/>
              <w:lang w:val="en-US" w:eastAsia="zh-CN" w:bidi="ar-SA"/>
            </w:rPr>
            <w:fldChar w:fldCharType="begin"/>
          </w:r>
          <w:r>
            <w:rPr>
              <w:rFonts w:hint="eastAsia" w:ascii="宋体" w:hAnsi="宋体" w:eastAsia="宋体" w:cs="宋体"/>
              <w:bCs/>
              <w:kern w:val="2"/>
              <w:szCs w:val="24"/>
              <w:highlight w:val="none"/>
              <w:lang w:val="en-US" w:eastAsia="zh-CN" w:bidi="ar-SA"/>
            </w:rPr>
            <w:instrText xml:space="preserve"> HYPERLINK \l _Toc14410 </w:instrText>
          </w:r>
          <w:r>
            <w:rPr>
              <w:rFonts w:hint="eastAsia" w:ascii="宋体" w:hAnsi="宋体" w:eastAsia="宋体" w:cs="宋体"/>
              <w:bCs/>
              <w:kern w:val="2"/>
              <w:szCs w:val="24"/>
              <w:highlight w:val="none"/>
              <w:lang w:val="en-US" w:eastAsia="zh-CN" w:bidi="ar-SA"/>
            </w:rPr>
            <w:fldChar w:fldCharType="separate"/>
          </w:r>
          <w:r>
            <w:rPr>
              <w:rFonts w:hint="eastAsia" w:ascii="宋体" w:hAnsi="宋体" w:eastAsia="宋体" w:cs="宋体"/>
              <w:szCs w:val="36"/>
              <w:highlight w:val="none"/>
            </w:rPr>
            <w:t>河南省政府采购合同融资政策告知函</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_Toc14410 \h </w:instrText>
          </w:r>
          <w:r>
            <w:rPr>
              <w:rFonts w:hint="eastAsia" w:ascii="宋体" w:hAnsi="宋体" w:eastAsia="宋体" w:cs="宋体"/>
              <w:highlight w:val="none"/>
            </w:rPr>
            <w:fldChar w:fldCharType="separate"/>
          </w:r>
          <w:r>
            <w:rPr>
              <w:rFonts w:hint="eastAsia" w:ascii="宋体" w:hAnsi="宋体" w:eastAsia="宋体" w:cs="宋体"/>
              <w:highlight w:val="none"/>
            </w:rPr>
            <w:t>65</w:t>
          </w:r>
          <w:r>
            <w:rPr>
              <w:rFonts w:hint="eastAsia" w:ascii="宋体" w:hAnsi="宋体" w:eastAsia="宋体" w:cs="宋体"/>
              <w:highlight w:val="none"/>
            </w:rPr>
            <w:fldChar w:fldCharType="end"/>
          </w:r>
          <w:r>
            <w:rPr>
              <w:rFonts w:hint="eastAsia" w:ascii="宋体" w:hAnsi="宋体" w:eastAsia="宋体" w:cs="宋体"/>
              <w:bCs/>
              <w:color w:val="auto"/>
              <w:kern w:val="2"/>
              <w:szCs w:val="24"/>
              <w:highlight w:val="none"/>
              <w:lang w:val="en-US" w:eastAsia="zh-CN" w:bidi="ar-SA"/>
            </w:rPr>
            <w:fldChar w:fldCharType="end"/>
          </w:r>
        </w:p>
        <w:p w14:paraId="3FDB2509">
          <w:pPr>
            <w:spacing w:line="360" w:lineRule="auto"/>
            <w:outlineLvl w:val="9"/>
            <w:rPr>
              <w:rFonts w:hint="eastAsia" w:ascii="宋体" w:hAnsi="宋体" w:eastAsia="宋体" w:cs="宋体"/>
              <w:bCs/>
              <w:color w:val="auto"/>
              <w:highlight w:val="none"/>
            </w:rPr>
          </w:pPr>
          <w:r>
            <w:rPr>
              <w:rFonts w:hint="eastAsia" w:ascii="宋体" w:hAnsi="宋体" w:eastAsia="宋体" w:cs="宋体"/>
              <w:bCs/>
              <w:color w:val="auto"/>
              <w:kern w:val="2"/>
              <w:szCs w:val="24"/>
              <w:highlight w:val="none"/>
              <w:lang w:val="en-US" w:eastAsia="zh-CN" w:bidi="ar-SA"/>
            </w:rPr>
            <w:fldChar w:fldCharType="end"/>
          </w:r>
        </w:p>
      </w:sdtContent>
    </w:sdt>
    <w:p w14:paraId="05146446">
      <w:pPr>
        <w:pStyle w:val="48"/>
        <w:outlineLvl w:val="9"/>
        <w:rPr>
          <w:rFonts w:hint="eastAsia" w:ascii="宋体" w:hAnsi="宋体" w:eastAsia="宋体" w:cs="宋体"/>
          <w:bCs/>
          <w:color w:val="auto"/>
          <w:highlight w:val="none"/>
        </w:rPr>
      </w:pPr>
    </w:p>
    <w:p w14:paraId="464B0B51">
      <w:pPr>
        <w:pStyle w:val="2"/>
        <w:bidi w:val="0"/>
        <w:rPr>
          <w:rFonts w:hint="eastAsia" w:ascii="宋体" w:hAnsi="宋体" w:eastAsia="宋体" w:cs="宋体"/>
          <w:color w:val="auto"/>
          <w:highlight w:val="none"/>
        </w:rPr>
        <w:sectPr>
          <w:footerReference r:id="rId4" w:type="default"/>
          <w:pgSz w:w="11907" w:h="16841"/>
          <w:pgMar w:top="1424" w:right="1513" w:bottom="1142" w:left="1359" w:header="850" w:footer="850" w:gutter="0"/>
          <w:pgNumType w:fmt="decimal" w:start="1"/>
          <w:cols w:space="720" w:num="1"/>
        </w:sectPr>
      </w:pPr>
      <w:bookmarkStart w:id="0" w:name="_Toc27735"/>
      <w:bookmarkStart w:id="1" w:name="_Toc15847"/>
    </w:p>
    <w:p w14:paraId="4334E8EA">
      <w:pPr>
        <w:pStyle w:val="2"/>
        <w:bidi w:val="0"/>
        <w:rPr>
          <w:rFonts w:hint="eastAsia" w:ascii="宋体" w:hAnsi="宋体" w:eastAsia="宋体" w:cs="宋体"/>
          <w:color w:val="auto"/>
          <w:highlight w:val="none"/>
        </w:rPr>
      </w:pPr>
      <w:bookmarkStart w:id="2" w:name="_Toc20086"/>
      <w:r>
        <w:rPr>
          <w:rFonts w:hint="eastAsia" w:ascii="宋体" w:hAnsi="宋体" w:eastAsia="宋体" w:cs="宋体"/>
          <w:color w:val="auto"/>
          <w:highlight w:val="none"/>
        </w:rPr>
        <w:t>重要事项提示</w:t>
      </w:r>
      <w:bookmarkEnd w:id="0"/>
      <w:bookmarkEnd w:id="1"/>
      <w:bookmarkEnd w:id="2"/>
    </w:p>
    <w:p w14:paraId="70836179">
      <w:pPr>
        <w:spacing w:line="50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各潜在投标人：</w:t>
      </w:r>
    </w:p>
    <w:p w14:paraId="38F96F94">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以下环节是此采购文件中需要重点关注的环节，对以下内容的忽视，可能是影响贵公司中标的重要因素。请在编制相应文件参与政府采购时高度重视。</w:t>
      </w:r>
    </w:p>
    <w:p w14:paraId="1FFBDD1B">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1.采购文件应通过焦作市公共资源交易中心网站会员系统进行网上下载；未使用</w:t>
      </w:r>
      <w:r>
        <w:rPr>
          <w:rFonts w:hint="eastAsia" w:ascii="宋体" w:hAnsi="宋体" w:eastAsia="宋体" w:cs="宋体"/>
          <w:bCs/>
          <w:color w:val="auto"/>
          <w:kern w:val="0"/>
          <w:sz w:val="24"/>
          <w:highlight w:val="none"/>
        </w:rPr>
        <w:t>企业 CA 密匙</w:t>
      </w:r>
      <w:r>
        <w:rPr>
          <w:rFonts w:hint="eastAsia" w:ascii="宋体" w:hAnsi="宋体" w:eastAsia="宋体" w:cs="宋体"/>
          <w:color w:val="auto"/>
          <w:sz w:val="24"/>
          <w:highlight w:val="none"/>
        </w:rPr>
        <w:t>登录焦作市公共资源交易中心网站会员系统进行网上下载文件的，投标视为无效；</w:t>
      </w:r>
    </w:p>
    <w:p w14:paraId="237D20D1">
      <w:pPr>
        <w:kinsoku w:val="0"/>
        <w:autoSpaceDE w:val="0"/>
        <w:autoSpaceDN w:val="0"/>
        <w:adjustRightInd w:val="0"/>
        <w:snapToGrid w:val="0"/>
        <w:spacing w:line="440" w:lineRule="exact"/>
        <w:ind w:firstLine="480" w:firstLineChars="200"/>
        <w:textAlignment w:val="baseline"/>
        <w:outlineLvl w:val="9"/>
        <w:rPr>
          <w:rFonts w:hint="eastAsia" w:ascii="宋体" w:hAnsi="宋体" w:eastAsia="宋体" w:cs="宋体"/>
          <w:color w:val="auto"/>
          <w:spacing w:val="-1"/>
          <w:sz w:val="24"/>
          <w:highlight w:val="none"/>
        </w:rPr>
      </w:pPr>
      <w:r>
        <w:rPr>
          <w:rFonts w:hint="eastAsia" w:ascii="宋体" w:hAnsi="宋体" w:eastAsia="宋体" w:cs="宋体"/>
          <w:color w:val="auto"/>
          <w:kern w:val="0"/>
          <w:sz w:val="24"/>
          <w:szCs w:val="24"/>
          <w:highlight w:val="none"/>
          <w:lang w:val="en-US" w:eastAsia="zh-CN" w:bidi="ar-SA"/>
        </w:rPr>
        <w:t>2.本项</w:t>
      </w:r>
      <w:r>
        <w:rPr>
          <w:rFonts w:hint="eastAsia" w:ascii="宋体" w:hAnsi="宋体" w:eastAsia="宋体" w:cs="宋体"/>
          <w:color w:val="auto"/>
          <w:spacing w:val="-1"/>
          <w:sz w:val="24"/>
          <w:highlight w:val="none"/>
        </w:rPr>
        <w:t>目采用“远程不见面”的开标方式，潜在投标人可提前在焦作市交易中心官网首页---下载中心--下载《焦作市电子招投标系统操作手册》和《焦作市公共资源交易平台不见面开标操作手册》、《投标文件制作工作工具》等，查看操作说明，按要求进行投标文件制作和上传等。为避免网络拥堵等不可控因素影响投标文件的上传，请提前上传投标文件，并在开标截止时间前登录不见面开标大厅https://ggzy.jiaozuo.gov.cn/BidOpeningHall/bidhall/dqhnjz/login.html按要求解密投标文件。因文件未及时上传导致投标失败的责任由投标人自行承担，具体要求详见招标文件。 平台统一技术服务电话：0512-58188538，服务 QQ：4008503300，服务时间：周一至周日 8：00-17：30。</w:t>
      </w:r>
    </w:p>
    <w:p w14:paraId="08E55D2D">
      <w:pPr>
        <w:kinsoku w:val="0"/>
        <w:autoSpaceDE w:val="0"/>
        <w:autoSpaceDN w:val="0"/>
        <w:adjustRightInd w:val="0"/>
        <w:snapToGrid w:val="0"/>
        <w:spacing w:line="440" w:lineRule="exact"/>
        <w:ind w:firstLine="476" w:firstLineChars="200"/>
        <w:textAlignment w:val="baseline"/>
        <w:outlineLvl w:val="9"/>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投标人无需到现场参加开标会议，无需到达现场提交原件资料。投标人应当在线准时参加开标活动并进行文件解密、答疑澄清等。加密电子投标文件须在焦作市公共资源交易中心电子交易平台中加密上传，上传时必须得到电脑“上传成功”的确认回复后方为上传成功。在规定时间内投标文件未解密的投标人，视为放弃投标。</w:t>
      </w:r>
    </w:p>
    <w:p w14:paraId="7C04942B">
      <w:pPr>
        <w:pStyle w:val="29"/>
        <w:spacing w:before="0" w:beforeAutospacing="0" w:after="0" w:afterAutospacing="0" w:line="500" w:lineRule="exact"/>
        <w:ind w:firstLine="480" w:firstLineChars="20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3.有下列情形之一的，将作为自动放弃、无效投标或废标处理：</w:t>
      </w:r>
    </w:p>
    <w:p w14:paraId="0C6D4608">
      <w:pPr>
        <w:pStyle w:val="29"/>
        <w:numPr>
          <w:ilvl w:val="0"/>
          <w:numId w:val="3"/>
        </w:numPr>
        <w:spacing w:before="0" w:beforeAutospacing="0" w:after="0" w:afterAutospacing="0" w:line="500" w:lineRule="exact"/>
        <w:ind w:left="0" w:firstLine="480" w:firstLineChars="20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在投标文件中对同一采购项目有两个或多个报价，且未声明哪一个有效的；</w:t>
      </w:r>
    </w:p>
    <w:p w14:paraId="40982F83">
      <w:pPr>
        <w:pStyle w:val="29"/>
        <w:numPr>
          <w:ilvl w:val="0"/>
          <w:numId w:val="3"/>
        </w:numPr>
        <w:spacing w:before="0" w:beforeAutospacing="0" w:after="0" w:afterAutospacing="0" w:line="500" w:lineRule="exact"/>
        <w:ind w:left="0" w:firstLine="480" w:firstLineChars="20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投标文件的关键内容（</w:t>
      </w:r>
      <w:r>
        <w:rPr>
          <w:rFonts w:hint="eastAsia" w:cs="宋体"/>
          <w:color w:val="auto"/>
          <w:highlight w:val="none"/>
          <w:lang w:val="en-US" w:eastAsia="zh-CN"/>
        </w:rPr>
        <w:t>投标</w:t>
      </w:r>
      <w:r>
        <w:rPr>
          <w:rFonts w:hint="eastAsia" w:ascii="宋体" w:hAnsi="宋体" w:eastAsia="宋体" w:cs="宋体"/>
          <w:color w:val="auto"/>
          <w:highlight w:val="none"/>
        </w:rPr>
        <w:t>报价、</w:t>
      </w:r>
      <w:r>
        <w:rPr>
          <w:rFonts w:hint="eastAsia" w:cs="宋体"/>
          <w:color w:val="auto"/>
          <w:highlight w:val="none"/>
          <w:lang w:val="en-US" w:eastAsia="zh-CN"/>
        </w:rPr>
        <w:t>合同履行期限（</w:t>
      </w:r>
      <w:r>
        <w:rPr>
          <w:rFonts w:hint="eastAsia" w:ascii="宋体" w:hAnsi="宋体" w:eastAsia="宋体" w:cs="宋体"/>
          <w:color w:val="auto"/>
          <w:highlight w:val="none"/>
        </w:rPr>
        <w:t>供货安装期</w:t>
      </w:r>
      <w:r>
        <w:rPr>
          <w:rFonts w:hint="eastAsia" w:cs="宋体"/>
          <w:color w:val="auto"/>
          <w:highlight w:val="none"/>
          <w:lang w:eastAsia="zh-CN"/>
        </w:rPr>
        <w:t>）</w:t>
      </w:r>
      <w:r>
        <w:rPr>
          <w:rFonts w:hint="eastAsia" w:ascii="宋体" w:hAnsi="宋体" w:eastAsia="宋体" w:cs="宋体"/>
          <w:color w:val="auto"/>
          <w:highlight w:val="none"/>
        </w:rPr>
        <w:t>、质量标准、品牌、型号</w:t>
      </w:r>
      <w:r>
        <w:rPr>
          <w:rFonts w:hint="eastAsia" w:cs="宋体"/>
          <w:color w:val="auto"/>
          <w:highlight w:val="none"/>
          <w:lang w:eastAsia="zh-CN"/>
        </w:rPr>
        <w:t>、</w:t>
      </w:r>
      <w:r>
        <w:rPr>
          <w:rFonts w:hint="eastAsia" w:cs="宋体"/>
          <w:color w:val="auto"/>
          <w:highlight w:val="none"/>
          <w:lang w:val="en-US" w:eastAsia="zh-CN"/>
        </w:rPr>
        <w:t>投标有效期</w:t>
      </w:r>
      <w:r>
        <w:rPr>
          <w:rFonts w:hint="eastAsia" w:ascii="宋体" w:hAnsi="宋体" w:eastAsia="宋体" w:cs="宋体"/>
          <w:color w:val="auto"/>
          <w:highlight w:val="none"/>
        </w:rPr>
        <w:t>等）未填写或填写字迹模糊无法辨认的</w:t>
      </w:r>
      <w:r>
        <w:rPr>
          <w:rFonts w:hint="eastAsia" w:cs="宋体"/>
          <w:color w:val="auto"/>
          <w:highlight w:val="none"/>
          <w:lang w:val="en-US" w:eastAsia="zh-CN"/>
        </w:rPr>
        <w:t>,</w:t>
      </w:r>
      <w:r>
        <w:rPr>
          <w:rFonts w:hint="eastAsia" w:ascii="宋体" w:hAnsi="宋体" w:eastAsia="宋体" w:cs="宋体"/>
          <w:color w:val="auto"/>
          <w:highlight w:val="none"/>
        </w:rPr>
        <w:t>达不到采购要求的；</w:t>
      </w:r>
    </w:p>
    <w:p w14:paraId="427586F6">
      <w:pPr>
        <w:pStyle w:val="29"/>
        <w:numPr>
          <w:ilvl w:val="0"/>
          <w:numId w:val="3"/>
        </w:numPr>
        <w:spacing w:before="0" w:beforeAutospacing="0" w:after="0" w:afterAutospacing="0" w:line="500" w:lineRule="exact"/>
        <w:ind w:left="0" w:firstLine="480" w:firstLineChars="200"/>
        <w:jc w:val="both"/>
        <w:outlineLvl w:val="9"/>
        <w:rPr>
          <w:rFonts w:hint="default" w:ascii="宋体" w:hAnsi="宋体" w:eastAsia="宋体" w:cs="宋体"/>
          <w:color w:val="auto"/>
          <w:highlight w:val="none"/>
          <w:lang w:val="en-US" w:eastAsia="zh-CN"/>
        </w:rPr>
      </w:pPr>
      <w:r>
        <w:rPr>
          <w:rFonts w:hint="eastAsia" w:ascii="宋体" w:hAnsi="宋体" w:eastAsia="宋体" w:cs="宋体"/>
          <w:color w:val="auto"/>
          <w:highlight w:val="none"/>
        </w:rPr>
        <w:t>相关资格证明文件不合格的；</w:t>
      </w:r>
    </w:p>
    <w:p w14:paraId="5A38BFF2">
      <w:pPr>
        <w:pStyle w:val="29"/>
        <w:numPr>
          <w:ilvl w:val="0"/>
          <w:numId w:val="3"/>
        </w:numPr>
        <w:spacing w:before="0" w:beforeAutospacing="0" w:after="0" w:afterAutospacing="0" w:line="500" w:lineRule="exact"/>
        <w:ind w:left="0" w:firstLine="480" w:firstLineChars="20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投标报价超出</w:t>
      </w:r>
      <w:r>
        <w:rPr>
          <w:rFonts w:hint="eastAsia" w:cs="宋体"/>
          <w:color w:val="auto"/>
          <w:highlight w:val="none"/>
          <w:lang w:val="en-US" w:eastAsia="zh-CN"/>
        </w:rPr>
        <w:t>最高限价</w:t>
      </w:r>
      <w:r>
        <w:rPr>
          <w:rFonts w:hint="eastAsia" w:ascii="宋体" w:hAnsi="宋体" w:eastAsia="宋体" w:cs="宋体"/>
          <w:color w:val="auto"/>
          <w:highlight w:val="none"/>
        </w:rPr>
        <w:t>的</w:t>
      </w:r>
      <w:r>
        <w:rPr>
          <w:rFonts w:hint="eastAsia" w:cs="宋体"/>
          <w:color w:val="auto"/>
          <w:highlight w:val="none"/>
          <w:lang w:eastAsia="zh-CN"/>
        </w:rPr>
        <w:t>；</w:t>
      </w:r>
    </w:p>
    <w:p w14:paraId="1C1274FF">
      <w:pPr>
        <w:pStyle w:val="29"/>
        <w:numPr>
          <w:ilvl w:val="0"/>
          <w:numId w:val="3"/>
        </w:numPr>
        <w:spacing w:before="0" w:beforeAutospacing="0" w:after="0" w:afterAutospacing="0" w:line="500" w:lineRule="exact"/>
        <w:ind w:left="0" w:firstLine="480" w:firstLineChars="20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投标文件中附有采购人不能接受的条件的</w:t>
      </w:r>
      <w:r>
        <w:rPr>
          <w:rFonts w:hint="eastAsia" w:cs="宋体"/>
          <w:color w:val="auto"/>
          <w:highlight w:val="none"/>
          <w:lang w:eastAsia="zh-CN"/>
        </w:rPr>
        <w:t>；</w:t>
      </w:r>
    </w:p>
    <w:p w14:paraId="63F31A24">
      <w:pPr>
        <w:pStyle w:val="29"/>
        <w:numPr>
          <w:ilvl w:val="0"/>
          <w:numId w:val="3"/>
        </w:numPr>
        <w:spacing w:before="0" w:beforeAutospacing="0" w:after="0" w:afterAutospacing="0" w:line="500" w:lineRule="exact"/>
        <w:ind w:left="0" w:firstLine="480" w:firstLineChars="20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投标文件有明显不符合采购文件其它要求和有关法律法规的；</w:t>
      </w:r>
    </w:p>
    <w:p w14:paraId="363B42A0">
      <w:pPr>
        <w:pStyle w:val="29"/>
        <w:widowControl/>
        <w:numPr>
          <w:ilvl w:val="0"/>
          <w:numId w:val="0"/>
        </w:numPr>
        <w:spacing w:before="0" w:beforeAutospacing="0" w:after="0" w:afterAutospacing="0" w:line="500" w:lineRule="exact"/>
        <w:jc w:val="both"/>
        <w:outlineLvl w:val="9"/>
        <w:rPr>
          <w:rFonts w:hint="default" w:ascii="宋体" w:hAnsi="宋体" w:eastAsia="宋体" w:cs="宋体"/>
          <w:color w:val="auto"/>
          <w:highlight w:val="none"/>
          <w:lang w:val="en-US" w:eastAsia="zh-CN"/>
        </w:rPr>
      </w:pPr>
    </w:p>
    <w:p w14:paraId="2A2EADDA">
      <w:pPr>
        <w:pStyle w:val="29"/>
        <w:widowControl/>
        <w:numPr>
          <w:ilvl w:val="0"/>
          <w:numId w:val="0"/>
        </w:numPr>
        <w:spacing w:before="0" w:beforeAutospacing="0" w:after="0" w:afterAutospacing="0" w:line="500" w:lineRule="exact"/>
        <w:jc w:val="both"/>
        <w:outlineLvl w:val="9"/>
        <w:rPr>
          <w:rFonts w:hint="default" w:ascii="宋体" w:hAnsi="宋体" w:eastAsia="宋体" w:cs="宋体"/>
          <w:color w:val="auto"/>
          <w:highlight w:val="none"/>
          <w:lang w:val="en-US" w:eastAsia="zh-CN"/>
        </w:rPr>
        <w:sectPr>
          <w:footerReference r:id="rId5" w:type="default"/>
          <w:pgSz w:w="11907" w:h="16841"/>
          <w:pgMar w:top="1424" w:right="1513" w:bottom="1142" w:left="1359" w:header="850" w:footer="850" w:gutter="0"/>
          <w:pgNumType w:fmt="decimal"/>
          <w:cols w:space="720" w:num="1"/>
        </w:sectPr>
      </w:pPr>
    </w:p>
    <w:p w14:paraId="16463AAC">
      <w:pPr>
        <w:pStyle w:val="29"/>
        <w:numPr>
          <w:ilvl w:val="0"/>
          <w:numId w:val="3"/>
        </w:numPr>
        <w:spacing w:before="0" w:beforeAutospacing="0" w:after="0" w:afterAutospacing="0" w:line="500" w:lineRule="exact"/>
        <w:ind w:left="0" w:firstLine="480" w:firstLineChars="20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如因两个或两个以上投标人使用同一台计算或同一个 IP 上传响应文件，被不 见面开标系统提示为“投标文件制作机器码一致”的，则视其投标无效。若经查实有《政 府采购法实施条例》第七十四条情形，监管部门将依法做出处理；</w:t>
      </w:r>
    </w:p>
    <w:p w14:paraId="44C6A53C">
      <w:pPr>
        <w:pStyle w:val="29"/>
        <w:numPr>
          <w:ilvl w:val="0"/>
          <w:numId w:val="3"/>
        </w:numPr>
        <w:spacing w:before="0" w:beforeAutospacing="0" w:after="0" w:afterAutospacing="0" w:line="500" w:lineRule="exact"/>
        <w:ind w:left="0" w:firstLine="480" w:firstLineChars="200"/>
        <w:jc w:val="both"/>
        <w:outlineLvl w:val="9"/>
        <w:rPr>
          <w:rFonts w:hint="eastAsia" w:ascii="宋体" w:hAnsi="宋体" w:eastAsia="宋体" w:cs="宋体"/>
          <w:color w:val="auto"/>
          <w:highlight w:val="none"/>
        </w:rPr>
      </w:pPr>
      <w:r>
        <w:rPr>
          <w:rFonts w:hint="eastAsia" w:ascii="宋体" w:hAnsi="宋体" w:eastAsia="宋体" w:cs="宋体"/>
          <w:color w:val="auto"/>
          <w:highlight w:val="none"/>
        </w:rPr>
        <w:t>在评标过程中，评标委员会发现投标单位的报价明显低于其它投标报价，使 得其投标报价可能低于其个别成本的，应当要求该投标人作出书面说明并提供相关证明 材料。投标人不能合理说明或者不能提供相关证明材料的， 由评标委员会认定该投标人以低于成本报价竞标的。</w:t>
      </w:r>
    </w:p>
    <w:p w14:paraId="76C4E625">
      <w:pPr>
        <w:outlineLvl w:val="9"/>
        <w:rPr>
          <w:rFonts w:hint="eastAsia" w:ascii="宋体" w:hAnsi="宋体" w:eastAsia="宋体" w:cs="宋体"/>
          <w:color w:val="auto"/>
          <w:highlight w:val="none"/>
        </w:rPr>
      </w:pPr>
    </w:p>
    <w:p w14:paraId="441145F7">
      <w:pPr>
        <w:pStyle w:val="12"/>
        <w:outlineLvl w:val="9"/>
        <w:rPr>
          <w:rFonts w:hint="eastAsia" w:ascii="宋体" w:hAnsi="宋体" w:eastAsia="宋体" w:cs="宋体"/>
          <w:color w:val="auto"/>
          <w:highlight w:val="none"/>
        </w:rPr>
      </w:pPr>
    </w:p>
    <w:p w14:paraId="5228CD05">
      <w:pPr>
        <w:pStyle w:val="12"/>
        <w:outlineLvl w:val="9"/>
        <w:rPr>
          <w:rFonts w:hint="eastAsia" w:ascii="宋体" w:hAnsi="宋体" w:eastAsia="宋体" w:cs="宋体"/>
          <w:color w:val="auto"/>
          <w:highlight w:val="none"/>
        </w:rPr>
      </w:pPr>
    </w:p>
    <w:p w14:paraId="55F9A129">
      <w:pPr>
        <w:pStyle w:val="12"/>
        <w:outlineLvl w:val="9"/>
        <w:rPr>
          <w:rFonts w:hint="eastAsia" w:ascii="宋体" w:hAnsi="宋体" w:eastAsia="宋体" w:cs="宋体"/>
          <w:color w:val="auto"/>
          <w:highlight w:val="none"/>
        </w:rPr>
      </w:pPr>
    </w:p>
    <w:p w14:paraId="29E3504F">
      <w:pPr>
        <w:pStyle w:val="12"/>
        <w:outlineLvl w:val="9"/>
        <w:rPr>
          <w:rFonts w:hint="eastAsia" w:ascii="宋体" w:hAnsi="宋体" w:eastAsia="宋体" w:cs="宋体"/>
          <w:color w:val="auto"/>
          <w:highlight w:val="none"/>
        </w:rPr>
      </w:pPr>
    </w:p>
    <w:p w14:paraId="5901D3B1">
      <w:pPr>
        <w:pStyle w:val="12"/>
        <w:outlineLvl w:val="9"/>
        <w:rPr>
          <w:rFonts w:hint="eastAsia" w:ascii="宋体" w:hAnsi="宋体" w:eastAsia="宋体" w:cs="宋体"/>
          <w:color w:val="auto"/>
          <w:highlight w:val="none"/>
        </w:rPr>
      </w:pPr>
    </w:p>
    <w:p w14:paraId="6EEED37B">
      <w:pPr>
        <w:pStyle w:val="12"/>
        <w:outlineLvl w:val="9"/>
        <w:rPr>
          <w:rFonts w:hint="eastAsia" w:ascii="宋体" w:hAnsi="宋体" w:eastAsia="宋体" w:cs="宋体"/>
          <w:color w:val="auto"/>
          <w:highlight w:val="none"/>
        </w:rPr>
      </w:pPr>
    </w:p>
    <w:p w14:paraId="701ABBC2">
      <w:pPr>
        <w:pStyle w:val="12"/>
        <w:outlineLvl w:val="9"/>
        <w:rPr>
          <w:rFonts w:hint="eastAsia" w:ascii="宋体" w:hAnsi="宋体" w:eastAsia="宋体" w:cs="宋体"/>
          <w:color w:val="auto"/>
          <w:highlight w:val="none"/>
        </w:rPr>
      </w:pPr>
    </w:p>
    <w:p w14:paraId="0722E824">
      <w:pPr>
        <w:pStyle w:val="12"/>
        <w:outlineLvl w:val="9"/>
        <w:rPr>
          <w:rFonts w:hint="eastAsia" w:ascii="宋体" w:hAnsi="宋体" w:eastAsia="宋体" w:cs="宋体"/>
          <w:color w:val="auto"/>
          <w:highlight w:val="none"/>
        </w:rPr>
      </w:pPr>
    </w:p>
    <w:p w14:paraId="1A5BA19A">
      <w:pPr>
        <w:pStyle w:val="12"/>
        <w:outlineLvl w:val="9"/>
        <w:rPr>
          <w:rFonts w:hint="eastAsia" w:ascii="宋体" w:hAnsi="宋体" w:eastAsia="宋体" w:cs="宋体"/>
          <w:color w:val="auto"/>
          <w:highlight w:val="none"/>
        </w:rPr>
      </w:pPr>
    </w:p>
    <w:p w14:paraId="46D4295B">
      <w:pPr>
        <w:pStyle w:val="12"/>
        <w:outlineLvl w:val="9"/>
        <w:rPr>
          <w:rFonts w:hint="eastAsia" w:ascii="宋体" w:hAnsi="宋体" w:eastAsia="宋体" w:cs="宋体"/>
          <w:color w:val="auto"/>
          <w:highlight w:val="none"/>
        </w:rPr>
      </w:pPr>
    </w:p>
    <w:p w14:paraId="3C045929">
      <w:pPr>
        <w:pStyle w:val="12"/>
        <w:outlineLvl w:val="9"/>
        <w:rPr>
          <w:rFonts w:hint="eastAsia" w:ascii="宋体" w:hAnsi="宋体" w:eastAsia="宋体" w:cs="宋体"/>
          <w:color w:val="auto"/>
          <w:highlight w:val="none"/>
        </w:rPr>
      </w:pPr>
    </w:p>
    <w:p w14:paraId="0694C272">
      <w:pPr>
        <w:pStyle w:val="12"/>
        <w:outlineLvl w:val="9"/>
        <w:rPr>
          <w:rFonts w:hint="eastAsia" w:ascii="宋体" w:hAnsi="宋体" w:eastAsia="宋体" w:cs="宋体"/>
          <w:color w:val="auto"/>
          <w:highlight w:val="none"/>
        </w:rPr>
      </w:pPr>
    </w:p>
    <w:p w14:paraId="5A053C06">
      <w:pPr>
        <w:pStyle w:val="12"/>
        <w:outlineLvl w:val="9"/>
        <w:rPr>
          <w:rFonts w:hint="eastAsia" w:ascii="宋体" w:hAnsi="宋体" w:eastAsia="宋体" w:cs="宋体"/>
          <w:color w:val="auto"/>
          <w:highlight w:val="none"/>
        </w:rPr>
      </w:pPr>
    </w:p>
    <w:p w14:paraId="2C18B83F">
      <w:pPr>
        <w:pStyle w:val="12"/>
        <w:outlineLvl w:val="9"/>
        <w:rPr>
          <w:rFonts w:hint="eastAsia" w:ascii="宋体" w:hAnsi="宋体" w:eastAsia="宋体" w:cs="宋体"/>
          <w:color w:val="auto"/>
          <w:highlight w:val="none"/>
        </w:rPr>
      </w:pPr>
    </w:p>
    <w:p w14:paraId="741F0A69">
      <w:pPr>
        <w:pStyle w:val="12"/>
        <w:outlineLvl w:val="9"/>
        <w:rPr>
          <w:rFonts w:hint="eastAsia" w:ascii="宋体" w:hAnsi="宋体" w:eastAsia="宋体" w:cs="宋体"/>
          <w:color w:val="auto"/>
          <w:highlight w:val="none"/>
        </w:rPr>
      </w:pPr>
    </w:p>
    <w:p w14:paraId="33D1DE09">
      <w:pPr>
        <w:pStyle w:val="12"/>
        <w:outlineLvl w:val="9"/>
        <w:rPr>
          <w:rFonts w:hint="eastAsia" w:ascii="宋体" w:hAnsi="宋体" w:eastAsia="宋体" w:cs="宋体"/>
          <w:color w:val="auto"/>
          <w:highlight w:val="none"/>
        </w:rPr>
      </w:pPr>
    </w:p>
    <w:p w14:paraId="7EFA8B24">
      <w:pPr>
        <w:pStyle w:val="12"/>
        <w:outlineLvl w:val="9"/>
        <w:rPr>
          <w:rFonts w:hint="eastAsia" w:ascii="宋体" w:hAnsi="宋体" w:eastAsia="宋体" w:cs="宋体"/>
          <w:color w:val="auto"/>
          <w:highlight w:val="none"/>
        </w:rPr>
      </w:pPr>
    </w:p>
    <w:p w14:paraId="67CA2C6E">
      <w:pPr>
        <w:pStyle w:val="12"/>
        <w:outlineLvl w:val="9"/>
        <w:rPr>
          <w:rFonts w:hint="eastAsia" w:ascii="宋体" w:hAnsi="宋体" w:eastAsia="宋体" w:cs="宋体"/>
          <w:color w:val="auto"/>
          <w:highlight w:val="none"/>
        </w:rPr>
      </w:pPr>
    </w:p>
    <w:p w14:paraId="53622E64">
      <w:pPr>
        <w:pStyle w:val="12"/>
        <w:outlineLvl w:val="9"/>
        <w:rPr>
          <w:rFonts w:hint="eastAsia" w:ascii="宋体" w:hAnsi="宋体" w:eastAsia="宋体" w:cs="宋体"/>
          <w:color w:val="auto"/>
          <w:highlight w:val="none"/>
        </w:rPr>
      </w:pPr>
    </w:p>
    <w:p w14:paraId="3A1FDD26">
      <w:pPr>
        <w:pStyle w:val="12"/>
        <w:outlineLvl w:val="9"/>
        <w:rPr>
          <w:rFonts w:hint="eastAsia" w:ascii="宋体" w:hAnsi="宋体" w:eastAsia="宋体" w:cs="宋体"/>
          <w:color w:val="auto"/>
          <w:highlight w:val="none"/>
        </w:rPr>
      </w:pPr>
    </w:p>
    <w:p w14:paraId="61973805">
      <w:pPr>
        <w:pStyle w:val="12"/>
        <w:outlineLvl w:val="9"/>
        <w:rPr>
          <w:rFonts w:hint="eastAsia" w:ascii="宋体" w:hAnsi="宋体" w:eastAsia="宋体" w:cs="宋体"/>
          <w:color w:val="auto"/>
          <w:highlight w:val="none"/>
        </w:rPr>
      </w:pPr>
    </w:p>
    <w:p w14:paraId="60AA9CC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44F78DE">
      <w:pPr>
        <w:pStyle w:val="2"/>
        <w:numPr>
          <w:ilvl w:val="0"/>
          <w:numId w:val="4"/>
        </w:numPr>
        <w:bidi w:val="0"/>
        <w:rPr>
          <w:rFonts w:hint="eastAsia" w:ascii="宋体" w:hAnsi="宋体" w:eastAsia="宋体" w:cs="宋体"/>
          <w:color w:val="auto"/>
          <w:highlight w:val="none"/>
        </w:rPr>
      </w:pPr>
      <w:bookmarkStart w:id="3" w:name="_Toc23622"/>
      <w:bookmarkStart w:id="4" w:name="_Toc24066"/>
      <w:bookmarkStart w:id="5" w:name="_Toc2405"/>
      <w:r>
        <w:rPr>
          <w:rFonts w:hint="eastAsia" w:ascii="宋体" w:hAnsi="宋体" w:eastAsia="宋体" w:cs="宋体"/>
          <w:color w:val="auto"/>
          <w:highlight w:val="none"/>
        </w:rPr>
        <w:t>招标公告</w:t>
      </w:r>
      <w:bookmarkEnd w:id="3"/>
      <w:bookmarkEnd w:id="4"/>
      <w:bookmarkEnd w:id="5"/>
    </w:p>
    <w:p w14:paraId="7DF7541F">
      <w:pPr>
        <w:spacing w:line="440" w:lineRule="exact"/>
        <w:jc w:val="center"/>
        <w:outlineLvl w:val="9"/>
        <w:rPr>
          <w:rFonts w:hint="eastAsia" w:ascii="宋体" w:hAnsi="宋体" w:eastAsia="宋体" w:cs="宋体"/>
          <w:b/>
          <w:bCs/>
          <w:color w:val="auto"/>
          <w:sz w:val="28"/>
          <w:szCs w:val="28"/>
          <w:highlight w:val="none"/>
          <w:lang w:eastAsia="zh-CN"/>
        </w:rPr>
      </w:pPr>
      <w:bookmarkStart w:id="6" w:name="_Toc21974"/>
      <w:bookmarkStart w:id="7" w:name="_Toc21579"/>
      <w:r>
        <w:rPr>
          <w:rFonts w:hint="eastAsia" w:ascii="宋体" w:hAnsi="宋体" w:cs="宋体"/>
          <w:b/>
          <w:bCs/>
          <w:color w:val="auto"/>
          <w:sz w:val="28"/>
          <w:szCs w:val="28"/>
          <w:highlight w:val="none"/>
          <w:lang w:eastAsia="zh-CN"/>
        </w:rPr>
        <w:t>焦作市新材料职业学院学术交流中心中央空调采购项目</w:t>
      </w:r>
    </w:p>
    <w:p w14:paraId="3795FBB4">
      <w:pPr>
        <w:spacing w:line="440" w:lineRule="exact"/>
        <w:jc w:val="center"/>
        <w:outlineLvl w:val="9"/>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t>招标公告（不见面开标）</w:t>
      </w:r>
    </w:p>
    <w:tbl>
      <w:tblPr>
        <w:tblStyle w:val="34"/>
        <w:tblW w:w="550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74"/>
      </w:tblGrid>
      <w:tr w14:paraId="18934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5" w:hRule="atLeast"/>
        </w:trPr>
        <w:tc>
          <w:tcPr>
            <w:tcW w:w="5000" w:type="pct"/>
          </w:tcPr>
          <w:p w14:paraId="296D1CC5">
            <w:pPr>
              <w:pStyle w:val="33"/>
              <w:outlineLvl w:val="9"/>
              <w:rPr>
                <w:rFonts w:hint="eastAsia" w:ascii="宋体" w:hAnsi="宋体" w:eastAsia="宋体" w:cs="宋体"/>
                <w:color w:val="auto"/>
                <w:highlight w:val="none"/>
              </w:rPr>
            </w:pPr>
            <w:r>
              <w:rPr>
                <w:rFonts w:hint="eastAsia" w:ascii="宋体" w:hAnsi="宋体" w:eastAsia="宋体" w:cs="宋体"/>
                <w:color w:val="auto"/>
                <w:highlight w:val="none"/>
              </w:rPr>
              <w:t>项目概况：</w:t>
            </w:r>
          </w:p>
          <w:p w14:paraId="4B05273F">
            <w:pPr>
              <w:pStyle w:val="33"/>
              <w:outlineLvl w:val="9"/>
              <w:rPr>
                <w:rFonts w:hint="eastAsia" w:ascii="宋体" w:hAnsi="宋体" w:eastAsia="宋体" w:cs="宋体"/>
                <w:color w:val="auto"/>
                <w:highlight w:val="none"/>
              </w:rPr>
            </w:pPr>
            <w:r>
              <w:rPr>
                <w:rFonts w:hint="eastAsia" w:ascii="宋体" w:hAnsi="宋体" w:eastAsia="宋体" w:cs="宋体"/>
                <w:color w:val="auto"/>
                <w:highlight w:val="none"/>
                <w:u w:val="single"/>
                <w:lang w:eastAsia="zh-CN"/>
              </w:rPr>
              <w:t>焦作市新材料职业学院学术交流中心中央空调采购项目</w:t>
            </w:r>
            <w:r>
              <w:rPr>
                <w:rFonts w:hint="eastAsia" w:ascii="宋体" w:hAnsi="宋体" w:eastAsia="宋体" w:cs="宋体"/>
                <w:color w:val="auto"/>
                <w:highlight w:val="none"/>
                <w:u w:val="none"/>
                <w:lang w:val="en-US" w:eastAsia="zh-CN"/>
              </w:rPr>
              <w:t>招标项目</w:t>
            </w:r>
            <w:r>
              <w:rPr>
                <w:rFonts w:hint="eastAsia" w:ascii="宋体" w:hAnsi="宋体" w:eastAsia="宋体" w:cs="宋体"/>
                <w:color w:val="auto"/>
                <w:highlight w:val="none"/>
              </w:rPr>
              <w:t>的潜在投标人应在</w:t>
            </w:r>
            <w:r>
              <w:rPr>
                <w:rFonts w:hint="eastAsia" w:ascii="宋体" w:hAnsi="宋体" w:eastAsia="宋体" w:cs="宋体"/>
                <w:color w:val="auto"/>
                <w:highlight w:val="none"/>
                <w:u w:val="single"/>
              </w:rPr>
              <w:t>焦作市公共资源交易中心网站</w:t>
            </w:r>
            <w:r>
              <w:rPr>
                <w:rFonts w:hint="eastAsia" w:ascii="宋体" w:hAnsi="宋体" w:eastAsia="宋体" w:cs="宋体"/>
                <w:color w:val="auto"/>
                <w:highlight w:val="none"/>
              </w:rPr>
              <w:t>获取招标文件，并于</w:t>
            </w:r>
            <w:r>
              <w:rPr>
                <w:rFonts w:hint="eastAsia" w:ascii="宋体" w:hAnsi="宋体" w:eastAsia="宋体" w:cs="宋体"/>
                <w:color w:val="auto"/>
                <w:highlight w:val="none"/>
                <w:u w:val="single"/>
              </w:rPr>
              <w:t xml:space="preserve">2025年 </w:t>
            </w:r>
            <w:r>
              <w:rPr>
                <w:rFonts w:hint="eastAsia" w:ascii="宋体" w:hAnsi="宋体" w:eastAsia="宋体" w:cs="宋体"/>
                <w:color w:val="auto"/>
                <w:highlight w:val="none"/>
                <w:u w:val="single"/>
                <w:lang w:val="en-US" w:eastAsia="zh-CN"/>
              </w:rPr>
              <w:t>11</w:t>
            </w:r>
            <w:r>
              <w:rPr>
                <w:rFonts w:hint="eastAsia" w:ascii="宋体" w:hAnsi="宋体" w:eastAsia="宋体" w:cs="宋体"/>
                <w:color w:val="auto"/>
                <w:highlight w:val="none"/>
                <w:u w:val="single"/>
              </w:rPr>
              <w:t>月</w:t>
            </w:r>
            <w:r>
              <w:rPr>
                <w:rFonts w:hint="eastAsia" w:ascii="宋体" w:hAnsi="宋体" w:eastAsia="宋体" w:cs="宋体"/>
                <w:color w:val="auto"/>
                <w:highlight w:val="none"/>
                <w:u w:val="single"/>
                <w:lang w:val="en-US" w:eastAsia="zh-CN"/>
              </w:rPr>
              <w:t>24</w:t>
            </w:r>
            <w:r>
              <w:rPr>
                <w:rFonts w:hint="eastAsia" w:ascii="宋体" w:hAnsi="宋体" w:eastAsia="宋体" w:cs="宋体"/>
                <w:color w:val="auto"/>
                <w:highlight w:val="none"/>
                <w:u w:val="single"/>
              </w:rPr>
              <w:t>日0</w:t>
            </w:r>
            <w:r>
              <w:rPr>
                <w:rFonts w:hint="eastAsia" w:ascii="宋体" w:hAnsi="宋体" w:eastAsia="宋体" w:cs="宋体"/>
                <w:color w:val="auto"/>
                <w:highlight w:val="none"/>
                <w:u w:val="single"/>
                <w:lang w:val="en-US" w:eastAsia="zh-CN"/>
              </w:rPr>
              <w:t>8</w:t>
            </w:r>
            <w:r>
              <w:rPr>
                <w:rFonts w:hint="eastAsia" w:ascii="宋体" w:hAnsi="宋体" w:eastAsia="宋体" w:cs="宋体"/>
                <w:color w:val="auto"/>
                <w:highlight w:val="none"/>
                <w:u w:val="singl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0分</w:t>
            </w:r>
            <w:r>
              <w:rPr>
                <w:rFonts w:hint="eastAsia" w:ascii="宋体" w:hAnsi="宋体" w:eastAsia="宋体" w:cs="宋体"/>
                <w:color w:val="auto"/>
                <w:highlight w:val="none"/>
              </w:rPr>
              <w:t>（北京时间）前递交投标文件。</w:t>
            </w:r>
          </w:p>
        </w:tc>
      </w:tr>
    </w:tbl>
    <w:p w14:paraId="72783507">
      <w:pPr>
        <w:pStyle w:val="55"/>
        <w:spacing w:line="440" w:lineRule="exact"/>
        <w:ind w:left="0" w:firstLine="0"/>
        <w:outlineLvl w:val="9"/>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一、项目基本情况</w:t>
      </w:r>
    </w:p>
    <w:p w14:paraId="441F7A37">
      <w:pPr>
        <w:pStyle w:val="55"/>
        <w:spacing w:line="440" w:lineRule="exact"/>
        <w:ind w:left="0" w:firstLine="480" w:firstLineChars="200"/>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1.项目编号：</w:t>
      </w:r>
      <w:r>
        <w:rPr>
          <w:rFonts w:ascii="宋体" w:hAnsi="宋体" w:eastAsia="宋体" w:cs="宋体"/>
          <w:color w:val="auto"/>
          <w:spacing w:val="-2"/>
          <w:sz w:val="24"/>
          <w:szCs w:val="24"/>
          <w:highlight w:val="none"/>
        </w:rPr>
        <w:t>博财招标采购-2025-</w:t>
      </w:r>
      <w:r>
        <w:rPr>
          <w:rFonts w:hint="eastAsia" w:cs="宋体"/>
          <w:color w:val="auto"/>
          <w:spacing w:val="-2"/>
          <w:sz w:val="24"/>
          <w:szCs w:val="24"/>
          <w:highlight w:val="none"/>
          <w:lang w:val="en-US" w:eastAsia="zh-CN"/>
        </w:rPr>
        <w:t>20</w:t>
      </w:r>
    </w:p>
    <w:p w14:paraId="285ABF7F">
      <w:pPr>
        <w:pStyle w:val="55"/>
        <w:spacing w:line="440" w:lineRule="exact"/>
        <w:ind w:left="0"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2.项目名称：</w:t>
      </w:r>
      <w:r>
        <w:rPr>
          <w:rFonts w:hint="eastAsia" w:cs="宋体"/>
          <w:color w:val="auto"/>
          <w:sz w:val="24"/>
          <w:highlight w:val="none"/>
          <w:lang w:eastAsia="zh-CN"/>
        </w:rPr>
        <w:t>焦作市新材料职业学院学术交流中心中央空调采购项目</w:t>
      </w:r>
    </w:p>
    <w:p w14:paraId="11B6F311">
      <w:pPr>
        <w:pStyle w:val="55"/>
        <w:spacing w:line="440" w:lineRule="exact"/>
        <w:ind w:left="0"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3.采购方式：公开招标</w:t>
      </w:r>
    </w:p>
    <w:p w14:paraId="0D2879CC">
      <w:pPr>
        <w:pStyle w:val="55"/>
        <w:spacing w:line="440" w:lineRule="exact"/>
        <w:ind w:left="0"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4.预算金额：</w:t>
      </w:r>
      <w:r>
        <w:rPr>
          <w:rFonts w:hint="eastAsia" w:cs="宋体"/>
          <w:color w:val="auto"/>
          <w:sz w:val="24"/>
          <w:highlight w:val="none"/>
          <w:lang w:val="en-US" w:eastAsia="zh-CN"/>
        </w:rPr>
        <w:t>3920000</w:t>
      </w:r>
      <w:r>
        <w:rPr>
          <w:rFonts w:hint="eastAsia" w:ascii="宋体" w:hAnsi="宋体" w:eastAsia="宋体" w:cs="宋体"/>
          <w:color w:val="auto"/>
          <w:sz w:val="24"/>
          <w:highlight w:val="none"/>
          <w:lang w:eastAsia="zh-CN"/>
        </w:rPr>
        <w:t>元</w:t>
      </w:r>
    </w:p>
    <w:p w14:paraId="3A6E6A09">
      <w:pPr>
        <w:pStyle w:val="55"/>
        <w:spacing w:line="440" w:lineRule="exact"/>
        <w:ind w:left="0" w:firstLine="720" w:firstLineChars="3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最高限价：</w:t>
      </w:r>
      <w:r>
        <w:rPr>
          <w:rFonts w:hint="eastAsia" w:cs="宋体"/>
          <w:color w:val="auto"/>
          <w:sz w:val="24"/>
          <w:highlight w:val="none"/>
          <w:lang w:val="en-US" w:eastAsia="zh-CN"/>
        </w:rPr>
        <w:t>3920000</w:t>
      </w:r>
      <w:r>
        <w:rPr>
          <w:rFonts w:hint="eastAsia" w:ascii="宋体" w:hAnsi="宋体" w:eastAsia="宋体" w:cs="宋体"/>
          <w:color w:val="auto"/>
          <w:sz w:val="24"/>
          <w:highlight w:val="none"/>
          <w:lang w:eastAsia="zh-CN"/>
        </w:rPr>
        <w:t xml:space="preserve">元 </w:t>
      </w:r>
    </w:p>
    <w:tbl>
      <w:tblPr>
        <w:tblStyle w:val="35"/>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080"/>
        <w:gridCol w:w="3315"/>
        <w:gridCol w:w="1602"/>
        <w:gridCol w:w="1683"/>
      </w:tblGrid>
      <w:tr w14:paraId="79F0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759" w:type="dxa"/>
            <w:vAlign w:val="center"/>
          </w:tcPr>
          <w:p w14:paraId="2D235CE7">
            <w:pPr>
              <w:pStyle w:val="29"/>
              <w:spacing w:before="0" w:beforeAutospacing="0" w:after="0" w:afterAutospacing="0"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080" w:type="dxa"/>
            <w:vAlign w:val="center"/>
          </w:tcPr>
          <w:p w14:paraId="5F33E07C">
            <w:pPr>
              <w:pStyle w:val="29"/>
              <w:spacing w:before="0" w:beforeAutospacing="0" w:after="0" w:afterAutospacing="0"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包号</w:t>
            </w:r>
          </w:p>
        </w:tc>
        <w:tc>
          <w:tcPr>
            <w:tcW w:w="3315" w:type="dxa"/>
            <w:vAlign w:val="center"/>
          </w:tcPr>
          <w:p w14:paraId="49ADED51">
            <w:pPr>
              <w:pStyle w:val="29"/>
              <w:spacing w:before="0" w:beforeAutospacing="0" w:after="0" w:afterAutospacing="0"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包名称</w:t>
            </w:r>
          </w:p>
        </w:tc>
        <w:tc>
          <w:tcPr>
            <w:tcW w:w="1602" w:type="dxa"/>
            <w:vAlign w:val="center"/>
          </w:tcPr>
          <w:p w14:paraId="32F7BA49">
            <w:pPr>
              <w:pStyle w:val="29"/>
              <w:spacing w:before="0" w:beforeAutospacing="0" w:after="0" w:afterAutospacing="0"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包预算</w:t>
            </w:r>
          </w:p>
          <w:p w14:paraId="4B609B7B">
            <w:pPr>
              <w:pStyle w:val="29"/>
              <w:spacing w:before="0" w:beforeAutospacing="0" w:after="0" w:afterAutospacing="0"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683" w:type="dxa"/>
            <w:vAlign w:val="center"/>
          </w:tcPr>
          <w:p w14:paraId="29D27C0B">
            <w:pPr>
              <w:pStyle w:val="29"/>
              <w:spacing w:before="0" w:beforeAutospacing="0" w:after="0" w:afterAutospacing="0"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包最高限价</w:t>
            </w:r>
          </w:p>
          <w:p w14:paraId="70E70268">
            <w:pPr>
              <w:pStyle w:val="29"/>
              <w:spacing w:before="0" w:beforeAutospacing="0" w:after="0" w:afterAutospacing="0"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（元）</w:t>
            </w:r>
          </w:p>
        </w:tc>
      </w:tr>
      <w:tr w14:paraId="7382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759" w:type="dxa"/>
            <w:vAlign w:val="center"/>
          </w:tcPr>
          <w:p w14:paraId="1A6B8BDC">
            <w:pPr>
              <w:spacing w:line="44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080" w:type="dxa"/>
            <w:vAlign w:val="center"/>
          </w:tcPr>
          <w:p w14:paraId="089E2D65">
            <w:pPr>
              <w:spacing w:line="440" w:lineRule="exact"/>
              <w:jc w:val="center"/>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博政采购（2025）</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cs="宋体"/>
                <w:color w:val="auto"/>
                <w:sz w:val="24"/>
                <w:highlight w:val="none"/>
                <w:lang w:val="en-US" w:eastAsia="zh-CN"/>
              </w:rPr>
              <w:t>102-1</w:t>
            </w:r>
          </w:p>
        </w:tc>
        <w:tc>
          <w:tcPr>
            <w:tcW w:w="3315" w:type="dxa"/>
            <w:vAlign w:val="center"/>
          </w:tcPr>
          <w:p w14:paraId="3EBB37AF">
            <w:pPr>
              <w:spacing w:line="440" w:lineRule="exact"/>
              <w:jc w:val="center"/>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焦作市新材料职业学院学术交流中心中央空调采购项目</w:t>
            </w:r>
          </w:p>
        </w:tc>
        <w:tc>
          <w:tcPr>
            <w:tcW w:w="1602" w:type="dxa"/>
            <w:vAlign w:val="center"/>
          </w:tcPr>
          <w:p w14:paraId="45BB0FBB">
            <w:pPr>
              <w:spacing w:line="440" w:lineRule="exact"/>
              <w:jc w:val="center"/>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3920000</w:t>
            </w:r>
          </w:p>
        </w:tc>
        <w:tc>
          <w:tcPr>
            <w:tcW w:w="1683" w:type="dxa"/>
            <w:vAlign w:val="center"/>
          </w:tcPr>
          <w:p w14:paraId="0D2A03F9">
            <w:pPr>
              <w:spacing w:line="440" w:lineRule="exact"/>
              <w:jc w:val="center"/>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3920000</w:t>
            </w:r>
          </w:p>
        </w:tc>
      </w:tr>
    </w:tbl>
    <w:p w14:paraId="1886C62C">
      <w:pPr>
        <w:pStyle w:val="55"/>
        <w:numPr>
          <w:ilvl w:val="0"/>
          <w:numId w:val="5"/>
        </w:numPr>
        <w:spacing w:line="440" w:lineRule="exact"/>
        <w:ind w:left="0"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采购需求（包括但不限于标的的名称、数量、简要技术需求或服务要求等）</w:t>
      </w:r>
    </w:p>
    <w:p w14:paraId="1FC097CD">
      <w:pPr>
        <w:pStyle w:val="55"/>
        <w:spacing w:line="440" w:lineRule="exact"/>
        <w:ind w:left="0" w:firstLine="714" w:firstLineChars="300"/>
        <w:outlineLvl w:val="9"/>
        <w:rPr>
          <w:rFonts w:hint="eastAsia" w:ascii="宋体" w:hAnsi="宋体" w:eastAsia="宋体" w:cs="宋体"/>
          <w:color w:val="auto"/>
          <w:spacing w:val="-1"/>
          <w:kern w:val="2"/>
          <w:sz w:val="24"/>
          <w:szCs w:val="24"/>
          <w:highlight w:val="none"/>
          <w:lang w:eastAsia="zh-CN"/>
        </w:rPr>
      </w:pPr>
      <w:r>
        <w:rPr>
          <w:rFonts w:hint="eastAsia" w:ascii="宋体" w:hAnsi="宋体" w:eastAsia="宋体" w:cs="宋体"/>
          <w:color w:val="auto"/>
          <w:spacing w:val="-1"/>
          <w:kern w:val="2"/>
          <w:sz w:val="24"/>
          <w:szCs w:val="24"/>
          <w:highlight w:val="none"/>
          <w:lang w:eastAsia="zh-CN"/>
        </w:rPr>
        <w:t>5.1采购内容为：</w:t>
      </w:r>
      <w:r>
        <w:rPr>
          <w:rFonts w:hint="eastAsia" w:cs="宋体"/>
          <w:color w:val="auto"/>
          <w:spacing w:val="-1"/>
          <w:kern w:val="2"/>
          <w:sz w:val="24"/>
          <w:szCs w:val="24"/>
          <w:highlight w:val="none"/>
          <w:lang w:eastAsia="zh-CN"/>
        </w:rPr>
        <w:t>采购</w:t>
      </w:r>
      <w:r>
        <w:rPr>
          <w:rFonts w:hint="eastAsia" w:ascii="宋体" w:hAnsi="宋体" w:eastAsia="宋体" w:cs="宋体"/>
          <w:color w:val="auto"/>
          <w:spacing w:val="-1"/>
          <w:kern w:val="2"/>
          <w:sz w:val="24"/>
          <w:szCs w:val="24"/>
          <w:highlight w:val="none"/>
          <w:lang w:eastAsia="zh-CN"/>
        </w:rPr>
        <w:t>学院学术交流中心中央空调</w:t>
      </w:r>
      <w:r>
        <w:rPr>
          <w:rFonts w:hint="eastAsia" w:cs="宋体"/>
          <w:color w:val="auto"/>
          <w:spacing w:val="-1"/>
          <w:kern w:val="2"/>
          <w:sz w:val="24"/>
          <w:szCs w:val="24"/>
          <w:highlight w:val="none"/>
          <w:lang w:eastAsia="zh-CN"/>
        </w:rPr>
        <w:t>，其中包</w:t>
      </w:r>
      <w:r>
        <w:rPr>
          <w:rFonts w:hint="eastAsia" w:ascii="宋体" w:hAnsi="宋体" w:eastAsia="宋体" w:cs="宋体"/>
          <w:color w:val="auto"/>
          <w:spacing w:val="-1"/>
          <w:kern w:val="2"/>
          <w:sz w:val="24"/>
          <w:szCs w:val="24"/>
          <w:highlight w:val="none"/>
          <w:lang w:eastAsia="zh-CN"/>
        </w:rPr>
        <w:t>含中央空调室外机、中央空调室内</w:t>
      </w:r>
      <w:r>
        <w:rPr>
          <w:rFonts w:hint="eastAsia" w:cs="宋体"/>
          <w:color w:val="auto"/>
          <w:spacing w:val="-1"/>
          <w:kern w:val="2"/>
          <w:sz w:val="24"/>
          <w:szCs w:val="24"/>
          <w:highlight w:val="none"/>
          <w:lang w:eastAsia="zh-CN"/>
        </w:rPr>
        <w:t>机</w:t>
      </w:r>
      <w:r>
        <w:rPr>
          <w:rFonts w:hint="eastAsia" w:ascii="宋体" w:hAnsi="宋体" w:eastAsia="宋体" w:cs="宋体"/>
          <w:color w:val="auto"/>
          <w:spacing w:val="-1"/>
          <w:kern w:val="2"/>
          <w:sz w:val="24"/>
          <w:szCs w:val="24"/>
          <w:highlight w:val="none"/>
          <w:lang w:eastAsia="zh-CN"/>
        </w:rPr>
        <w:t>、</w:t>
      </w:r>
      <w:r>
        <w:rPr>
          <w:rFonts w:hint="eastAsia" w:ascii="宋体" w:hAnsi="宋体" w:eastAsia="宋体" w:cs="宋体"/>
          <w:color w:val="auto"/>
          <w:spacing w:val="-1"/>
          <w:kern w:val="2"/>
          <w:sz w:val="24"/>
          <w:szCs w:val="24"/>
          <w:highlight w:val="none"/>
          <w:lang w:val="en-US" w:eastAsia="zh-CN"/>
        </w:rPr>
        <w:t>线控器、铜管及保温管、冷凝水管及保温、风道、风口、辅材等设备及材料。</w:t>
      </w:r>
      <w:r>
        <w:rPr>
          <w:rFonts w:hint="eastAsia" w:ascii="宋体" w:hAnsi="宋体" w:eastAsia="宋体" w:cs="宋体"/>
          <w:color w:val="auto"/>
          <w:spacing w:val="-1"/>
          <w:kern w:val="2"/>
          <w:sz w:val="24"/>
          <w:szCs w:val="24"/>
          <w:highlight w:val="none"/>
          <w:lang w:eastAsia="zh-CN"/>
        </w:rPr>
        <w:t>（详见第五章采购内容及技术要求）</w:t>
      </w:r>
    </w:p>
    <w:p w14:paraId="40D01A90">
      <w:pPr>
        <w:pStyle w:val="55"/>
        <w:spacing w:line="440" w:lineRule="exact"/>
        <w:ind w:left="0" w:firstLine="714" w:firstLineChars="300"/>
        <w:outlineLvl w:val="9"/>
        <w:rPr>
          <w:rFonts w:hint="eastAsia" w:ascii="宋体" w:hAnsi="宋体" w:eastAsia="宋体" w:cs="宋体"/>
          <w:color w:val="auto"/>
          <w:sz w:val="24"/>
          <w:highlight w:val="none"/>
          <w:lang w:eastAsia="zh-CN"/>
        </w:rPr>
      </w:pPr>
      <w:r>
        <w:rPr>
          <w:rFonts w:hint="eastAsia" w:ascii="宋体" w:hAnsi="宋体" w:eastAsia="宋体" w:cs="宋体"/>
          <w:color w:val="auto"/>
          <w:spacing w:val="-1"/>
          <w:kern w:val="2"/>
          <w:sz w:val="24"/>
          <w:szCs w:val="24"/>
          <w:highlight w:val="none"/>
          <w:lang w:eastAsia="zh-CN"/>
        </w:rPr>
        <w:t xml:space="preserve">5.2 </w:t>
      </w:r>
      <w:r>
        <w:rPr>
          <w:rFonts w:hint="eastAsia" w:ascii="宋体" w:hAnsi="宋体" w:eastAsia="宋体" w:cs="宋体"/>
          <w:color w:val="auto"/>
          <w:sz w:val="24"/>
          <w:highlight w:val="none"/>
          <w:lang w:eastAsia="zh-CN"/>
        </w:rPr>
        <w:t>质量标准：合格，符合国家及行业规范标准</w:t>
      </w:r>
    </w:p>
    <w:p w14:paraId="03230FCA">
      <w:pPr>
        <w:pStyle w:val="55"/>
        <w:spacing w:line="440" w:lineRule="exact"/>
        <w:ind w:left="0" w:firstLine="720" w:firstLineChars="3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5.3 质保期：</w:t>
      </w:r>
      <w:r>
        <w:rPr>
          <w:rFonts w:hint="eastAsia" w:cs="宋体"/>
          <w:color w:val="auto"/>
          <w:sz w:val="24"/>
          <w:highlight w:val="none"/>
          <w:lang w:val="en-US" w:eastAsia="zh-CN"/>
        </w:rPr>
        <w:t>2</w:t>
      </w:r>
      <w:r>
        <w:rPr>
          <w:rFonts w:hint="eastAsia" w:ascii="宋体" w:hAnsi="宋体" w:eastAsia="宋体" w:cs="宋体"/>
          <w:color w:val="auto"/>
          <w:sz w:val="24"/>
          <w:highlight w:val="none"/>
          <w:lang w:eastAsia="zh-CN"/>
        </w:rPr>
        <w:t>年</w:t>
      </w:r>
    </w:p>
    <w:p w14:paraId="2022E839">
      <w:pPr>
        <w:pStyle w:val="55"/>
        <w:spacing w:line="440" w:lineRule="exact"/>
        <w:ind w:left="0" w:firstLine="720" w:firstLineChars="3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5.4 本项目设一个标段</w:t>
      </w:r>
    </w:p>
    <w:p w14:paraId="5E7CDEE9">
      <w:pPr>
        <w:pStyle w:val="55"/>
        <w:spacing w:line="440" w:lineRule="exact"/>
        <w:ind w:left="0"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lang w:eastAsia="zh-CN"/>
        </w:rPr>
        <w:t>6.合同履行期限（供货安装期）：</w:t>
      </w:r>
      <w:r>
        <w:rPr>
          <w:rFonts w:hint="eastAsia" w:cs="宋体"/>
          <w:color w:val="auto"/>
          <w:sz w:val="24"/>
          <w:szCs w:val="24"/>
          <w:highlight w:val="none"/>
          <w:lang w:val="en-US" w:eastAsia="zh-CN"/>
        </w:rPr>
        <w:t>60</w:t>
      </w:r>
      <w:r>
        <w:rPr>
          <w:rFonts w:hint="eastAsia" w:ascii="宋体" w:hAnsi="宋体" w:eastAsia="宋体" w:cs="宋体"/>
          <w:color w:val="auto"/>
          <w:sz w:val="24"/>
          <w:szCs w:val="24"/>
          <w:highlight w:val="none"/>
          <w:lang w:eastAsia="zh-CN"/>
        </w:rPr>
        <w:t>日历天</w:t>
      </w:r>
    </w:p>
    <w:p w14:paraId="6DAF286F">
      <w:pPr>
        <w:pStyle w:val="55"/>
        <w:spacing w:line="440" w:lineRule="exact"/>
        <w:ind w:left="0"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7.本项目是否接受联合体投标：否</w:t>
      </w:r>
    </w:p>
    <w:p w14:paraId="1B25BAEA">
      <w:pPr>
        <w:pStyle w:val="55"/>
        <w:spacing w:line="440" w:lineRule="exact"/>
        <w:ind w:left="0"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8.是否接受进口产品：否</w:t>
      </w:r>
    </w:p>
    <w:p w14:paraId="145DEC5D">
      <w:pPr>
        <w:pStyle w:val="55"/>
        <w:spacing w:line="440" w:lineRule="exact"/>
        <w:ind w:left="0"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9.是否专门面向中小企业：否</w:t>
      </w:r>
    </w:p>
    <w:p w14:paraId="7FE8DFD4">
      <w:pPr>
        <w:adjustRightInd w:val="0"/>
        <w:snapToGrid w:val="0"/>
        <w:spacing w:line="440" w:lineRule="exact"/>
        <w:outlineLvl w:val="9"/>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二、申请人资格要求：</w:t>
      </w:r>
    </w:p>
    <w:p w14:paraId="40B07658">
      <w:pPr>
        <w:widowControl/>
        <w:spacing w:line="480" w:lineRule="exact"/>
        <w:ind w:firstLine="480" w:firstLineChars="200"/>
        <w:jc w:val="left"/>
        <w:outlineLvl w:val="9"/>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en-US"/>
        </w:rPr>
        <w:t>1.</w:t>
      </w:r>
      <w:r>
        <w:rPr>
          <w:rFonts w:hint="eastAsia" w:ascii="宋体" w:hAnsi="宋体" w:eastAsia="宋体" w:cs="宋体"/>
          <w:color w:val="auto"/>
          <w:sz w:val="24"/>
          <w:highlight w:val="none"/>
          <w:shd w:val="clear" w:color="auto" w:fill="FFFFFF"/>
          <w:lang w:val="en-US" w:eastAsia="zh-CN"/>
        </w:rPr>
        <w:t>符合</w:t>
      </w:r>
      <w:r>
        <w:rPr>
          <w:rFonts w:hint="eastAsia" w:ascii="宋体" w:hAnsi="宋体" w:eastAsia="宋体" w:cs="宋体"/>
          <w:color w:val="auto"/>
          <w:sz w:val="24"/>
          <w:highlight w:val="none"/>
          <w:shd w:val="clear" w:color="auto" w:fill="FFFFFF"/>
          <w:lang w:val="en-US" w:eastAsia="en-US"/>
        </w:rPr>
        <w:t>《中华人民共和国政府采购法》第二十二条规定</w:t>
      </w:r>
      <w:r>
        <w:rPr>
          <w:rFonts w:hint="eastAsia" w:ascii="宋体" w:hAnsi="宋体" w:cs="宋体"/>
          <w:color w:val="auto"/>
          <w:sz w:val="24"/>
          <w:highlight w:val="none"/>
          <w:shd w:val="clear" w:color="auto" w:fill="FFFFFF"/>
          <w:lang w:val="en-US" w:eastAsia="zh-CN"/>
        </w:rPr>
        <w:t>。</w:t>
      </w:r>
    </w:p>
    <w:p w14:paraId="7E27779C">
      <w:pPr>
        <w:widowControl/>
        <w:spacing w:line="480" w:lineRule="exact"/>
        <w:ind w:firstLine="480" w:firstLineChars="200"/>
        <w:jc w:val="left"/>
        <w:outlineLvl w:val="9"/>
        <w:rPr>
          <w:rFonts w:hint="eastAsia" w:ascii="宋体" w:hAnsi="宋体" w:eastAsia="宋体" w:cs="宋体"/>
          <w:color w:val="auto"/>
          <w:sz w:val="24"/>
          <w:highlight w:val="none"/>
          <w:shd w:val="clear" w:color="auto" w:fill="FFFFFF"/>
          <w:lang w:val="en-US" w:eastAsia="en-US"/>
        </w:rPr>
      </w:pPr>
      <w:r>
        <w:rPr>
          <w:rFonts w:hint="eastAsia" w:ascii="宋体" w:hAnsi="宋体" w:eastAsia="宋体" w:cs="宋体"/>
          <w:color w:val="auto"/>
          <w:sz w:val="24"/>
          <w:highlight w:val="none"/>
          <w:shd w:val="clear" w:color="auto" w:fill="FFFFFF"/>
          <w:lang w:val="en-US" w:eastAsia="en-US"/>
        </w:rPr>
        <w:t>2.落实政府采购政策需满足的资格要求：促进中小企业和监狱企业发展扶持政策、政府强制采购节能产品、节能产品及环境标志产品优先采购。</w:t>
      </w:r>
    </w:p>
    <w:p w14:paraId="46E849A6">
      <w:pPr>
        <w:widowControl/>
        <w:spacing w:line="480" w:lineRule="exact"/>
        <w:ind w:firstLine="480" w:firstLineChars="200"/>
        <w:jc w:val="left"/>
        <w:outlineLvl w:val="9"/>
        <w:rPr>
          <w:rFonts w:hint="eastAsia" w:ascii="宋体" w:hAnsi="宋体" w:eastAsia="宋体" w:cs="宋体"/>
          <w:color w:val="auto"/>
          <w:sz w:val="24"/>
          <w:highlight w:val="none"/>
          <w:shd w:val="clear" w:color="auto" w:fill="FFFFFF"/>
          <w:lang w:val="en-US" w:eastAsia="en-US"/>
        </w:rPr>
      </w:pPr>
      <w:r>
        <w:rPr>
          <w:rFonts w:hint="eastAsia" w:ascii="宋体" w:hAnsi="宋体" w:eastAsia="宋体" w:cs="宋体"/>
          <w:color w:val="auto"/>
          <w:sz w:val="24"/>
          <w:highlight w:val="none"/>
          <w:shd w:val="clear" w:color="auto" w:fill="FFFFFF"/>
          <w:lang w:val="en-US" w:eastAsia="en-US"/>
        </w:rPr>
        <w:t>3.本项目的特定资格要求</w:t>
      </w:r>
    </w:p>
    <w:p w14:paraId="26137B68">
      <w:pPr>
        <w:widowControl/>
        <w:spacing w:line="480" w:lineRule="exact"/>
        <w:ind w:firstLine="480" w:firstLineChars="200"/>
        <w:jc w:val="left"/>
        <w:outlineLvl w:val="9"/>
        <w:rPr>
          <w:rFonts w:hint="eastAsia" w:ascii="宋体" w:hAnsi="宋体" w:eastAsia="宋体" w:cs="宋体"/>
          <w:color w:val="auto"/>
          <w:sz w:val="24"/>
          <w:highlight w:val="none"/>
          <w:shd w:val="clear" w:color="auto" w:fill="FFFFFF"/>
          <w:lang w:val="en-US" w:eastAsia="en-US"/>
        </w:rPr>
      </w:pPr>
      <w:r>
        <w:rPr>
          <w:rFonts w:hint="eastAsia" w:ascii="宋体" w:hAnsi="宋体" w:eastAsia="宋体" w:cs="宋体"/>
          <w:color w:val="auto"/>
          <w:sz w:val="24"/>
          <w:highlight w:val="none"/>
          <w:shd w:val="clear" w:color="auto" w:fill="FFFFFF"/>
          <w:lang w:val="en-US" w:eastAsia="en-US"/>
        </w:rPr>
        <w:t>3.1 投标人须具有有效的营业执照，并具有实施完成本项目的经营实力和完善的售后服务体系；</w:t>
      </w:r>
    </w:p>
    <w:p w14:paraId="764DCC1D">
      <w:pPr>
        <w:widowControl/>
        <w:spacing w:line="480" w:lineRule="exact"/>
        <w:ind w:firstLine="480" w:firstLineChars="200"/>
        <w:jc w:val="left"/>
        <w:outlineLvl w:val="9"/>
        <w:rPr>
          <w:rFonts w:hint="eastAsia" w:ascii="宋体" w:hAnsi="宋体" w:eastAsia="宋体" w:cs="宋体"/>
          <w:color w:val="auto"/>
          <w:sz w:val="24"/>
          <w:highlight w:val="none"/>
          <w:shd w:val="clear" w:color="auto" w:fill="FFFFFF"/>
          <w:lang w:val="en-US" w:eastAsia="en-US"/>
        </w:rPr>
      </w:pPr>
      <w:r>
        <w:rPr>
          <w:rFonts w:hint="eastAsia" w:ascii="宋体" w:hAnsi="宋体" w:eastAsia="宋体" w:cs="宋体"/>
          <w:color w:val="auto"/>
          <w:sz w:val="24"/>
          <w:highlight w:val="none"/>
          <w:shd w:val="clear" w:color="auto" w:fill="FFFFFF"/>
          <w:lang w:val="en-US" w:eastAsia="en-US"/>
        </w:rPr>
        <w:t>3.2 信誉要求：按照《财政部关于在政府采购活动中查询及使用信用记录有关问题的通知》（财库〔2016〕125号）的要求，根据开标当日“信用中国”网站（www.creditchina.gov.cn）、中国政府采购网（www.ccgp.gov.cn）的信息，对列入失信被执行人、重大税收违法失信主体、政府采购严重违法失信行为记录名单的投标人，拒绝参与政府采购活动，同时对信用信息查询记录和证据进行打印存档。(备注：信誉要求由采购代理机构开标当日提供查询结果。) </w:t>
      </w:r>
    </w:p>
    <w:p w14:paraId="3CE11575">
      <w:pPr>
        <w:widowControl/>
        <w:spacing w:line="480" w:lineRule="exact"/>
        <w:ind w:firstLine="480" w:firstLineChars="200"/>
        <w:jc w:val="left"/>
        <w:outlineLvl w:val="9"/>
        <w:rPr>
          <w:rFonts w:hint="eastAsia" w:ascii="宋体" w:hAnsi="宋体" w:eastAsia="宋体" w:cs="宋体"/>
          <w:color w:val="auto"/>
          <w:sz w:val="24"/>
          <w:highlight w:val="none"/>
          <w:shd w:val="clear" w:color="auto" w:fill="FFFFFF"/>
          <w:lang w:val="en-US" w:eastAsia="en-US"/>
        </w:rPr>
      </w:pPr>
      <w:r>
        <w:rPr>
          <w:rFonts w:hint="eastAsia" w:ascii="宋体" w:hAnsi="宋体" w:eastAsia="宋体" w:cs="宋体"/>
          <w:color w:val="auto"/>
          <w:sz w:val="24"/>
          <w:highlight w:val="none"/>
          <w:shd w:val="clear" w:color="auto" w:fill="FFFFFF"/>
          <w:lang w:val="en-US" w:eastAsia="en-US"/>
        </w:rPr>
        <w:t>3.3 本项目不接受联合体投标；</w:t>
      </w:r>
    </w:p>
    <w:p w14:paraId="3795B5BF">
      <w:pPr>
        <w:widowControl/>
        <w:spacing w:line="480" w:lineRule="exact"/>
        <w:ind w:firstLine="480" w:firstLineChars="200"/>
        <w:jc w:val="left"/>
        <w:outlineLvl w:val="9"/>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lang w:val="en-US" w:eastAsia="en-US"/>
        </w:rPr>
        <w:t>3.4 资格审查方式：资格后审</w:t>
      </w:r>
      <w:r>
        <w:rPr>
          <w:rFonts w:hint="eastAsia" w:ascii="宋体" w:hAnsi="宋体" w:eastAsia="宋体" w:cs="宋体"/>
          <w:color w:val="auto"/>
          <w:sz w:val="24"/>
          <w:highlight w:val="none"/>
          <w:shd w:val="clear" w:color="auto" w:fill="FFFFFF"/>
        </w:rPr>
        <w:t>。</w:t>
      </w:r>
    </w:p>
    <w:p w14:paraId="61EF3730">
      <w:pPr>
        <w:widowControl/>
        <w:spacing w:line="480" w:lineRule="exact"/>
        <w:jc w:val="left"/>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三、获取招标文件</w:t>
      </w:r>
    </w:p>
    <w:p w14:paraId="7EA6D503">
      <w:pPr>
        <w:pStyle w:val="29"/>
        <w:autoSpaceDE w:val="0"/>
        <w:spacing w:before="0" w:beforeAutospacing="0" w:after="0" w:afterAutospacing="0" w:line="480" w:lineRule="exact"/>
        <w:ind w:firstLine="480" w:firstLineChars="200"/>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1.时间：2025年</w:t>
      </w:r>
      <w:r>
        <w:rPr>
          <w:rFonts w:hint="eastAsia" w:cs="宋体"/>
          <w:color w:val="auto"/>
          <w:highlight w:val="none"/>
          <w:lang w:val="en-US" w:eastAsia="zh-CN"/>
        </w:rPr>
        <w:t>11</w:t>
      </w:r>
      <w:r>
        <w:rPr>
          <w:rFonts w:hint="eastAsia" w:ascii="宋体" w:hAnsi="宋体" w:eastAsia="宋体" w:cs="宋体"/>
          <w:color w:val="auto"/>
          <w:highlight w:val="none"/>
        </w:rPr>
        <w:t>月</w:t>
      </w:r>
      <w:r>
        <w:rPr>
          <w:rFonts w:hint="eastAsia" w:cs="宋体"/>
          <w:color w:val="auto"/>
          <w:highlight w:val="none"/>
          <w:lang w:val="en-US" w:eastAsia="zh-CN"/>
        </w:rPr>
        <w:t>03</w:t>
      </w:r>
      <w:r>
        <w:rPr>
          <w:rFonts w:hint="eastAsia" w:ascii="宋体" w:hAnsi="宋体" w:eastAsia="宋体" w:cs="宋体"/>
          <w:color w:val="auto"/>
          <w:highlight w:val="none"/>
        </w:rPr>
        <w:t>日至2025年</w:t>
      </w:r>
      <w:r>
        <w:rPr>
          <w:rFonts w:hint="eastAsia" w:cs="宋体"/>
          <w:color w:val="auto"/>
          <w:highlight w:val="none"/>
          <w:lang w:val="en-US" w:eastAsia="zh-CN"/>
        </w:rPr>
        <w:t>11</w:t>
      </w:r>
      <w:r>
        <w:rPr>
          <w:rFonts w:hint="eastAsia" w:ascii="宋体" w:hAnsi="宋体" w:eastAsia="宋体" w:cs="宋体"/>
          <w:color w:val="auto"/>
          <w:highlight w:val="none"/>
        </w:rPr>
        <w:t>月</w:t>
      </w:r>
      <w:r>
        <w:rPr>
          <w:rFonts w:hint="eastAsia" w:cs="宋体"/>
          <w:color w:val="auto"/>
          <w:highlight w:val="none"/>
          <w:lang w:val="en-US" w:eastAsia="zh-CN"/>
        </w:rPr>
        <w:t>07</w:t>
      </w:r>
      <w:r>
        <w:rPr>
          <w:rFonts w:hint="eastAsia" w:ascii="宋体" w:hAnsi="宋体" w:eastAsia="宋体" w:cs="宋体"/>
          <w:color w:val="auto"/>
          <w:highlight w:val="none"/>
        </w:rPr>
        <w:t>日，每天上午00:00至12:00，下午12:00至23:59（北京时间，法定节假日除外。）</w:t>
      </w:r>
    </w:p>
    <w:p w14:paraId="0F185CC6">
      <w:pPr>
        <w:pStyle w:val="29"/>
        <w:autoSpaceDE w:val="0"/>
        <w:spacing w:before="0" w:beforeAutospacing="0" w:after="0" w:afterAutospacing="0" w:line="480" w:lineRule="exact"/>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2.地点：</w:t>
      </w:r>
      <w:r>
        <w:rPr>
          <w:rFonts w:hint="eastAsia" w:ascii="宋体" w:hAnsi="宋体" w:eastAsia="宋体" w:cs="宋体"/>
          <w:color w:val="auto"/>
          <w:spacing w:val="-1"/>
          <w:highlight w:val="none"/>
        </w:rPr>
        <w:t>焦作市公共资源交易中心网站；</w:t>
      </w:r>
    </w:p>
    <w:p w14:paraId="14DF4445">
      <w:pPr>
        <w:pStyle w:val="29"/>
        <w:autoSpaceDE w:val="0"/>
        <w:spacing w:before="0" w:beforeAutospacing="0" w:after="0" w:afterAutospacing="0" w:line="480" w:lineRule="exact"/>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3.方式：本项目采用电子开评标（不见面开标），凡有意参加投标者，请登陆焦作市公共资源交易中心网站交易平台“交易主体登录 ”栏目下载招标文件。</w:t>
      </w:r>
    </w:p>
    <w:p w14:paraId="3D3F2897">
      <w:pPr>
        <w:pStyle w:val="29"/>
        <w:autoSpaceDE w:val="0"/>
        <w:spacing w:before="0" w:beforeAutospacing="0" w:after="0" w:afterAutospacing="0" w:line="480" w:lineRule="exact"/>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4.售价：0元</w:t>
      </w:r>
    </w:p>
    <w:p w14:paraId="56EE0044">
      <w:pPr>
        <w:widowControl/>
        <w:spacing w:line="480" w:lineRule="exact"/>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四、</w:t>
      </w:r>
      <w:r>
        <w:rPr>
          <w:rFonts w:hint="eastAsia" w:ascii="宋体" w:hAnsi="宋体" w:eastAsia="宋体" w:cs="宋体"/>
          <w:b/>
          <w:bCs/>
          <w:color w:val="auto"/>
          <w:spacing w:val="-1"/>
          <w:sz w:val="24"/>
          <w:highlight w:val="none"/>
        </w:rPr>
        <w:t>投标截止时间及地点</w:t>
      </w:r>
    </w:p>
    <w:p w14:paraId="255606AB">
      <w:pPr>
        <w:adjustRightInd w:val="0"/>
        <w:snapToGrid w:val="0"/>
        <w:spacing w:line="480" w:lineRule="exact"/>
        <w:ind w:firstLine="480" w:firstLineChars="2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1.截止时间：2025年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24</w:t>
      </w:r>
      <w:r>
        <w:rPr>
          <w:rFonts w:hint="eastAsia" w:ascii="宋体" w:hAnsi="宋体" w:eastAsia="宋体" w:cs="宋体"/>
          <w:color w:val="auto"/>
          <w:kern w:val="0"/>
          <w:sz w:val="24"/>
          <w:highlight w:val="none"/>
        </w:rPr>
        <w:t>日0</w:t>
      </w:r>
      <w:r>
        <w:rPr>
          <w:rFonts w:hint="eastAsia" w:ascii="宋体" w:hAnsi="宋体" w:cs="宋体"/>
          <w:color w:val="auto"/>
          <w:kern w:val="0"/>
          <w:sz w:val="24"/>
          <w:highlight w:val="none"/>
          <w:lang w:val="en-US" w:eastAsia="zh-CN"/>
        </w:rPr>
        <w:t>8</w:t>
      </w:r>
      <w:r>
        <w:rPr>
          <w:rFonts w:hint="eastAsia" w:ascii="宋体" w:hAnsi="宋体" w:eastAsia="宋体" w:cs="宋体"/>
          <w:color w:val="auto"/>
          <w:kern w:val="0"/>
          <w:sz w:val="24"/>
          <w:highlight w:val="none"/>
        </w:rPr>
        <w:t>时</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0分（北京时间）</w:t>
      </w:r>
    </w:p>
    <w:p w14:paraId="1DA71638">
      <w:pPr>
        <w:adjustRightInd w:val="0"/>
        <w:snapToGrid w:val="0"/>
        <w:spacing w:line="480" w:lineRule="exact"/>
        <w:ind w:firstLine="480" w:firstLineChars="2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2.地点：加密电子投标文件须在投标文件提交截止时间前通过“焦作市公共资源交易中心（https://ggzy.jiaozuo.gov.cn/）”网站-交易平台加密上传。</w:t>
      </w:r>
    </w:p>
    <w:p w14:paraId="2A846B00">
      <w:pPr>
        <w:widowControl/>
        <w:spacing w:line="480" w:lineRule="exact"/>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w:t>
      </w:r>
      <w:r>
        <w:rPr>
          <w:rFonts w:hint="eastAsia" w:ascii="宋体" w:hAnsi="宋体" w:eastAsia="宋体" w:cs="宋体"/>
          <w:b/>
          <w:bCs/>
          <w:color w:val="auto"/>
          <w:spacing w:val="-1"/>
          <w:sz w:val="24"/>
          <w:highlight w:val="none"/>
        </w:rPr>
        <w:t>开标时间及地点</w:t>
      </w:r>
    </w:p>
    <w:p w14:paraId="4553599B">
      <w:pPr>
        <w:adjustRightInd w:val="0"/>
        <w:snapToGrid w:val="0"/>
        <w:spacing w:line="480" w:lineRule="exact"/>
        <w:ind w:firstLine="480" w:firstLineChars="2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1.时间：2025年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24</w:t>
      </w:r>
      <w:r>
        <w:rPr>
          <w:rFonts w:hint="eastAsia" w:ascii="宋体" w:hAnsi="宋体" w:eastAsia="宋体" w:cs="宋体"/>
          <w:color w:val="auto"/>
          <w:kern w:val="0"/>
          <w:sz w:val="24"/>
          <w:highlight w:val="none"/>
        </w:rPr>
        <w:t>日0</w:t>
      </w:r>
      <w:r>
        <w:rPr>
          <w:rFonts w:hint="eastAsia" w:ascii="宋体" w:hAnsi="宋体" w:cs="宋体"/>
          <w:color w:val="auto"/>
          <w:kern w:val="0"/>
          <w:sz w:val="24"/>
          <w:highlight w:val="none"/>
          <w:lang w:val="en-US" w:eastAsia="zh-CN"/>
        </w:rPr>
        <w:t>8</w:t>
      </w:r>
      <w:r>
        <w:rPr>
          <w:rFonts w:hint="eastAsia" w:ascii="宋体" w:hAnsi="宋体" w:eastAsia="宋体" w:cs="宋体"/>
          <w:color w:val="auto"/>
          <w:kern w:val="0"/>
          <w:sz w:val="24"/>
          <w:highlight w:val="none"/>
        </w:rPr>
        <w:t>时</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0分（北京时间）</w:t>
      </w:r>
    </w:p>
    <w:p w14:paraId="37CEA7CE">
      <w:pPr>
        <w:adjustRightInd w:val="0"/>
        <w:snapToGrid w:val="0"/>
        <w:spacing w:line="480" w:lineRule="exact"/>
        <w:ind w:firstLine="480" w:firstLineChars="2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2.地点：博爱县公共资源交易中心二楼不见面开标</w:t>
      </w:r>
      <w:r>
        <w:rPr>
          <w:rFonts w:hint="eastAsia" w:ascii="宋体" w:hAnsi="宋体" w:cs="宋体"/>
          <w:color w:val="auto"/>
          <w:kern w:val="0"/>
          <w:sz w:val="24"/>
          <w:highlight w:val="none"/>
          <w:lang w:eastAsia="zh-CN"/>
        </w:rPr>
        <w:t>二</w:t>
      </w:r>
      <w:r>
        <w:rPr>
          <w:rFonts w:hint="eastAsia" w:ascii="宋体" w:hAnsi="宋体" w:eastAsia="宋体" w:cs="宋体"/>
          <w:color w:val="auto"/>
          <w:kern w:val="0"/>
          <w:sz w:val="24"/>
          <w:highlight w:val="none"/>
        </w:rPr>
        <w:t>室。</w:t>
      </w:r>
    </w:p>
    <w:p w14:paraId="7A338653">
      <w:pPr>
        <w:spacing w:line="480" w:lineRule="exact"/>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六、发布公告的媒介及招标公告期限</w:t>
      </w:r>
    </w:p>
    <w:p w14:paraId="7D64FC9B">
      <w:pPr>
        <w:widowControl/>
        <w:spacing w:line="48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次招标公告在《河南省政府采购网》、《焦作市政府采购网》、《中国招标投标公共服务平台》、《焦作市公共资源交易中心网》、《博爱县公共资源交易中心网》http://ggzy.boai.gov.cn/上发布，招标公告期限为五个工作日。</w:t>
      </w:r>
    </w:p>
    <w:p w14:paraId="4734DAE2">
      <w:pPr>
        <w:adjustRightInd w:val="0"/>
        <w:snapToGrid w:val="0"/>
        <w:spacing w:line="440" w:lineRule="exact"/>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七、其他补充事宜</w:t>
      </w:r>
    </w:p>
    <w:p w14:paraId="51681490">
      <w:pPr>
        <w:keepNext w:val="0"/>
        <w:keepLines w:val="0"/>
        <w:pageBreakBefore w:val="0"/>
        <w:widowControl w:val="0"/>
        <w:kinsoku w:val="0"/>
        <w:wordWrap w:val="0"/>
        <w:overflowPunct/>
        <w:topLinePunct w:val="0"/>
        <w:autoSpaceDE w:val="0"/>
        <w:autoSpaceDN w:val="0"/>
        <w:bidi w:val="0"/>
        <w:adjustRightInd w:val="0"/>
        <w:snapToGrid w:val="0"/>
        <w:spacing w:line="440" w:lineRule="exact"/>
        <w:ind w:firstLine="476" w:firstLineChars="200"/>
        <w:jc w:val="left"/>
        <w:textAlignment w:val="baseline"/>
        <w:outlineLvl w:val="9"/>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1.本项目采用“远程不见面”的开标方式，潜在投标人可提前在焦作市交易中心官网首页---下载中心--下载《焦作市电子招投标系统操作手册》和《焦作市公共资源交易平台不见面开标操作手册》、《投标文件制作工作工具》等，查看操作说明，按要求进行投标文件制作和上传等。为避免网络拥堵等不可控因素影响投标文件的上传，请提前上传投标文件，并在开标截止时间前登录不见面开标大厅https://ggzy.jiaozuo.gov.cn/BidOpeningHall/bidhall/dqhnjz/login.html按要求解密投标文件。因文件未及时上传导致投标失败的责任由投标人自行承担，具体要求详见招标文件。 平台统一技术服务电话：0512-58188538，服务 QQ：4008503300，服务时间：周一至周日 8：00-17：30。</w:t>
      </w:r>
    </w:p>
    <w:p w14:paraId="6FD8B1BA">
      <w:pPr>
        <w:kinsoku w:val="0"/>
        <w:autoSpaceDE w:val="0"/>
        <w:autoSpaceDN w:val="0"/>
        <w:adjustRightInd w:val="0"/>
        <w:snapToGrid w:val="0"/>
        <w:spacing w:line="440" w:lineRule="exact"/>
        <w:ind w:firstLine="476" w:firstLineChars="200"/>
        <w:textAlignment w:val="baseline"/>
        <w:outlineLvl w:val="9"/>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2.投标人无需到现场参加开标会议，无需到达现场提交原件资料。投标人应当在线准时参加开标活动并进行文件解密、答疑澄清等。加密电子投标文件须在焦作市公共资源交易中心电子交易平台中加密上传，上传时必须得到电脑“上传成功”的确认回复后方为上传成功。在规定时间内投标文件未解密的投标人，视为放弃投标。</w:t>
      </w:r>
    </w:p>
    <w:p w14:paraId="6C46FA25">
      <w:pPr>
        <w:adjustRightInd w:val="0"/>
        <w:snapToGrid w:val="0"/>
        <w:spacing w:line="440" w:lineRule="exact"/>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八、</w:t>
      </w:r>
      <w:r>
        <w:rPr>
          <w:rFonts w:hint="eastAsia" w:ascii="宋体" w:hAnsi="宋体" w:eastAsia="宋体" w:cs="宋体"/>
          <w:b/>
          <w:color w:val="auto"/>
          <w:sz w:val="24"/>
          <w:highlight w:val="none"/>
          <w:shd w:val="clear" w:color="auto" w:fill="FFFFFF"/>
        </w:rPr>
        <w:t>凡对本次招标提出询问，请按以下方式联系</w:t>
      </w:r>
    </w:p>
    <w:p w14:paraId="35D344F0">
      <w:pPr>
        <w:kinsoku w:val="0"/>
        <w:autoSpaceDE w:val="0"/>
        <w:autoSpaceDN w:val="0"/>
        <w:adjustRightInd w:val="0"/>
        <w:snapToGrid w:val="0"/>
        <w:spacing w:line="440" w:lineRule="exact"/>
        <w:ind w:firstLine="476" w:firstLineChars="200"/>
        <w:textAlignment w:val="baseline"/>
        <w:outlineLvl w:val="9"/>
        <w:rPr>
          <w:rFonts w:hint="eastAsia" w:ascii="宋体" w:hAnsi="宋体" w:eastAsia="宋体" w:cs="宋体"/>
          <w:color w:val="auto"/>
          <w:spacing w:val="-1"/>
          <w:sz w:val="24"/>
          <w:highlight w:val="none"/>
        </w:rPr>
      </w:pPr>
      <w:bookmarkStart w:id="8" w:name="_Toc26969"/>
      <w:r>
        <w:rPr>
          <w:rFonts w:hint="eastAsia" w:ascii="宋体" w:hAnsi="宋体" w:eastAsia="宋体" w:cs="宋体"/>
          <w:color w:val="auto"/>
          <w:spacing w:val="-1"/>
          <w:sz w:val="24"/>
          <w:highlight w:val="none"/>
        </w:rPr>
        <w:t>1. 采购人信息</w:t>
      </w:r>
      <w:bookmarkEnd w:id="8"/>
    </w:p>
    <w:p w14:paraId="05761ED7">
      <w:pPr>
        <w:kinsoku w:val="0"/>
        <w:autoSpaceDE w:val="0"/>
        <w:autoSpaceDN w:val="0"/>
        <w:adjustRightInd w:val="0"/>
        <w:snapToGrid w:val="0"/>
        <w:spacing w:line="440" w:lineRule="exact"/>
        <w:ind w:firstLine="476" w:firstLineChars="200"/>
        <w:textAlignment w:val="baseline"/>
        <w:outlineLvl w:val="9"/>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采购人：</w:t>
      </w:r>
      <w:r>
        <w:rPr>
          <w:rFonts w:hint="eastAsia" w:ascii="宋体" w:hAnsi="宋体" w:cs="宋体"/>
          <w:color w:val="auto"/>
          <w:spacing w:val="-1"/>
          <w:sz w:val="24"/>
          <w:highlight w:val="none"/>
          <w:lang w:eastAsia="zh-CN"/>
        </w:rPr>
        <w:t>博爱县教育体育局</w:t>
      </w:r>
      <w:r>
        <w:rPr>
          <w:rFonts w:hint="eastAsia" w:ascii="宋体" w:hAnsi="宋体" w:eastAsia="宋体" w:cs="宋体"/>
          <w:color w:val="auto"/>
          <w:spacing w:val="-1"/>
          <w:sz w:val="24"/>
          <w:highlight w:val="none"/>
        </w:rPr>
        <w:t xml:space="preserve"> </w:t>
      </w:r>
    </w:p>
    <w:p w14:paraId="431083F1">
      <w:pPr>
        <w:kinsoku w:val="0"/>
        <w:autoSpaceDE w:val="0"/>
        <w:autoSpaceDN w:val="0"/>
        <w:adjustRightInd w:val="0"/>
        <w:snapToGrid w:val="0"/>
        <w:spacing w:line="440" w:lineRule="exact"/>
        <w:ind w:firstLine="476" w:firstLineChars="200"/>
        <w:textAlignment w:val="baseline"/>
        <w:outlineLvl w:val="9"/>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地址：河南省博爱县玉祥路中段</w:t>
      </w:r>
    </w:p>
    <w:p w14:paraId="430A2097">
      <w:pPr>
        <w:kinsoku w:val="0"/>
        <w:autoSpaceDE w:val="0"/>
        <w:autoSpaceDN w:val="0"/>
        <w:adjustRightInd w:val="0"/>
        <w:snapToGrid w:val="0"/>
        <w:spacing w:line="440" w:lineRule="exact"/>
        <w:ind w:firstLine="476" w:firstLineChars="200"/>
        <w:textAlignment w:val="baseline"/>
        <w:outlineLvl w:val="9"/>
        <w:rPr>
          <w:rFonts w:hint="eastAsia" w:ascii="宋体" w:hAnsi="宋体" w:eastAsia="宋体" w:cs="宋体"/>
          <w:color w:val="auto"/>
          <w:spacing w:val="-1"/>
          <w:sz w:val="24"/>
          <w:highlight w:val="none"/>
          <w:lang w:eastAsia="zh-CN"/>
        </w:rPr>
      </w:pPr>
      <w:r>
        <w:rPr>
          <w:rFonts w:hint="eastAsia" w:ascii="宋体" w:hAnsi="宋体" w:eastAsia="宋体" w:cs="宋体"/>
          <w:color w:val="auto"/>
          <w:spacing w:val="-1"/>
          <w:sz w:val="24"/>
          <w:highlight w:val="none"/>
        </w:rPr>
        <w:t>联系人：</w:t>
      </w:r>
      <w:r>
        <w:rPr>
          <w:rFonts w:hint="eastAsia" w:ascii="宋体" w:hAnsi="宋体" w:cs="宋体"/>
          <w:color w:val="auto"/>
          <w:spacing w:val="-1"/>
          <w:sz w:val="24"/>
          <w:highlight w:val="none"/>
          <w:lang w:eastAsia="zh-CN"/>
        </w:rPr>
        <w:t>张先生</w:t>
      </w:r>
    </w:p>
    <w:p w14:paraId="3F68E5F5">
      <w:pPr>
        <w:kinsoku w:val="0"/>
        <w:autoSpaceDE w:val="0"/>
        <w:autoSpaceDN w:val="0"/>
        <w:adjustRightInd w:val="0"/>
        <w:snapToGrid w:val="0"/>
        <w:spacing w:line="440" w:lineRule="exact"/>
        <w:ind w:firstLine="476" w:firstLineChars="200"/>
        <w:textAlignment w:val="baseline"/>
        <w:outlineLvl w:val="9"/>
        <w:rPr>
          <w:rFonts w:hint="default" w:ascii="宋体" w:hAnsi="宋体" w:eastAsia="宋体" w:cs="宋体"/>
          <w:color w:val="auto"/>
          <w:spacing w:val="-1"/>
          <w:sz w:val="24"/>
          <w:highlight w:val="none"/>
          <w:lang w:val="en-US" w:eastAsia="zh-CN"/>
        </w:rPr>
      </w:pPr>
      <w:r>
        <w:rPr>
          <w:rFonts w:hint="eastAsia" w:ascii="宋体" w:hAnsi="宋体" w:eastAsia="宋体" w:cs="宋体"/>
          <w:color w:val="auto"/>
          <w:spacing w:val="-1"/>
          <w:sz w:val="24"/>
          <w:highlight w:val="none"/>
        </w:rPr>
        <w:t>电话：</w:t>
      </w:r>
      <w:bookmarkStart w:id="9" w:name="OLE_LINK6"/>
      <w:bookmarkStart w:id="10" w:name="OLE_LINK5"/>
      <w:r>
        <w:rPr>
          <w:rFonts w:hint="eastAsia" w:ascii="宋体" w:hAnsi="宋体" w:cs="宋体"/>
          <w:color w:val="auto"/>
          <w:spacing w:val="-1"/>
          <w:sz w:val="24"/>
          <w:highlight w:val="none"/>
          <w:lang w:val="en-US" w:eastAsia="zh-CN"/>
        </w:rPr>
        <w:t>13939169875</w:t>
      </w:r>
    </w:p>
    <w:bookmarkEnd w:id="9"/>
    <w:bookmarkEnd w:id="10"/>
    <w:p w14:paraId="0BAF5C7B">
      <w:pPr>
        <w:kinsoku w:val="0"/>
        <w:autoSpaceDE w:val="0"/>
        <w:autoSpaceDN w:val="0"/>
        <w:adjustRightInd w:val="0"/>
        <w:snapToGrid w:val="0"/>
        <w:spacing w:line="440" w:lineRule="exact"/>
        <w:ind w:firstLine="476" w:firstLineChars="200"/>
        <w:textAlignment w:val="baseline"/>
        <w:outlineLvl w:val="9"/>
        <w:rPr>
          <w:rFonts w:hint="eastAsia" w:ascii="宋体" w:hAnsi="宋体" w:eastAsia="宋体" w:cs="宋体"/>
          <w:color w:val="auto"/>
          <w:spacing w:val="-1"/>
          <w:sz w:val="24"/>
          <w:highlight w:val="none"/>
        </w:rPr>
      </w:pPr>
      <w:bookmarkStart w:id="11" w:name="_Toc24278"/>
      <w:r>
        <w:rPr>
          <w:rFonts w:hint="eastAsia" w:ascii="宋体" w:hAnsi="宋体" w:eastAsia="宋体" w:cs="宋体"/>
          <w:color w:val="auto"/>
          <w:spacing w:val="-1"/>
          <w:sz w:val="24"/>
          <w:highlight w:val="none"/>
        </w:rPr>
        <w:t>2.采购代理机构信息（如有）</w:t>
      </w:r>
      <w:bookmarkEnd w:id="11"/>
    </w:p>
    <w:p w14:paraId="06907372">
      <w:pPr>
        <w:kinsoku w:val="0"/>
        <w:autoSpaceDE w:val="0"/>
        <w:autoSpaceDN w:val="0"/>
        <w:adjustRightInd w:val="0"/>
        <w:snapToGrid w:val="0"/>
        <w:spacing w:line="440" w:lineRule="exact"/>
        <w:ind w:firstLine="476" w:firstLineChars="200"/>
        <w:textAlignment w:val="baseline"/>
        <w:outlineLvl w:val="9"/>
        <w:rPr>
          <w:rFonts w:hint="eastAsia" w:ascii="宋体" w:hAnsi="宋体" w:eastAsia="宋体" w:cs="宋体"/>
          <w:color w:val="auto"/>
          <w:spacing w:val="-1"/>
          <w:sz w:val="24"/>
          <w:highlight w:val="none"/>
          <w:lang w:eastAsia="zh-CN"/>
        </w:rPr>
      </w:pPr>
      <w:r>
        <w:rPr>
          <w:rFonts w:hint="eastAsia" w:ascii="宋体" w:hAnsi="宋体" w:eastAsia="宋体" w:cs="宋体"/>
          <w:color w:val="auto"/>
          <w:spacing w:val="-1"/>
          <w:sz w:val="24"/>
          <w:highlight w:val="none"/>
        </w:rPr>
        <w:t>名称：</w:t>
      </w:r>
      <w:r>
        <w:rPr>
          <w:rFonts w:hint="eastAsia" w:ascii="宋体" w:hAnsi="宋体" w:cs="宋体"/>
          <w:color w:val="auto"/>
          <w:spacing w:val="-1"/>
          <w:sz w:val="24"/>
          <w:highlight w:val="none"/>
          <w:lang w:eastAsia="zh-CN"/>
        </w:rPr>
        <w:t>河南金诺工程管理有限公司</w:t>
      </w:r>
    </w:p>
    <w:p w14:paraId="6F096E49">
      <w:pPr>
        <w:kinsoku w:val="0"/>
        <w:autoSpaceDE w:val="0"/>
        <w:autoSpaceDN w:val="0"/>
        <w:adjustRightInd w:val="0"/>
        <w:snapToGrid w:val="0"/>
        <w:spacing w:line="440" w:lineRule="exact"/>
        <w:ind w:firstLine="476" w:firstLineChars="200"/>
        <w:textAlignment w:val="baseline"/>
        <w:outlineLvl w:val="9"/>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地址：</w:t>
      </w:r>
      <w:r>
        <w:rPr>
          <w:rFonts w:hint="eastAsia" w:ascii="宋体" w:hAnsi="宋体" w:eastAsia="宋体" w:cs="宋体"/>
          <w:color w:val="auto"/>
          <w:spacing w:val="-1"/>
          <w:sz w:val="24"/>
          <w:highlight w:val="none"/>
          <w:lang w:val="zh-CN" w:eastAsia="zh-CN"/>
        </w:rPr>
        <w:t>焦作市丰收路锦祥花园北门东100米</w:t>
      </w:r>
    </w:p>
    <w:p w14:paraId="4C720E91">
      <w:pPr>
        <w:kinsoku w:val="0"/>
        <w:autoSpaceDE w:val="0"/>
        <w:autoSpaceDN w:val="0"/>
        <w:adjustRightInd w:val="0"/>
        <w:snapToGrid w:val="0"/>
        <w:spacing w:line="440" w:lineRule="exact"/>
        <w:ind w:firstLine="476" w:firstLineChars="200"/>
        <w:textAlignment w:val="baseline"/>
        <w:outlineLvl w:val="9"/>
        <w:rPr>
          <w:rFonts w:hint="default" w:ascii="宋体" w:hAnsi="宋体" w:cs="宋体"/>
          <w:color w:val="auto"/>
          <w:spacing w:val="-1"/>
          <w:sz w:val="24"/>
          <w:highlight w:val="none"/>
          <w:lang w:val="en-US" w:eastAsia="zh-CN"/>
        </w:rPr>
      </w:pPr>
      <w:r>
        <w:rPr>
          <w:rFonts w:hint="eastAsia" w:ascii="宋体" w:hAnsi="宋体" w:eastAsia="宋体" w:cs="宋体"/>
          <w:color w:val="auto"/>
          <w:spacing w:val="-1"/>
          <w:sz w:val="24"/>
          <w:highlight w:val="none"/>
        </w:rPr>
        <w:t>联系人：</w:t>
      </w:r>
      <w:r>
        <w:rPr>
          <w:rFonts w:hint="eastAsia" w:ascii="宋体" w:hAnsi="宋体" w:cs="宋体"/>
          <w:color w:val="auto"/>
          <w:spacing w:val="-1"/>
          <w:sz w:val="24"/>
          <w:highlight w:val="none"/>
          <w:lang w:val="en-US" w:eastAsia="zh-CN"/>
        </w:rPr>
        <w:t xml:space="preserve"> 郭女士</w:t>
      </w:r>
    </w:p>
    <w:p w14:paraId="3BD2B630">
      <w:pPr>
        <w:kinsoku w:val="0"/>
        <w:autoSpaceDE w:val="0"/>
        <w:autoSpaceDN w:val="0"/>
        <w:adjustRightInd w:val="0"/>
        <w:snapToGrid w:val="0"/>
        <w:spacing w:line="440" w:lineRule="exact"/>
        <w:ind w:firstLine="476" w:firstLineChars="200"/>
        <w:textAlignment w:val="baseline"/>
        <w:outlineLvl w:val="9"/>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联系方式：</w:t>
      </w:r>
      <w:bookmarkStart w:id="12" w:name="_Toc14020"/>
      <w:r>
        <w:rPr>
          <w:rFonts w:hint="eastAsia" w:ascii="宋体" w:hAnsi="宋体" w:eastAsia="宋体" w:cs="宋体"/>
          <w:color w:val="auto"/>
          <w:spacing w:val="-1"/>
          <w:sz w:val="24"/>
          <w:highlight w:val="none"/>
          <w:lang w:val="zh-CN" w:eastAsia="zh-CN"/>
        </w:rPr>
        <w:t>0391-3966993</w:t>
      </w:r>
    </w:p>
    <w:p w14:paraId="685BA67A">
      <w:pPr>
        <w:kinsoku w:val="0"/>
        <w:autoSpaceDE w:val="0"/>
        <w:autoSpaceDN w:val="0"/>
        <w:adjustRightInd w:val="0"/>
        <w:snapToGrid w:val="0"/>
        <w:spacing w:line="440" w:lineRule="exact"/>
        <w:ind w:firstLine="476" w:firstLineChars="200"/>
        <w:textAlignment w:val="baseline"/>
        <w:outlineLvl w:val="9"/>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3.项目联系方式</w:t>
      </w:r>
      <w:bookmarkEnd w:id="12"/>
    </w:p>
    <w:p w14:paraId="0466A019">
      <w:pPr>
        <w:kinsoku w:val="0"/>
        <w:autoSpaceDE w:val="0"/>
        <w:autoSpaceDN w:val="0"/>
        <w:adjustRightInd w:val="0"/>
        <w:snapToGrid w:val="0"/>
        <w:spacing w:line="440" w:lineRule="exact"/>
        <w:ind w:firstLine="476" w:firstLineChars="200"/>
        <w:textAlignment w:val="baseline"/>
        <w:outlineLvl w:val="9"/>
        <w:rPr>
          <w:rFonts w:hint="default" w:ascii="宋体" w:hAnsi="宋体" w:eastAsia="宋体" w:cs="宋体"/>
          <w:color w:val="auto"/>
          <w:spacing w:val="-1"/>
          <w:sz w:val="24"/>
          <w:highlight w:val="none"/>
          <w:lang w:val="en-US" w:eastAsia="zh-CN"/>
        </w:rPr>
      </w:pPr>
      <w:r>
        <w:rPr>
          <w:rFonts w:hint="eastAsia" w:ascii="宋体" w:hAnsi="宋体" w:eastAsia="宋体" w:cs="宋体"/>
          <w:color w:val="auto"/>
          <w:spacing w:val="-1"/>
          <w:sz w:val="24"/>
          <w:highlight w:val="none"/>
        </w:rPr>
        <w:t>项目联系人：</w:t>
      </w:r>
      <w:r>
        <w:rPr>
          <w:rFonts w:hint="eastAsia" w:ascii="宋体" w:hAnsi="宋体" w:eastAsia="宋体" w:cs="宋体"/>
          <w:color w:val="auto"/>
          <w:spacing w:val="-1"/>
          <w:sz w:val="24"/>
          <w:highlight w:val="none"/>
          <w:lang w:val="en-US" w:eastAsia="zh-CN"/>
        </w:rPr>
        <w:t>郭女士</w:t>
      </w:r>
    </w:p>
    <w:p w14:paraId="47AB3493">
      <w:pPr>
        <w:widowControl/>
        <w:spacing w:line="440" w:lineRule="exact"/>
        <w:ind w:firstLine="420"/>
        <w:outlineLvl w:val="9"/>
        <w:rPr>
          <w:rFonts w:hint="eastAsia" w:ascii="宋体" w:hAnsi="宋体" w:eastAsia="宋体" w:cs="宋体"/>
          <w:color w:val="auto"/>
          <w:sz w:val="24"/>
          <w:highlight w:val="none"/>
          <w:lang w:eastAsia="zh-CN"/>
        </w:rPr>
      </w:pPr>
      <w:r>
        <w:rPr>
          <w:rFonts w:hint="eastAsia" w:ascii="宋体" w:hAnsi="宋体" w:eastAsia="宋体" w:cs="宋体"/>
          <w:color w:val="auto"/>
          <w:spacing w:val="-1"/>
          <w:sz w:val="24"/>
          <w:highlight w:val="none"/>
        </w:rPr>
        <w:t>联系方式：</w:t>
      </w:r>
      <w:r>
        <w:rPr>
          <w:rFonts w:hint="eastAsia" w:ascii="宋体" w:hAnsi="宋体" w:eastAsia="宋体" w:cs="宋体"/>
          <w:color w:val="auto"/>
          <w:spacing w:val="-1"/>
          <w:sz w:val="24"/>
          <w:highlight w:val="none"/>
          <w:lang w:val="zh-CN" w:eastAsia="zh-CN"/>
        </w:rPr>
        <w:t>0391-3966993</w:t>
      </w:r>
    </w:p>
    <w:p w14:paraId="687E9B44">
      <w:pPr>
        <w:kinsoku w:val="0"/>
        <w:autoSpaceDE w:val="0"/>
        <w:autoSpaceDN w:val="0"/>
        <w:adjustRightInd w:val="0"/>
        <w:snapToGrid w:val="0"/>
        <w:spacing w:line="440" w:lineRule="exact"/>
        <w:ind w:firstLine="476" w:firstLineChars="200"/>
        <w:jc w:val="right"/>
        <w:textAlignment w:val="baseline"/>
        <w:outlineLvl w:val="9"/>
        <w:rPr>
          <w:rFonts w:hint="eastAsia" w:ascii="宋体" w:hAnsi="宋体" w:eastAsia="宋体" w:cs="宋体"/>
          <w:color w:val="auto"/>
          <w:spacing w:val="-1"/>
          <w:sz w:val="24"/>
          <w:highlight w:val="none"/>
        </w:rPr>
      </w:pPr>
    </w:p>
    <w:p w14:paraId="776CFE6E">
      <w:pPr>
        <w:kinsoku w:val="0"/>
        <w:autoSpaceDE w:val="0"/>
        <w:autoSpaceDN w:val="0"/>
        <w:adjustRightInd w:val="0"/>
        <w:snapToGrid w:val="0"/>
        <w:spacing w:line="440" w:lineRule="exact"/>
        <w:ind w:firstLine="476" w:firstLineChars="200"/>
        <w:jc w:val="right"/>
        <w:textAlignment w:val="baseline"/>
        <w:outlineLvl w:val="9"/>
        <w:rPr>
          <w:rFonts w:hint="eastAsia" w:ascii="宋体" w:hAnsi="宋体" w:eastAsia="宋体" w:cs="宋体"/>
          <w:color w:val="auto"/>
          <w:spacing w:val="-1"/>
          <w:sz w:val="24"/>
          <w:highlight w:val="none"/>
        </w:rPr>
      </w:pPr>
    </w:p>
    <w:p w14:paraId="15C3C95B">
      <w:pPr>
        <w:kinsoku w:val="0"/>
        <w:autoSpaceDE w:val="0"/>
        <w:autoSpaceDN w:val="0"/>
        <w:adjustRightInd w:val="0"/>
        <w:snapToGrid w:val="0"/>
        <w:spacing w:line="440" w:lineRule="exact"/>
        <w:ind w:firstLine="476" w:firstLineChars="200"/>
        <w:jc w:val="right"/>
        <w:textAlignment w:val="baseline"/>
        <w:outlineLvl w:val="9"/>
        <w:rPr>
          <w:rFonts w:hint="eastAsia" w:ascii="宋体" w:hAnsi="宋体" w:eastAsia="宋体" w:cs="宋体"/>
          <w:color w:val="auto"/>
          <w:spacing w:val="-1"/>
          <w:sz w:val="24"/>
          <w:highlight w:val="none"/>
        </w:rPr>
      </w:pPr>
    </w:p>
    <w:p w14:paraId="4B305E67">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76" w:firstLineChars="200"/>
        <w:jc w:val="right"/>
        <w:textAlignment w:val="baseline"/>
        <w:outlineLvl w:val="9"/>
        <w:rPr>
          <w:rFonts w:hint="eastAsia" w:ascii="宋体" w:hAnsi="宋体" w:cs="宋体"/>
          <w:color w:val="auto"/>
          <w:spacing w:val="-1"/>
          <w:sz w:val="24"/>
          <w:highlight w:val="none"/>
          <w:lang w:eastAsia="zh-CN"/>
        </w:rPr>
      </w:pPr>
      <w:r>
        <w:rPr>
          <w:rFonts w:hint="eastAsia" w:ascii="宋体" w:hAnsi="宋体" w:cs="宋体"/>
          <w:color w:val="auto"/>
          <w:spacing w:val="-1"/>
          <w:sz w:val="24"/>
          <w:highlight w:val="none"/>
          <w:lang w:val="en-US" w:eastAsia="zh-CN"/>
        </w:rPr>
        <w:t>采购</w:t>
      </w:r>
      <w:r>
        <w:rPr>
          <w:rFonts w:hint="eastAsia" w:ascii="宋体" w:hAnsi="宋体" w:cs="宋体"/>
          <w:color w:val="auto"/>
          <w:spacing w:val="-1"/>
          <w:sz w:val="24"/>
          <w:highlight w:val="none"/>
          <w:lang w:eastAsia="zh-CN"/>
        </w:rPr>
        <w:t>人：博爱县教育体育局</w:t>
      </w:r>
    </w:p>
    <w:p w14:paraId="0A98A8C4">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76" w:firstLineChars="200"/>
        <w:jc w:val="right"/>
        <w:textAlignment w:val="baseline"/>
        <w:outlineLvl w:val="9"/>
        <w:rPr>
          <w:rFonts w:hint="eastAsia" w:ascii="宋体" w:hAnsi="宋体" w:cs="宋体"/>
          <w:color w:val="auto"/>
          <w:spacing w:val="-1"/>
          <w:sz w:val="24"/>
          <w:highlight w:val="none"/>
          <w:lang w:val="zh-CN" w:eastAsia="zh-CN"/>
        </w:rPr>
      </w:pPr>
      <w:r>
        <w:rPr>
          <w:rFonts w:hint="eastAsia" w:ascii="宋体" w:hAnsi="宋体" w:cs="宋体"/>
          <w:color w:val="auto"/>
          <w:spacing w:val="-1"/>
          <w:sz w:val="24"/>
          <w:highlight w:val="none"/>
          <w:lang w:val="en-US" w:eastAsia="zh-CN"/>
        </w:rPr>
        <w:t xml:space="preserve">                             采购</w:t>
      </w:r>
      <w:r>
        <w:rPr>
          <w:rFonts w:hint="eastAsia" w:ascii="宋体" w:hAnsi="宋体" w:cs="宋体"/>
          <w:color w:val="auto"/>
          <w:spacing w:val="-1"/>
          <w:sz w:val="24"/>
          <w:highlight w:val="none"/>
          <w:lang w:eastAsia="zh-CN"/>
        </w:rPr>
        <w:t>代理机构：</w:t>
      </w:r>
      <w:r>
        <w:rPr>
          <w:rFonts w:hint="eastAsia" w:ascii="宋体" w:hAnsi="宋体" w:cs="宋体"/>
          <w:color w:val="auto"/>
          <w:spacing w:val="-1"/>
          <w:sz w:val="24"/>
          <w:highlight w:val="none"/>
          <w:lang w:val="zh-CN" w:eastAsia="zh-CN"/>
        </w:rPr>
        <w:t>河南金诺工程管理有限公司</w:t>
      </w:r>
    </w:p>
    <w:p w14:paraId="61966D66">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476" w:firstLineChars="200"/>
        <w:jc w:val="right"/>
        <w:textAlignment w:val="baseline"/>
        <w:outlineLvl w:val="9"/>
        <w:rPr>
          <w:rFonts w:hint="eastAsia" w:ascii="宋体" w:hAnsi="宋体" w:eastAsia="宋体" w:cs="宋体"/>
          <w:color w:val="auto"/>
          <w:highlight w:val="none"/>
        </w:rPr>
      </w:pPr>
      <w:r>
        <w:rPr>
          <w:rFonts w:hint="eastAsia" w:ascii="宋体" w:hAnsi="宋体" w:cs="宋体"/>
          <w:color w:val="auto"/>
          <w:spacing w:val="-1"/>
          <w:sz w:val="24"/>
          <w:highlight w:val="none"/>
          <w:lang w:val="en-US" w:eastAsia="zh-CN"/>
        </w:rPr>
        <w:t>发布</w:t>
      </w:r>
      <w:r>
        <w:rPr>
          <w:rFonts w:hint="eastAsia" w:ascii="宋体" w:hAnsi="宋体" w:cs="宋体"/>
          <w:color w:val="auto"/>
          <w:spacing w:val="-1"/>
          <w:sz w:val="24"/>
          <w:highlight w:val="none"/>
          <w:lang w:val="zh-CN" w:eastAsia="zh-CN"/>
        </w:rPr>
        <w:t>时间：202</w:t>
      </w:r>
      <w:r>
        <w:rPr>
          <w:rFonts w:hint="eastAsia" w:ascii="宋体" w:hAnsi="宋体" w:cs="宋体"/>
          <w:color w:val="auto"/>
          <w:spacing w:val="-1"/>
          <w:sz w:val="24"/>
          <w:highlight w:val="none"/>
          <w:lang w:val="en-US" w:eastAsia="zh-CN"/>
        </w:rPr>
        <w:t>5</w:t>
      </w:r>
      <w:r>
        <w:rPr>
          <w:rFonts w:hint="eastAsia" w:ascii="宋体" w:hAnsi="宋体" w:cs="宋体"/>
          <w:color w:val="auto"/>
          <w:spacing w:val="-1"/>
          <w:sz w:val="24"/>
          <w:highlight w:val="none"/>
          <w:lang w:val="zh-CN" w:eastAsia="zh-CN"/>
        </w:rPr>
        <w:t>年</w:t>
      </w:r>
      <w:r>
        <w:rPr>
          <w:rFonts w:hint="eastAsia" w:ascii="宋体" w:hAnsi="宋体" w:cs="宋体"/>
          <w:color w:val="auto"/>
          <w:spacing w:val="-1"/>
          <w:sz w:val="24"/>
          <w:highlight w:val="none"/>
          <w:lang w:val="en-US" w:eastAsia="zh-CN"/>
        </w:rPr>
        <w:t>10</w:t>
      </w:r>
      <w:r>
        <w:rPr>
          <w:rFonts w:hint="eastAsia" w:ascii="宋体" w:hAnsi="宋体" w:cs="宋体"/>
          <w:color w:val="auto"/>
          <w:spacing w:val="-1"/>
          <w:sz w:val="24"/>
          <w:highlight w:val="none"/>
          <w:lang w:val="zh-CN" w:eastAsia="zh-CN"/>
        </w:rPr>
        <w:t>月</w:t>
      </w:r>
      <w:r>
        <w:rPr>
          <w:rFonts w:hint="eastAsia" w:ascii="宋体" w:hAnsi="宋体" w:cs="宋体"/>
          <w:color w:val="auto"/>
          <w:spacing w:val="-1"/>
          <w:sz w:val="24"/>
          <w:highlight w:val="none"/>
          <w:lang w:val="en-US" w:eastAsia="zh-CN"/>
        </w:rPr>
        <w:t>31</w:t>
      </w:r>
      <w:r>
        <w:rPr>
          <w:rFonts w:hint="eastAsia" w:ascii="宋体" w:hAnsi="宋体" w:cs="宋体"/>
          <w:color w:val="auto"/>
          <w:spacing w:val="-1"/>
          <w:sz w:val="24"/>
          <w:highlight w:val="none"/>
          <w:lang w:val="zh-CN" w:eastAsia="zh-CN"/>
        </w:rPr>
        <w:t>日</w:t>
      </w:r>
      <w:r>
        <w:rPr>
          <w:rFonts w:hint="eastAsia" w:ascii="宋体" w:hAnsi="宋体" w:eastAsia="宋体" w:cs="宋体"/>
          <w:color w:val="auto"/>
          <w:highlight w:val="none"/>
        </w:rPr>
        <w:br w:type="page"/>
      </w:r>
    </w:p>
    <w:p w14:paraId="36AF715B">
      <w:pPr>
        <w:pStyle w:val="2"/>
        <w:bidi w:val="0"/>
        <w:rPr>
          <w:rFonts w:hint="eastAsia" w:ascii="宋体" w:hAnsi="宋体" w:eastAsia="宋体" w:cs="宋体"/>
          <w:color w:val="auto"/>
          <w:highlight w:val="none"/>
        </w:rPr>
      </w:pPr>
      <w:bookmarkStart w:id="13" w:name="_Toc28802"/>
      <w:r>
        <w:rPr>
          <w:rFonts w:hint="eastAsia" w:ascii="宋体" w:hAnsi="宋体" w:eastAsia="宋体" w:cs="宋体"/>
          <w:color w:val="auto"/>
          <w:highlight w:val="none"/>
        </w:rPr>
        <w:t>第二章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投标人须知</w:t>
      </w:r>
      <w:bookmarkEnd w:id="6"/>
      <w:bookmarkEnd w:id="7"/>
      <w:bookmarkEnd w:id="13"/>
    </w:p>
    <w:p w14:paraId="1A365BB0">
      <w:pPr>
        <w:pStyle w:val="3"/>
        <w:bidi w:val="0"/>
        <w:rPr>
          <w:rFonts w:hint="eastAsia" w:ascii="宋体" w:hAnsi="宋体" w:eastAsia="宋体" w:cs="宋体"/>
          <w:color w:val="auto"/>
          <w:highlight w:val="none"/>
        </w:rPr>
      </w:pPr>
      <w:bookmarkStart w:id="14" w:name="_Toc9161"/>
      <w:bookmarkStart w:id="15" w:name="_Toc426369478"/>
      <w:bookmarkStart w:id="16" w:name="_Toc11679"/>
      <w:bookmarkStart w:id="17" w:name="_Toc403122490"/>
      <w:bookmarkStart w:id="18" w:name="_Toc32497"/>
      <w:bookmarkStart w:id="19" w:name="_Toc14655"/>
      <w:r>
        <w:rPr>
          <w:rFonts w:hint="eastAsia" w:ascii="宋体" w:hAnsi="宋体" w:eastAsia="宋体" w:cs="宋体"/>
          <w:color w:val="auto"/>
          <w:highlight w:val="none"/>
        </w:rPr>
        <w:t>投标人须知前附表</w:t>
      </w:r>
      <w:bookmarkEnd w:id="14"/>
      <w:bookmarkEnd w:id="15"/>
      <w:bookmarkEnd w:id="16"/>
      <w:bookmarkEnd w:id="17"/>
      <w:bookmarkEnd w:id="18"/>
      <w:bookmarkEnd w:id="19"/>
    </w:p>
    <w:tbl>
      <w:tblPr>
        <w:tblStyle w:val="34"/>
        <w:tblW w:w="9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2206"/>
        <w:gridCol w:w="6735"/>
      </w:tblGrid>
      <w:tr w14:paraId="2FD5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43571BF5">
            <w:pPr>
              <w:pStyle w:val="20"/>
              <w:spacing w:line="500" w:lineRule="exact"/>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2206" w:type="dxa"/>
            <w:vAlign w:val="center"/>
          </w:tcPr>
          <w:p w14:paraId="128C1638">
            <w:pPr>
              <w:pStyle w:val="20"/>
              <w:spacing w:line="500" w:lineRule="exact"/>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6735" w:type="dxa"/>
            <w:vAlign w:val="center"/>
          </w:tcPr>
          <w:p w14:paraId="76D7B278">
            <w:pPr>
              <w:pStyle w:val="20"/>
              <w:spacing w:line="500" w:lineRule="exact"/>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245B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4AF1AFA">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p>
        </w:tc>
        <w:tc>
          <w:tcPr>
            <w:tcW w:w="2206" w:type="dxa"/>
            <w:vAlign w:val="center"/>
          </w:tcPr>
          <w:p w14:paraId="1803F56A">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735" w:type="dxa"/>
            <w:vAlign w:val="center"/>
          </w:tcPr>
          <w:p w14:paraId="4F225804">
            <w:pPr>
              <w:pStyle w:val="20"/>
              <w:spacing w:line="50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采购人：</w:t>
            </w:r>
            <w:r>
              <w:rPr>
                <w:rFonts w:hint="eastAsia" w:hAnsi="宋体" w:cs="宋体"/>
                <w:color w:val="auto"/>
                <w:sz w:val="24"/>
                <w:szCs w:val="24"/>
                <w:highlight w:val="none"/>
                <w:lang w:eastAsia="zh-CN"/>
              </w:rPr>
              <w:t>博爱县教育体育局</w:t>
            </w:r>
          </w:p>
          <w:p w14:paraId="69C037CC">
            <w:pPr>
              <w:pStyle w:val="20"/>
              <w:spacing w:line="50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hAnsi="宋体" w:cs="宋体"/>
                <w:color w:val="auto"/>
                <w:sz w:val="24"/>
                <w:szCs w:val="24"/>
                <w:highlight w:val="none"/>
                <w:lang w:eastAsia="zh-CN"/>
              </w:rPr>
              <w:t>张先生</w:t>
            </w:r>
          </w:p>
          <w:p w14:paraId="27CCA606">
            <w:pPr>
              <w:pStyle w:val="20"/>
              <w:spacing w:line="50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val="en-US" w:eastAsia="zh-CN"/>
              </w:rPr>
              <w:t>13939169875</w:t>
            </w:r>
          </w:p>
        </w:tc>
      </w:tr>
      <w:tr w14:paraId="4CA5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346CBC4E">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p>
        </w:tc>
        <w:tc>
          <w:tcPr>
            <w:tcW w:w="2206" w:type="dxa"/>
            <w:vAlign w:val="center"/>
          </w:tcPr>
          <w:p w14:paraId="20209240">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6735" w:type="dxa"/>
            <w:vAlign w:val="center"/>
          </w:tcPr>
          <w:p w14:paraId="1B4BB11F">
            <w:pPr>
              <w:pStyle w:val="20"/>
              <w:spacing w:line="50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采购代理机构：</w:t>
            </w:r>
            <w:r>
              <w:rPr>
                <w:rFonts w:hint="eastAsia" w:hAnsi="宋体" w:cs="宋体"/>
                <w:color w:val="auto"/>
                <w:sz w:val="24"/>
                <w:szCs w:val="24"/>
                <w:highlight w:val="none"/>
                <w:lang w:eastAsia="zh-CN"/>
              </w:rPr>
              <w:t>河南金诺工程管理有限公司</w:t>
            </w:r>
          </w:p>
          <w:p w14:paraId="676565B9">
            <w:pPr>
              <w:pStyle w:val="20"/>
              <w:spacing w:line="50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郭女士</w:t>
            </w:r>
          </w:p>
          <w:p w14:paraId="74B3F995">
            <w:pPr>
              <w:pStyle w:val="20"/>
              <w:spacing w:line="50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val="zh-CN" w:eastAsia="zh-CN"/>
              </w:rPr>
              <w:t>0391-3966993</w:t>
            </w:r>
          </w:p>
        </w:tc>
      </w:tr>
      <w:tr w14:paraId="1F79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4BC285A8">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p>
        </w:tc>
        <w:tc>
          <w:tcPr>
            <w:tcW w:w="2206" w:type="dxa"/>
            <w:vAlign w:val="center"/>
          </w:tcPr>
          <w:p w14:paraId="4630E94D">
            <w:pPr>
              <w:spacing w:line="50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6735" w:type="dxa"/>
            <w:vAlign w:val="center"/>
          </w:tcPr>
          <w:p w14:paraId="0DD2D59C">
            <w:pPr>
              <w:adjustRightInd w:val="0"/>
              <w:snapToGrid w:val="0"/>
              <w:spacing w:line="500" w:lineRule="exact"/>
              <w:outlineLvl w:val="9"/>
              <w:rPr>
                <w:rFonts w:hint="eastAsia" w:ascii="宋体" w:hAnsi="宋体" w:eastAsia="宋体" w:cs="宋体"/>
                <w:color w:val="auto"/>
                <w:sz w:val="24"/>
                <w:highlight w:val="none"/>
                <w:lang w:eastAsia="zh-CN"/>
              </w:rPr>
            </w:pPr>
            <w:r>
              <w:rPr>
                <w:rFonts w:hint="eastAsia" w:ascii="宋体" w:hAnsi="宋体" w:cs="宋体"/>
                <w:bCs/>
                <w:iCs/>
                <w:color w:val="auto"/>
                <w:sz w:val="24"/>
                <w:highlight w:val="none"/>
                <w:lang w:eastAsia="zh-CN"/>
              </w:rPr>
              <w:t>焦作市新材料职业学院学术交流中心中央空调采购项目</w:t>
            </w:r>
          </w:p>
        </w:tc>
      </w:tr>
      <w:tr w14:paraId="38C5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528357C2">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w:t>
            </w:r>
          </w:p>
        </w:tc>
        <w:tc>
          <w:tcPr>
            <w:tcW w:w="2206" w:type="dxa"/>
            <w:vAlign w:val="center"/>
          </w:tcPr>
          <w:p w14:paraId="5AEFAEC9">
            <w:pPr>
              <w:spacing w:line="500" w:lineRule="exact"/>
              <w:jc w:val="center"/>
              <w:outlineLvl w:val="9"/>
              <w:rPr>
                <w:rFonts w:hint="eastAsia" w:ascii="宋体" w:hAnsi="宋体" w:eastAsia="宋体" w:cs="宋体"/>
                <w:color w:val="auto"/>
                <w:sz w:val="24"/>
                <w:highlight w:val="none"/>
              </w:rPr>
            </w:pPr>
            <w:r>
              <w:rPr>
                <w:rFonts w:hint="eastAsia" w:ascii="宋体" w:hAnsi="宋体" w:eastAsia="宋体" w:cs="宋体"/>
                <w:bCs/>
                <w:iCs/>
                <w:color w:val="auto"/>
                <w:sz w:val="24"/>
                <w:highlight w:val="none"/>
              </w:rPr>
              <w:t>项目地点</w:t>
            </w:r>
          </w:p>
        </w:tc>
        <w:tc>
          <w:tcPr>
            <w:tcW w:w="6735" w:type="dxa"/>
            <w:vAlign w:val="center"/>
          </w:tcPr>
          <w:p w14:paraId="362FCDA9">
            <w:pPr>
              <w:pStyle w:val="20"/>
              <w:spacing w:line="5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采购人指定地点</w:t>
            </w:r>
          </w:p>
        </w:tc>
      </w:tr>
      <w:tr w14:paraId="6E59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38F31332">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2206" w:type="dxa"/>
            <w:vAlign w:val="center"/>
          </w:tcPr>
          <w:p w14:paraId="185FD233">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p>
        </w:tc>
        <w:tc>
          <w:tcPr>
            <w:tcW w:w="6735" w:type="dxa"/>
            <w:vAlign w:val="center"/>
          </w:tcPr>
          <w:p w14:paraId="354B3136">
            <w:pPr>
              <w:pStyle w:val="20"/>
              <w:spacing w:line="500" w:lineRule="exact"/>
              <w:outlineLvl w:val="9"/>
              <w:rPr>
                <w:rFonts w:hint="eastAsia" w:ascii="宋体" w:hAnsi="宋体" w:eastAsia="宋体" w:cs="宋体"/>
                <w:i/>
                <w:iCs/>
                <w:color w:val="auto"/>
                <w:sz w:val="24"/>
                <w:szCs w:val="24"/>
                <w:highlight w:val="none"/>
                <w:lang w:eastAsia="zh-CN"/>
              </w:rPr>
            </w:pPr>
            <w:r>
              <w:rPr>
                <w:rFonts w:hint="eastAsia" w:hAnsi="宋体" w:cs="宋体"/>
                <w:color w:val="auto"/>
                <w:sz w:val="24"/>
                <w:szCs w:val="24"/>
                <w:highlight w:val="none"/>
                <w:lang w:eastAsia="zh-CN"/>
              </w:rPr>
              <w:t>本级财政资金</w:t>
            </w:r>
          </w:p>
        </w:tc>
      </w:tr>
      <w:tr w14:paraId="3C330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6F2057CF">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2206" w:type="dxa"/>
            <w:vAlign w:val="center"/>
          </w:tcPr>
          <w:p w14:paraId="5EF88BD0">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bCs/>
                <w:iCs/>
                <w:color w:val="auto"/>
                <w:sz w:val="24"/>
                <w:szCs w:val="24"/>
                <w:highlight w:val="none"/>
              </w:rPr>
              <w:t>资金落实情况</w:t>
            </w:r>
          </w:p>
        </w:tc>
        <w:tc>
          <w:tcPr>
            <w:tcW w:w="6735" w:type="dxa"/>
            <w:vAlign w:val="center"/>
          </w:tcPr>
          <w:p w14:paraId="4A287539">
            <w:pPr>
              <w:pStyle w:val="20"/>
              <w:spacing w:line="5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已落实</w:t>
            </w:r>
          </w:p>
        </w:tc>
      </w:tr>
      <w:tr w14:paraId="1E1C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65" w:type="dxa"/>
            <w:vAlign w:val="center"/>
          </w:tcPr>
          <w:p w14:paraId="3D2A9C41">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2206" w:type="dxa"/>
            <w:shd w:val="clear" w:color="auto" w:fill="auto"/>
            <w:vAlign w:val="center"/>
          </w:tcPr>
          <w:p w14:paraId="0201BE88">
            <w:pPr>
              <w:pStyle w:val="2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bCs/>
                <w:iCs/>
                <w:color w:val="auto"/>
                <w:sz w:val="24"/>
                <w:szCs w:val="24"/>
                <w:highlight w:val="none"/>
              </w:rPr>
              <w:t>采购内容</w:t>
            </w:r>
          </w:p>
        </w:tc>
        <w:tc>
          <w:tcPr>
            <w:tcW w:w="6735" w:type="dxa"/>
            <w:shd w:val="clear" w:color="auto" w:fill="auto"/>
          </w:tcPr>
          <w:p w14:paraId="0F0F89DD">
            <w:pPr>
              <w:pStyle w:val="55"/>
              <w:spacing w:line="500" w:lineRule="exact"/>
              <w:ind w:left="0" w:firstLine="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采购学院学术交流中心中央空调，其中包含中央空调室外机、中央空调室内</w:t>
            </w:r>
            <w:r>
              <w:rPr>
                <w:rFonts w:hint="eastAsia" w:cs="宋体"/>
                <w:color w:val="auto"/>
                <w:spacing w:val="-1"/>
                <w:sz w:val="24"/>
                <w:szCs w:val="24"/>
                <w:highlight w:val="none"/>
                <w:lang w:eastAsia="zh-CN"/>
              </w:rPr>
              <w:t>机</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线控器、铜管及保温管、冷凝水管及保温、风道、风口、辅材等设备及材料。</w:t>
            </w:r>
            <w:r>
              <w:rPr>
                <w:rFonts w:hint="eastAsia" w:ascii="宋体" w:hAnsi="宋体" w:eastAsia="宋体" w:cs="宋体"/>
                <w:color w:val="auto"/>
                <w:spacing w:val="-1"/>
                <w:sz w:val="24"/>
                <w:szCs w:val="24"/>
                <w:highlight w:val="none"/>
                <w:lang w:eastAsia="zh-CN"/>
              </w:rPr>
              <w:t>（详见第五章 采购内容及技术要求）</w:t>
            </w:r>
          </w:p>
        </w:tc>
      </w:tr>
      <w:tr w14:paraId="043D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3456F964">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2206" w:type="dxa"/>
            <w:vAlign w:val="center"/>
          </w:tcPr>
          <w:p w14:paraId="37365AAE">
            <w:pPr>
              <w:pStyle w:val="20"/>
              <w:spacing w:line="500" w:lineRule="exact"/>
              <w:jc w:val="center"/>
              <w:outlineLvl w:val="9"/>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合同履行期限</w:t>
            </w:r>
          </w:p>
          <w:p w14:paraId="256421D4">
            <w:pPr>
              <w:pStyle w:val="20"/>
              <w:spacing w:line="500" w:lineRule="exact"/>
              <w:jc w:val="center"/>
              <w:outlineLvl w:val="9"/>
              <w:rPr>
                <w:rFonts w:hint="eastAsia" w:ascii="宋体" w:hAnsi="宋体" w:eastAsia="宋体" w:cs="宋体"/>
                <w:color w:val="auto"/>
                <w:kern w:val="0"/>
                <w:sz w:val="24"/>
                <w:szCs w:val="24"/>
                <w:highlight w:val="none"/>
              </w:rPr>
            </w:pPr>
            <w:r>
              <w:rPr>
                <w:rFonts w:hint="eastAsia" w:ascii="宋体" w:hAnsi="宋体" w:eastAsia="宋体" w:cs="宋体"/>
                <w:bCs/>
                <w:iCs/>
                <w:color w:val="auto"/>
                <w:sz w:val="24"/>
                <w:szCs w:val="24"/>
                <w:highlight w:val="none"/>
              </w:rPr>
              <w:t>（供货安装期）</w:t>
            </w:r>
          </w:p>
        </w:tc>
        <w:tc>
          <w:tcPr>
            <w:tcW w:w="6735" w:type="dxa"/>
            <w:vAlign w:val="center"/>
          </w:tcPr>
          <w:p w14:paraId="0C9C4BDC">
            <w:pPr>
              <w:adjustRightInd w:val="0"/>
              <w:snapToGrid w:val="0"/>
              <w:spacing w:line="500" w:lineRule="exact"/>
              <w:outlineLvl w:val="9"/>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60</w:t>
            </w:r>
            <w:r>
              <w:rPr>
                <w:rFonts w:hint="eastAsia" w:ascii="宋体" w:hAnsi="宋体" w:eastAsia="宋体" w:cs="宋体"/>
                <w:color w:val="auto"/>
                <w:kern w:val="0"/>
                <w:sz w:val="24"/>
                <w:highlight w:val="none"/>
              </w:rPr>
              <w:t>日历天</w:t>
            </w:r>
          </w:p>
        </w:tc>
      </w:tr>
      <w:tr w14:paraId="019E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1D425425">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w:t>
            </w:r>
          </w:p>
        </w:tc>
        <w:tc>
          <w:tcPr>
            <w:tcW w:w="2206" w:type="dxa"/>
            <w:vAlign w:val="center"/>
          </w:tcPr>
          <w:p w14:paraId="60C6ECFD">
            <w:pPr>
              <w:pStyle w:val="20"/>
              <w:spacing w:line="500" w:lineRule="exact"/>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质量标准</w:t>
            </w:r>
          </w:p>
        </w:tc>
        <w:tc>
          <w:tcPr>
            <w:tcW w:w="6735" w:type="dxa"/>
            <w:vAlign w:val="center"/>
          </w:tcPr>
          <w:p w14:paraId="0FF7D367">
            <w:pPr>
              <w:spacing w:line="500" w:lineRule="exac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合格，符合国家及行业规范标准</w:t>
            </w:r>
          </w:p>
        </w:tc>
      </w:tr>
      <w:tr w14:paraId="7DEC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18C896C4">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p>
        </w:tc>
        <w:tc>
          <w:tcPr>
            <w:tcW w:w="2206" w:type="dxa"/>
            <w:vAlign w:val="center"/>
          </w:tcPr>
          <w:p w14:paraId="2555B59C">
            <w:pPr>
              <w:pStyle w:val="20"/>
              <w:spacing w:line="500" w:lineRule="exact"/>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质保期</w:t>
            </w:r>
          </w:p>
        </w:tc>
        <w:tc>
          <w:tcPr>
            <w:tcW w:w="6735" w:type="dxa"/>
            <w:vAlign w:val="center"/>
          </w:tcPr>
          <w:p w14:paraId="43F9114C">
            <w:pPr>
              <w:spacing w:line="500" w:lineRule="exact"/>
              <w:outlineLvl w:val="9"/>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rPr>
              <w:t>年</w:t>
            </w:r>
          </w:p>
        </w:tc>
      </w:tr>
      <w:tr w14:paraId="2CC0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381CB880">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2206" w:type="dxa"/>
            <w:vAlign w:val="center"/>
          </w:tcPr>
          <w:p w14:paraId="35C96C02">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投标人资质条件</w:t>
            </w:r>
          </w:p>
        </w:tc>
        <w:tc>
          <w:tcPr>
            <w:tcW w:w="6735" w:type="dxa"/>
            <w:vAlign w:val="center"/>
          </w:tcPr>
          <w:p w14:paraId="2F92C520">
            <w:pPr>
              <w:widowControl/>
              <w:spacing w:line="440" w:lineRule="exact"/>
              <w:jc w:val="left"/>
              <w:outlineLvl w:val="9"/>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1.</w:t>
            </w:r>
            <w:r>
              <w:rPr>
                <w:rFonts w:hint="eastAsia" w:ascii="宋体" w:hAnsi="宋体" w:cs="宋体"/>
                <w:color w:val="auto"/>
                <w:sz w:val="24"/>
                <w:highlight w:val="none"/>
                <w:shd w:val="clear" w:color="auto" w:fill="FFFFFF"/>
                <w:lang w:val="en-US" w:eastAsia="zh-CN"/>
              </w:rPr>
              <w:t>符合</w:t>
            </w:r>
            <w:r>
              <w:rPr>
                <w:rFonts w:hint="eastAsia" w:ascii="宋体" w:hAnsi="宋体" w:eastAsia="宋体" w:cs="宋体"/>
                <w:color w:val="auto"/>
                <w:sz w:val="24"/>
                <w:highlight w:val="none"/>
                <w:shd w:val="clear" w:color="auto" w:fill="FFFFFF"/>
              </w:rPr>
              <w:t>《中华人民共和国政府采购法》第二十二条规定；</w:t>
            </w:r>
          </w:p>
          <w:p w14:paraId="691E4D82">
            <w:pPr>
              <w:widowControl/>
              <w:spacing w:line="440" w:lineRule="exact"/>
              <w:jc w:val="left"/>
              <w:outlineLvl w:val="9"/>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2.落实政府采购政策需满足的资格要求：促进中小企业和监狱企业发展扶持政策、政府强制采购节能产品、节能产品及环境标志产品优先采购。</w:t>
            </w:r>
          </w:p>
          <w:p w14:paraId="6E6E5629">
            <w:pPr>
              <w:widowControl/>
              <w:spacing w:line="480" w:lineRule="exact"/>
              <w:jc w:val="left"/>
              <w:outlineLvl w:val="9"/>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3.本项目的特定资格要求</w:t>
            </w:r>
          </w:p>
          <w:p w14:paraId="5344507D">
            <w:pPr>
              <w:widowControl/>
              <w:spacing w:line="480" w:lineRule="exact"/>
              <w:jc w:val="left"/>
              <w:outlineLvl w:val="9"/>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3.1 投标人须具有有效的营业执照，并具有实施完成本项目的经营实力和完善的售后服务体系；</w:t>
            </w:r>
          </w:p>
          <w:p w14:paraId="28E44799">
            <w:pPr>
              <w:widowControl/>
              <w:spacing w:line="480" w:lineRule="exact"/>
              <w:outlineLvl w:val="9"/>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3.2 信誉要求：</w:t>
            </w:r>
            <w:r>
              <w:rPr>
                <w:rFonts w:hint="eastAsia" w:ascii="宋体" w:hAnsi="宋体" w:eastAsia="宋体" w:cs="宋体"/>
                <w:color w:val="auto"/>
                <w:sz w:val="24"/>
                <w:highlight w:val="none"/>
              </w:rPr>
              <w:t>按照《财政部关于在政府采购活动中查询及使用信用记录有关问题的通知》（财库〔2016〕125号）的要求，根据开标当日“信用中国”网站（www.creditchina.gov.cn）、中国政府采购网（www.ccgp.gov.cn）的信息，对列入失信被执行人、重大税收违法失信主体、政府采购严重违法失信行为记录名单的投标人，拒绝参与政府采购活动，同时对信用信息查询记录和证据进行打印存档。(备注：信誉要求由采购代理机构开标当日提供查询结果。)</w:t>
            </w:r>
            <w:r>
              <w:rPr>
                <w:rFonts w:hint="eastAsia" w:ascii="宋体" w:hAnsi="宋体" w:eastAsia="宋体" w:cs="宋体"/>
                <w:color w:val="auto"/>
                <w:sz w:val="24"/>
                <w:highlight w:val="none"/>
                <w:shd w:val="clear" w:color="auto" w:fill="FFFFFF"/>
              </w:rPr>
              <w:t> </w:t>
            </w:r>
          </w:p>
          <w:p w14:paraId="26B8726C">
            <w:pPr>
              <w:widowControl/>
              <w:spacing w:line="480" w:lineRule="exact"/>
              <w:jc w:val="left"/>
              <w:outlineLvl w:val="9"/>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3.3 本项目不接受联合体投标；</w:t>
            </w:r>
          </w:p>
          <w:p w14:paraId="4AAD2DF9">
            <w:pPr>
              <w:widowControl/>
              <w:spacing w:line="480" w:lineRule="exact"/>
              <w:jc w:val="left"/>
              <w:outlineLvl w:val="9"/>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3.4 资格审查方式：资格后审。</w:t>
            </w:r>
          </w:p>
        </w:tc>
      </w:tr>
      <w:tr w14:paraId="2F0B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30CA5DCD">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p>
        </w:tc>
        <w:tc>
          <w:tcPr>
            <w:tcW w:w="2206" w:type="dxa"/>
            <w:vAlign w:val="center"/>
          </w:tcPr>
          <w:p w14:paraId="0FFC0511">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w:t>
            </w:r>
          </w:p>
        </w:tc>
        <w:tc>
          <w:tcPr>
            <w:tcW w:w="6735" w:type="dxa"/>
            <w:vAlign w:val="center"/>
          </w:tcPr>
          <w:p w14:paraId="7DC96B10">
            <w:pPr>
              <w:pStyle w:val="20"/>
              <w:spacing w:line="5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14:paraId="17AF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65" w:type="dxa"/>
            <w:vAlign w:val="center"/>
          </w:tcPr>
          <w:p w14:paraId="2D712C80">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w:t>
            </w:r>
          </w:p>
        </w:tc>
        <w:tc>
          <w:tcPr>
            <w:tcW w:w="2206" w:type="dxa"/>
            <w:vAlign w:val="center"/>
          </w:tcPr>
          <w:p w14:paraId="63B011DB">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投标预备会</w:t>
            </w:r>
          </w:p>
        </w:tc>
        <w:tc>
          <w:tcPr>
            <w:tcW w:w="6735" w:type="dxa"/>
            <w:vAlign w:val="center"/>
          </w:tcPr>
          <w:p w14:paraId="03D0D594">
            <w:pPr>
              <w:pStyle w:val="20"/>
              <w:spacing w:line="5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不召开</w:t>
            </w:r>
          </w:p>
        </w:tc>
      </w:tr>
      <w:tr w14:paraId="2770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7A5AC602">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1.10.2</w:t>
            </w:r>
          </w:p>
        </w:tc>
        <w:tc>
          <w:tcPr>
            <w:tcW w:w="2206" w:type="dxa"/>
            <w:vAlign w:val="center"/>
          </w:tcPr>
          <w:p w14:paraId="08773612">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投标人提出问题的</w:t>
            </w:r>
          </w:p>
          <w:p w14:paraId="38A90F7F">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p>
        </w:tc>
        <w:tc>
          <w:tcPr>
            <w:tcW w:w="6735" w:type="dxa"/>
            <w:vAlign w:val="center"/>
          </w:tcPr>
          <w:p w14:paraId="41BEF772">
            <w:pPr>
              <w:pStyle w:val="20"/>
              <w:spacing w:line="5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若有疑问，应当在获取招标文件或者招标文件公告期限届满之日起七个工作日内，以书面形式向采购人、代理机构提出质疑。</w:t>
            </w:r>
          </w:p>
        </w:tc>
      </w:tr>
      <w:tr w14:paraId="4ADC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77AF08FC">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1.10.3</w:t>
            </w:r>
          </w:p>
        </w:tc>
        <w:tc>
          <w:tcPr>
            <w:tcW w:w="2206" w:type="dxa"/>
            <w:vAlign w:val="center"/>
          </w:tcPr>
          <w:p w14:paraId="44BA0EE4">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采购人说明澄清的时间</w:t>
            </w:r>
          </w:p>
        </w:tc>
        <w:tc>
          <w:tcPr>
            <w:tcW w:w="6735" w:type="dxa"/>
            <w:vAlign w:val="center"/>
          </w:tcPr>
          <w:p w14:paraId="22A730A3">
            <w:pPr>
              <w:pStyle w:val="20"/>
              <w:spacing w:line="5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招标文件规定的投标截止时间15天前</w:t>
            </w:r>
          </w:p>
        </w:tc>
      </w:tr>
      <w:tr w14:paraId="1FEE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5" w:type="dxa"/>
            <w:vAlign w:val="center"/>
          </w:tcPr>
          <w:p w14:paraId="644CDBC0">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2206" w:type="dxa"/>
            <w:vAlign w:val="center"/>
          </w:tcPr>
          <w:p w14:paraId="636CAACB">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6735" w:type="dxa"/>
            <w:vAlign w:val="center"/>
          </w:tcPr>
          <w:p w14:paraId="55BC8997">
            <w:pPr>
              <w:pStyle w:val="20"/>
              <w:spacing w:line="5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14:paraId="30EA7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416D3EA2">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2206" w:type="dxa"/>
            <w:vAlign w:val="center"/>
          </w:tcPr>
          <w:p w14:paraId="3CAE7F1A">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投标人要求澄清招标文件的截止时间</w:t>
            </w:r>
          </w:p>
        </w:tc>
        <w:tc>
          <w:tcPr>
            <w:tcW w:w="6735" w:type="dxa"/>
            <w:vAlign w:val="center"/>
          </w:tcPr>
          <w:p w14:paraId="44C60527">
            <w:pPr>
              <w:pStyle w:val="20"/>
              <w:spacing w:line="5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若有疑问，应当在获取招标文件或者招标文件公告期限届满之日起七个工作日内，以书面形式向采购人、代理机构提出质疑。</w:t>
            </w:r>
          </w:p>
        </w:tc>
      </w:tr>
      <w:tr w14:paraId="0D6E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65" w:type="dxa"/>
            <w:vAlign w:val="center"/>
          </w:tcPr>
          <w:p w14:paraId="4A4767B3">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p>
        </w:tc>
        <w:tc>
          <w:tcPr>
            <w:tcW w:w="2206" w:type="dxa"/>
            <w:vAlign w:val="center"/>
          </w:tcPr>
          <w:p w14:paraId="0A120B4F">
            <w:pPr>
              <w:pStyle w:val="20"/>
              <w:spacing w:line="500" w:lineRule="exact"/>
              <w:jc w:val="center"/>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投标截止时间</w:t>
            </w:r>
          </w:p>
        </w:tc>
        <w:tc>
          <w:tcPr>
            <w:tcW w:w="6735" w:type="dxa"/>
            <w:vAlign w:val="center"/>
          </w:tcPr>
          <w:p w14:paraId="2BCF5693">
            <w:pPr>
              <w:spacing w:line="500" w:lineRule="exact"/>
              <w:jc w:val="left"/>
              <w:outlineLvl w:val="9"/>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rPr>
              <w:t>2025年</w:t>
            </w:r>
            <w:r>
              <w:rPr>
                <w:rFonts w:hint="eastAsia" w:ascii="宋体" w:hAnsi="宋体" w:cs="宋体"/>
                <w:b/>
                <w:bCs/>
                <w:color w:val="auto"/>
                <w:kern w:val="0"/>
                <w:sz w:val="24"/>
                <w:highlight w:val="none"/>
                <w:lang w:val="en-US" w:eastAsia="zh-CN"/>
              </w:rPr>
              <w:t>11</w:t>
            </w:r>
            <w:r>
              <w:rPr>
                <w:rFonts w:hint="eastAsia" w:ascii="宋体" w:hAnsi="宋体" w:eastAsia="宋体" w:cs="宋体"/>
                <w:b/>
                <w:bCs/>
                <w:color w:val="auto"/>
                <w:kern w:val="0"/>
                <w:sz w:val="24"/>
                <w:highlight w:val="none"/>
              </w:rPr>
              <w:t>月</w:t>
            </w:r>
            <w:r>
              <w:rPr>
                <w:rFonts w:hint="eastAsia" w:ascii="宋体" w:hAnsi="宋体" w:cs="宋体"/>
                <w:b/>
                <w:bCs/>
                <w:color w:val="auto"/>
                <w:kern w:val="0"/>
                <w:sz w:val="24"/>
                <w:highlight w:val="none"/>
                <w:lang w:val="en-US" w:eastAsia="zh-CN"/>
              </w:rPr>
              <w:t>24</w:t>
            </w:r>
            <w:r>
              <w:rPr>
                <w:rFonts w:hint="eastAsia" w:ascii="宋体" w:hAnsi="宋体" w:eastAsia="宋体" w:cs="宋体"/>
                <w:b/>
                <w:bCs/>
                <w:color w:val="auto"/>
                <w:kern w:val="0"/>
                <w:sz w:val="24"/>
                <w:highlight w:val="none"/>
              </w:rPr>
              <w:t>日0</w:t>
            </w:r>
            <w:r>
              <w:rPr>
                <w:rFonts w:hint="eastAsia" w:ascii="宋体" w:hAnsi="宋体" w:cs="宋体"/>
                <w:b/>
                <w:bCs/>
                <w:color w:val="auto"/>
                <w:kern w:val="0"/>
                <w:sz w:val="24"/>
                <w:highlight w:val="none"/>
                <w:lang w:val="en-US" w:eastAsia="zh-CN"/>
              </w:rPr>
              <w:t>8</w:t>
            </w:r>
            <w:r>
              <w:rPr>
                <w:rFonts w:hint="eastAsia" w:ascii="宋体" w:hAnsi="宋体" w:eastAsia="宋体" w:cs="宋体"/>
                <w:b/>
                <w:bCs/>
                <w:color w:val="auto"/>
                <w:kern w:val="0"/>
                <w:sz w:val="24"/>
                <w:highlight w:val="none"/>
              </w:rPr>
              <w:t>时</w:t>
            </w:r>
            <w:r>
              <w:rPr>
                <w:rFonts w:hint="eastAsia" w:ascii="宋体" w:hAnsi="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0分（北京时间）</w:t>
            </w:r>
          </w:p>
        </w:tc>
      </w:tr>
      <w:tr w14:paraId="4005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2BB6DA70">
            <w:pPr>
              <w:spacing w:line="50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p>
        </w:tc>
        <w:tc>
          <w:tcPr>
            <w:tcW w:w="2206" w:type="dxa"/>
            <w:vAlign w:val="center"/>
          </w:tcPr>
          <w:p w14:paraId="2F5A6A8D">
            <w:pPr>
              <w:spacing w:line="50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构成投标文件的</w:t>
            </w:r>
          </w:p>
          <w:p w14:paraId="25E90DCC">
            <w:pPr>
              <w:spacing w:line="50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其他材料</w:t>
            </w:r>
          </w:p>
        </w:tc>
        <w:tc>
          <w:tcPr>
            <w:tcW w:w="6735" w:type="dxa"/>
            <w:vAlign w:val="center"/>
          </w:tcPr>
          <w:p w14:paraId="109CB9C7">
            <w:pPr>
              <w:spacing w:line="50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招标文件中要求的其他资料。 </w:t>
            </w:r>
          </w:p>
        </w:tc>
      </w:tr>
      <w:tr w14:paraId="446C8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65" w:type="dxa"/>
            <w:vAlign w:val="center"/>
          </w:tcPr>
          <w:p w14:paraId="3A021C40">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p>
        </w:tc>
        <w:tc>
          <w:tcPr>
            <w:tcW w:w="2206" w:type="dxa"/>
            <w:vAlign w:val="center"/>
          </w:tcPr>
          <w:p w14:paraId="79F5B442">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35" w:type="dxa"/>
            <w:vAlign w:val="center"/>
          </w:tcPr>
          <w:p w14:paraId="0E8A5ACC">
            <w:pPr>
              <w:pStyle w:val="20"/>
              <w:spacing w:line="5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60日历天（从投标截止之日起算）</w:t>
            </w:r>
          </w:p>
        </w:tc>
      </w:tr>
      <w:tr w14:paraId="1A96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2E18CCDE">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2206" w:type="dxa"/>
            <w:vAlign w:val="center"/>
          </w:tcPr>
          <w:p w14:paraId="491E9AEF">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是否允许递交备选</w:t>
            </w:r>
          </w:p>
          <w:p w14:paraId="74013776">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投标方案</w:t>
            </w:r>
          </w:p>
        </w:tc>
        <w:tc>
          <w:tcPr>
            <w:tcW w:w="6735" w:type="dxa"/>
            <w:vAlign w:val="center"/>
          </w:tcPr>
          <w:p w14:paraId="4F33ADA2">
            <w:pPr>
              <w:pStyle w:val="20"/>
              <w:spacing w:line="5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14:paraId="6200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shd w:val="clear" w:color="auto" w:fill="auto"/>
            <w:vAlign w:val="center"/>
          </w:tcPr>
          <w:p w14:paraId="68734D18">
            <w:pPr>
              <w:spacing w:line="50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3.6.4</w:t>
            </w:r>
          </w:p>
        </w:tc>
        <w:tc>
          <w:tcPr>
            <w:tcW w:w="2206" w:type="dxa"/>
            <w:shd w:val="clear" w:color="auto" w:fill="auto"/>
            <w:vAlign w:val="center"/>
          </w:tcPr>
          <w:p w14:paraId="77438F68">
            <w:pPr>
              <w:spacing w:line="50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签字盖章要求</w:t>
            </w:r>
          </w:p>
        </w:tc>
        <w:tc>
          <w:tcPr>
            <w:tcW w:w="6735" w:type="dxa"/>
            <w:shd w:val="clear" w:color="auto" w:fill="auto"/>
            <w:vAlign w:val="center"/>
          </w:tcPr>
          <w:p w14:paraId="56B1EEE1">
            <w:pPr>
              <w:pStyle w:val="20"/>
              <w:spacing w:line="5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1、所有要求投标人加盖公章的地方都须加盖投标单位的 CA 印章。</w:t>
            </w:r>
          </w:p>
          <w:p w14:paraId="6142A2E4">
            <w:pPr>
              <w:pStyle w:val="20"/>
              <w:spacing w:line="5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2、要求法定代表人签字或盖章的，法定代表人在签字或盖章的地方上传手写签名的扫描件或加盖法定代表人CA印章。</w:t>
            </w:r>
          </w:p>
          <w:p w14:paraId="6887F410">
            <w:pPr>
              <w:pStyle w:val="20"/>
              <w:spacing w:line="5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3、要求委托代理人签字或盖章的，委托代理人在签字或盖章的地方上传手写签名的扫描件或加盖委托代理人CA印章。</w:t>
            </w:r>
          </w:p>
        </w:tc>
      </w:tr>
      <w:tr w14:paraId="1FCB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965" w:type="dxa"/>
            <w:vAlign w:val="center"/>
          </w:tcPr>
          <w:p w14:paraId="45A97E8C">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w:t>
            </w:r>
          </w:p>
        </w:tc>
        <w:tc>
          <w:tcPr>
            <w:tcW w:w="2206" w:type="dxa"/>
            <w:vAlign w:val="center"/>
          </w:tcPr>
          <w:p w14:paraId="03DECDA7">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投标文件份数</w:t>
            </w:r>
          </w:p>
        </w:tc>
        <w:tc>
          <w:tcPr>
            <w:tcW w:w="6735" w:type="dxa"/>
            <w:vAlign w:val="center"/>
          </w:tcPr>
          <w:p w14:paraId="5A4635AE">
            <w:pPr>
              <w:pStyle w:val="20"/>
              <w:spacing w:line="5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加密的电子投标文件壹份（.jztf 格式在会员系统指定位置上传）；自备非加密的电子投标文件一份，如有紧急情况，在不见面开标系统按要求上传。</w:t>
            </w:r>
          </w:p>
        </w:tc>
      </w:tr>
      <w:tr w14:paraId="621F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3" w:hRule="atLeast"/>
          <w:jc w:val="center"/>
        </w:trPr>
        <w:tc>
          <w:tcPr>
            <w:tcW w:w="965" w:type="dxa"/>
            <w:vAlign w:val="center"/>
          </w:tcPr>
          <w:p w14:paraId="5E5D2BD6">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w:t>
            </w:r>
          </w:p>
        </w:tc>
        <w:tc>
          <w:tcPr>
            <w:tcW w:w="2206" w:type="dxa"/>
            <w:vAlign w:val="center"/>
          </w:tcPr>
          <w:p w14:paraId="0408A6F6">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递交投标文件方式和地点</w:t>
            </w:r>
          </w:p>
        </w:tc>
        <w:tc>
          <w:tcPr>
            <w:tcW w:w="6735" w:type="dxa"/>
            <w:vAlign w:val="center"/>
          </w:tcPr>
          <w:p w14:paraId="2366158D">
            <w:pPr>
              <w:pStyle w:val="20"/>
              <w:spacing w:line="5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本项目采用“远程不见面”开标方式，远程开标大厅网址为https://ggzy.jiaozuo.gov.cn/BidOpeningHall/bidhall/dqhnjz/login.html。投标人不需到开标现场参加开标会议，不需提交原件资料等。 </w:t>
            </w:r>
          </w:p>
          <w:p w14:paraId="2F274A64">
            <w:pPr>
              <w:pStyle w:val="20"/>
              <w:spacing w:line="5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（1）电子投标文件的递交</w:t>
            </w:r>
          </w:p>
          <w:p w14:paraId="01238B6F">
            <w:pPr>
              <w:pStyle w:val="20"/>
              <w:spacing w:line="5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a.各投标人应在投标截止时间前上传加密的电子投标文件</w:t>
            </w:r>
          </w:p>
          <w:p w14:paraId="6A5D25FF">
            <w:pPr>
              <w:pStyle w:val="20"/>
              <w:spacing w:line="5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（.jztf 格式）到会员系统的指定位置。上传时必须得到电脑“上传成功”的确认回复。请投标人在上传时认真检查上传投标文件是否完整、正确。</w:t>
            </w:r>
          </w:p>
          <w:p w14:paraId="5B39621C">
            <w:pPr>
              <w:pStyle w:val="20"/>
              <w:spacing w:line="5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b.如系统故故障需上传非加密文件时，投标人应按照采购人指示将非加密文件递交给采购人。</w:t>
            </w:r>
          </w:p>
        </w:tc>
      </w:tr>
      <w:tr w14:paraId="0ECE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65" w:type="dxa"/>
            <w:vAlign w:val="center"/>
          </w:tcPr>
          <w:p w14:paraId="2502B802">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w:t>
            </w:r>
          </w:p>
        </w:tc>
        <w:tc>
          <w:tcPr>
            <w:tcW w:w="2206" w:type="dxa"/>
            <w:vAlign w:val="center"/>
          </w:tcPr>
          <w:p w14:paraId="6D6E458C">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是否退还投标文件</w:t>
            </w:r>
          </w:p>
        </w:tc>
        <w:tc>
          <w:tcPr>
            <w:tcW w:w="6735" w:type="dxa"/>
            <w:vAlign w:val="center"/>
          </w:tcPr>
          <w:p w14:paraId="0F6A5FC4">
            <w:pPr>
              <w:pStyle w:val="20"/>
              <w:spacing w:line="5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14:paraId="4226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1FA99F3A">
            <w:pPr>
              <w:pStyle w:val="20"/>
              <w:spacing w:line="500" w:lineRule="exact"/>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w:t>
            </w:r>
            <w:r>
              <w:rPr>
                <w:rFonts w:hint="eastAsia" w:hAnsi="宋体" w:cs="宋体"/>
                <w:color w:val="auto"/>
                <w:sz w:val="24"/>
                <w:szCs w:val="24"/>
                <w:highlight w:val="none"/>
                <w:lang w:val="en-US" w:eastAsia="zh-CN"/>
              </w:rPr>
              <w:t>2</w:t>
            </w:r>
          </w:p>
        </w:tc>
        <w:tc>
          <w:tcPr>
            <w:tcW w:w="2206" w:type="dxa"/>
            <w:vAlign w:val="center"/>
          </w:tcPr>
          <w:p w14:paraId="3EA70E10">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开标时间和地点</w:t>
            </w:r>
          </w:p>
        </w:tc>
        <w:tc>
          <w:tcPr>
            <w:tcW w:w="6735" w:type="dxa"/>
            <w:vAlign w:val="center"/>
          </w:tcPr>
          <w:p w14:paraId="3DF6CCCC">
            <w:pPr>
              <w:adjustRightInd w:val="0"/>
              <w:snapToGrid w:val="0"/>
              <w:spacing w:line="50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开标时间：同投标截止时间。登录远程开标大厅，凭制作投标文件所用的企业 CA 密匙在线签到、解密文件等，解密时间为投标截止时后30分钟内。</w:t>
            </w:r>
          </w:p>
          <w:p w14:paraId="0A43F9ED">
            <w:pPr>
              <w:spacing w:line="500" w:lineRule="exact"/>
              <w:ind w:left="700" w:hanging="7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现场开标地点：博爱县公共资源交易中心二楼不见面开标</w:t>
            </w:r>
            <w:r>
              <w:rPr>
                <w:rFonts w:hint="eastAsia" w:ascii="宋体" w:hAnsi="宋体" w:cs="宋体"/>
                <w:color w:val="auto"/>
                <w:sz w:val="24"/>
                <w:highlight w:val="none"/>
                <w:lang w:val="en-US" w:eastAsia="zh-CN"/>
              </w:rPr>
              <w:t>二</w:t>
            </w:r>
            <w:r>
              <w:rPr>
                <w:rFonts w:hint="eastAsia" w:ascii="宋体" w:hAnsi="宋体" w:eastAsia="宋体" w:cs="宋体"/>
                <w:color w:val="auto"/>
                <w:sz w:val="24"/>
                <w:highlight w:val="none"/>
              </w:rPr>
              <w:t>室</w:t>
            </w:r>
          </w:p>
        </w:tc>
      </w:tr>
      <w:tr w14:paraId="458F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65" w:type="dxa"/>
            <w:vAlign w:val="center"/>
          </w:tcPr>
          <w:p w14:paraId="312A7B99">
            <w:pPr>
              <w:spacing w:line="50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6.1.1</w:t>
            </w:r>
          </w:p>
        </w:tc>
        <w:tc>
          <w:tcPr>
            <w:tcW w:w="2206" w:type="dxa"/>
            <w:vAlign w:val="center"/>
          </w:tcPr>
          <w:p w14:paraId="567F4717">
            <w:pPr>
              <w:spacing w:line="50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评标委员会的组建</w:t>
            </w:r>
          </w:p>
        </w:tc>
        <w:tc>
          <w:tcPr>
            <w:tcW w:w="6735" w:type="dxa"/>
            <w:vAlign w:val="center"/>
          </w:tcPr>
          <w:p w14:paraId="7923F57B">
            <w:pPr>
              <w:adjustRightInd w:val="0"/>
              <w:snapToGrid w:val="0"/>
              <w:spacing w:line="500" w:lineRule="exact"/>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评标委员会构成：由采购人代表</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人和政府采购专家库中随机抽取的评审专家</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人，共</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人组成。</w:t>
            </w:r>
            <w:r>
              <w:rPr>
                <w:rFonts w:hint="eastAsia" w:ascii="宋体" w:hAnsi="宋体" w:eastAsia="宋体" w:cs="宋体"/>
                <w:b/>
                <w:bCs/>
                <w:color w:val="auto"/>
                <w:sz w:val="24"/>
                <w:highlight w:val="none"/>
              </w:rPr>
              <w:t>注</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u w:val="single"/>
              </w:rPr>
              <w:t>根据《财政部令第87号》第四十五条规定，采购人代表不得担任评标委员会组长。</w:t>
            </w:r>
          </w:p>
          <w:p w14:paraId="74A33C85">
            <w:pPr>
              <w:tabs>
                <w:tab w:val="left" w:pos="6090"/>
              </w:tabs>
              <w:spacing w:line="500" w:lineRule="exact"/>
              <w:jc w:val="left"/>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评审专家确定方式：在开标前从有关政府部门设立的评标专家中随机抽取确定。</w:t>
            </w:r>
          </w:p>
        </w:tc>
      </w:tr>
      <w:tr w14:paraId="570C3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79BA698">
            <w:pPr>
              <w:spacing w:line="50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7.1</w:t>
            </w:r>
          </w:p>
        </w:tc>
        <w:tc>
          <w:tcPr>
            <w:tcW w:w="2206" w:type="dxa"/>
            <w:vAlign w:val="center"/>
          </w:tcPr>
          <w:p w14:paraId="407EFC5A">
            <w:pPr>
              <w:spacing w:line="50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是否授权评标委员会确定中标人</w:t>
            </w:r>
          </w:p>
        </w:tc>
        <w:tc>
          <w:tcPr>
            <w:tcW w:w="6735" w:type="dxa"/>
            <w:vAlign w:val="center"/>
          </w:tcPr>
          <w:p w14:paraId="2E21E72D">
            <w:pPr>
              <w:widowControl/>
              <w:kinsoku w:val="0"/>
              <w:autoSpaceDE w:val="0"/>
              <w:autoSpaceDN w:val="0"/>
              <w:adjustRightInd w:val="0"/>
              <w:snapToGrid w:val="0"/>
              <w:spacing w:line="440" w:lineRule="exact"/>
              <w:ind w:firstLine="480" w:firstLineChars="200"/>
              <w:jc w:val="left"/>
              <w:textAlignment w:val="baseline"/>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否，由评标委员会从认定的合理报价中，按得分由高到低的顺序，依次推荐3名中标候选人。</w:t>
            </w:r>
          </w:p>
          <w:p w14:paraId="23DEFEC7">
            <w:pPr>
              <w:widowControl/>
              <w:kinsoku w:val="0"/>
              <w:autoSpaceDE w:val="0"/>
              <w:autoSpaceDN w:val="0"/>
              <w:adjustRightInd w:val="0"/>
              <w:snapToGrid w:val="0"/>
              <w:spacing w:line="440" w:lineRule="exact"/>
              <w:ind w:firstLine="480" w:firstLineChars="200"/>
              <w:textAlignment w:val="baseline"/>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应当确定排名第一的中标候选人为中标人。排名第一的中标候选人放弃中标、因不可抗力不能履行合同，或者被查实存在影响中标结果的违法行为等情形，不符合中标条件的，采购人可以按照评标委员会提出的中标候选人名单排序依次确定其他中标候选人为中标人，也可以重新招标。</w:t>
            </w:r>
          </w:p>
          <w:p w14:paraId="1A0D1B93">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非因不可抗力因素放弃中标的，或排名第一的中标候选人未按规定期限与采购人签订合同的，应赔偿采购人由此造成的损失，损失费的计算方法为该中标候选人的投标价与重新确定的中标人中标价的差额，将按相关规定予以处理。</w:t>
            </w:r>
          </w:p>
        </w:tc>
      </w:tr>
      <w:tr w14:paraId="270A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9A3A157">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w:t>
            </w:r>
          </w:p>
        </w:tc>
        <w:tc>
          <w:tcPr>
            <w:tcW w:w="2206" w:type="dxa"/>
            <w:vAlign w:val="center"/>
          </w:tcPr>
          <w:p w14:paraId="15987EB6">
            <w:pPr>
              <w:spacing w:line="50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6735" w:type="dxa"/>
            <w:vAlign w:val="center"/>
          </w:tcPr>
          <w:p w14:paraId="2A080594">
            <w:pPr>
              <w:spacing w:line="50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无</w:t>
            </w:r>
          </w:p>
        </w:tc>
      </w:tr>
      <w:tr w14:paraId="294F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shd w:val="clear" w:color="auto" w:fill="auto"/>
            <w:vAlign w:val="center"/>
          </w:tcPr>
          <w:p w14:paraId="17900710">
            <w:pPr>
              <w:pStyle w:val="20"/>
              <w:spacing w:line="5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w:t>
            </w:r>
          </w:p>
        </w:tc>
        <w:tc>
          <w:tcPr>
            <w:tcW w:w="2206" w:type="dxa"/>
            <w:shd w:val="clear" w:color="auto" w:fill="auto"/>
            <w:vAlign w:val="center"/>
          </w:tcPr>
          <w:p w14:paraId="6A763540">
            <w:pPr>
              <w:spacing w:line="50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w:t>
            </w:r>
          </w:p>
        </w:tc>
        <w:tc>
          <w:tcPr>
            <w:tcW w:w="6735" w:type="dxa"/>
            <w:shd w:val="clear" w:color="auto" w:fill="auto"/>
            <w:vAlign w:val="center"/>
          </w:tcPr>
          <w:p w14:paraId="0C52098B">
            <w:pPr>
              <w:spacing w:line="50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无</w:t>
            </w:r>
          </w:p>
        </w:tc>
      </w:tr>
      <w:tr w14:paraId="3777F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shd w:val="clear" w:color="auto" w:fill="auto"/>
            <w:vAlign w:val="center"/>
          </w:tcPr>
          <w:p w14:paraId="0AC411E6">
            <w:pPr>
              <w:pStyle w:val="20"/>
              <w:spacing w:line="500" w:lineRule="exact"/>
              <w:jc w:val="center"/>
              <w:outlineLvl w:val="9"/>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7.3.3</w:t>
            </w:r>
          </w:p>
        </w:tc>
        <w:tc>
          <w:tcPr>
            <w:tcW w:w="2206" w:type="dxa"/>
            <w:shd w:val="clear" w:color="auto" w:fill="auto"/>
            <w:vAlign w:val="center"/>
          </w:tcPr>
          <w:p w14:paraId="63156A71">
            <w:pPr>
              <w:spacing w:line="500" w:lineRule="exact"/>
              <w:jc w:val="center"/>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质量保证金</w:t>
            </w:r>
          </w:p>
        </w:tc>
        <w:tc>
          <w:tcPr>
            <w:tcW w:w="6735" w:type="dxa"/>
            <w:shd w:val="clear" w:color="auto" w:fill="auto"/>
            <w:vAlign w:val="center"/>
          </w:tcPr>
          <w:p w14:paraId="278AA8AA">
            <w:pPr>
              <w:spacing w:line="500" w:lineRule="exact"/>
              <w:outlineLvl w:val="9"/>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无</w:t>
            </w:r>
          </w:p>
        </w:tc>
      </w:tr>
      <w:tr w14:paraId="016A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65" w:type="dxa"/>
            <w:vAlign w:val="bottom"/>
          </w:tcPr>
          <w:p w14:paraId="30CC3FBE">
            <w:pPr>
              <w:spacing w:line="500" w:lineRule="exact"/>
              <w:jc w:val="center"/>
              <w:outlineLvl w:val="9"/>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10</w:t>
            </w:r>
          </w:p>
        </w:tc>
        <w:tc>
          <w:tcPr>
            <w:tcW w:w="8941" w:type="dxa"/>
            <w:gridSpan w:val="2"/>
            <w:vAlign w:val="bottom"/>
          </w:tcPr>
          <w:p w14:paraId="03BA1F06">
            <w:pPr>
              <w:spacing w:line="500" w:lineRule="exact"/>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需要补充的其他内容</w:t>
            </w:r>
          </w:p>
        </w:tc>
      </w:tr>
      <w:tr w14:paraId="0836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65" w:type="dxa"/>
            <w:vAlign w:val="center"/>
          </w:tcPr>
          <w:p w14:paraId="0CD51409">
            <w:pPr>
              <w:spacing w:line="500" w:lineRule="exact"/>
              <w:jc w:val="center"/>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10.</w:t>
            </w:r>
            <w:r>
              <w:rPr>
                <w:rFonts w:hint="eastAsia" w:ascii="宋体" w:hAnsi="宋体" w:cs="宋体"/>
                <w:color w:val="auto"/>
                <w:sz w:val="24"/>
                <w:highlight w:val="none"/>
                <w:lang w:val="en-US" w:eastAsia="zh-CN"/>
              </w:rPr>
              <w:t>4</w:t>
            </w:r>
          </w:p>
        </w:tc>
        <w:tc>
          <w:tcPr>
            <w:tcW w:w="2206" w:type="dxa"/>
            <w:vAlign w:val="center"/>
          </w:tcPr>
          <w:p w14:paraId="75E2EA68">
            <w:pPr>
              <w:spacing w:line="50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预算金额</w:t>
            </w:r>
          </w:p>
        </w:tc>
        <w:tc>
          <w:tcPr>
            <w:tcW w:w="6735" w:type="dxa"/>
            <w:vAlign w:val="bottom"/>
          </w:tcPr>
          <w:p w14:paraId="043AA929">
            <w:pPr>
              <w:spacing w:line="50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1.本项目预算金额为：</w:t>
            </w:r>
            <w:r>
              <w:rPr>
                <w:rFonts w:hint="eastAsia" w:ascii="宋体" w:hAnsi="宋体" w:cs="宋体"/>
                <w:color w:val="auto"/>
                <w:sz w:val="24"/>
                <w:highlight w:val="none"/>
                <w:lang w:val="en-US" w:eastAsia="zh-CN"/>
              </w:rPr>
              <w:t>3920000</w:t>
            </w:r>
            <w:r>
              <w:rPr>
                <w:rFonts w:hint="eastAsia" w:ascii="宋体" w:hAnsi="宋体" w:eastAsia="宋体" w:cs="宋体"/>
                <w:color w:val="auto"/>
                <w:sz w:val="24"/>
                <w:highlight w:val="none"/>
              </w:rPr>
              <w:t>元。</w:t>
            </w:r>
          </w:p>
          <w:p w14:paraId="401EDB45">
            <w:pPr>
              <w:spacing w:line="50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2.控制价是采购人设置的最高限价，投标人的投标报价高于控制价的视为无效报价，其投标予以拒绝；</w:t>
            </w:r>
          </w:p>
          <w:p w14:paraId="61FDAA54">
            <w:pPr>
              <w:spacing w:line="50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3.当中标人的投标报价高于控制价的95%时，该中标人的中标价按控制价的95%执行。</w:t>
            </w:r>
          </w:p>
        </w:tc>
      </w:tr>
      <w:tr w14:paraId="001B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65" w:type="dxa"/>
            <w:vAlign w:val="center"/>
          </w:tcPr>
          <w:p w14:paraId="1B38515C">
            <w:pPr>
              <w:spacing w:line="500" w:lineRule="exact"/>
              <w:jc w:val="center"/>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10.</w:t>
            </w:r>
            <w:r>
              <w:rPr>
                <w:rFonts w:hint="eastAsia" w:ascii="宋体" w:hAnsi="宋体" w:cs="宋体"/>
                <w:color w:val="auto"/>
                <w:sz w:val="24"/>
                <w:highlight w:val="none"/>
                <w:lang w:val="en-US" w:eastAsia="zh-CN"/>
              </w:rPr>
              <w:t>5</w:t>
            </w:r>
          </w:p>
        </w:tc>
        <w:tc>
          <w:tcPr>
            <w:tcW w:w="2206" w:type="dxa"/>
            <w:vAlign w:val="center"/>
          </w:tcPr>
          <w:p w14:paraId="2003CAE5">
            <w:pPr>
              <w:spacing w:line="50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小型或微型企业（含监狱企业）</w:t>
            </w:r>
          </w:p>
        </w:tc>
        <w:tc>
          <w:tcPr>
            <w:tcW w:w="6735" w:type="dxa"/>
            <w:vAlign w:val="center"/>
          </w:tcPr>
          <w:p w14:paraId="4136F47E">
            <w:pPr>
              <w:autoSpaceDE w:val="0"/>
              <w:autoSpaceDN w:val="0"/>
              <w:adjustRightInd w:val="0"/>
              <w:spacing w:line="500" w:lineRule="exact"/>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1.对小型或微型企业投标的扶持：(如有）</w:t>
            </w:r>
          </w:p>
          <w:p w14:paraId="68067FC9">
            <w:pPr>
              <w:autoSpaceDE w:val="0"/>
              <w:autoSpaceDN w:val="0"/>
              <w:adjustRightInd w:val="0"/>
              <w:spacing w:line="500" w:lineRule="exact"/>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 投标人提供的货物生产商或制造商为小型或微型企业时，报价给予C1的价格扣除（C1的取值为20%），即：评标价＝投标报价（最后报价）×(1－C1）；</w:t>
            </w:r>
          </w:p>
          <w:p w14:paraId="02742C7E">
            <w:pPr>
              <w:autoSpaceDE w:val="0"/>
              <w:autoSpaceDN w:val="0"/>
              <w:adjustRightInd w:val="0"/>
              <w:spacing w:line="500" w:lineRule="exact"/>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小微企业应当提供《中小企业声明函》（见格式）。</w:t>
            </w:r>
          </w:p>
          <w:p w14:paraId="37A8050B">
            <w:pPr>
              <w:autoSpaceDE w:val="0"/>
              <w:autoSpaceDN w:val="0"/>
              <w:adjustRightInd w:val="0"/>
              <w:spacing w:line="500" w:lineRule="exact"/>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 按照《政府采购促进中小企业发展管理办法》有关规定，中小企业的标准为：</w:t>
            </w:r>
          </w:p>
          <w:p w14:paraId="2FDFE21A">
            <w:pPr>
              <w:autoSpaceDE w:val="0"/>
              <w:autoSpaceDN w:val="0"/>
              <w:adjustRightInd w:val="0"/>
              <w:spacing w:line="500" w:lineRule="exact"/>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1.2.1 提供本企业制造的货物、承担的工程或者服务，或者提供其他中小企业制造的货物，不包括提供或使用大型企业注册商标的货物；</w:t>
            </w:r>
          </w:p>
          <w:p w14:paraId="316CEB17">
            <w:pPr>
              <w:autoSpaceDE w:val="0"/>
              <w:autoSpaceDN w:val="0"/>
              <w:adjustRightInd w:val="0"/>
              <w:spacing w:line="500" w:lineRule="exact"/>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1.2.2 本规定所称中小企业划分标准，是指国务院有关部门根据企业从业人员、营业收入、资产总额等指标制定的中小企业划型标准（工信部联企业[2011]300号）；</w:t>
            </w:r>
          </w:p>
          <w:p w14:paraId="59BF0AB9">
            <w:pPr>
              <w:autoSpaceDE w:val="0"/>
              <w:autoSpaceDN w:val="0"/>
              <w:adjustRightInd w:val="0"/>
              <w:spacing w:line="500" w:lineRule="exact"/>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1.2.3 小型、微型企业提供有中型企业制造的货物的，视同为中型企业；小型、微型、中型企业提供有大型企业制造的货物的，视同为大型企业。</w:t>
            </w:r>
          </w:p>
          <w:p w14:paraId="484306D6">
            <w:pPr>
              <w:spacing w:line="500" w:lineRule="exact"/>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根据财政部司法部《关于政府采购支持监狱企业发展有关问题的通知》（财库〔2014〕68号）和财政部民政部中国残疾人联合会《关于促进残疾人就业政府采购政策的通知》（财库〔2017〕141号）规定，本项目对监狱企业、残疾人福利性企业作为投标人所提供的本企业生产的产品的价格给予20%的扣除。</w:t>
            </w:r>
          </w:p>
          <w:p w14:paraId="103032B9">
            <w:pPr>
              <w:spacing w:line="500" w:lineRule="exact"/>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同一投标人，小微企业、监狱、残疾人福利性企业同一产品价格扣除优惠只享受一次，不得重复享受。</w:t>
            </w:r>
          </w:p>
        </w:tc>
      </w:tr>
      <w:tr w14:paraId="13B4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428BDB89">
            <w:pPr>
              <w:spacing w:line="500" w:lineRule="exact"/>
              <w:jc w:val="center"/>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10.</w:t>
            </w:r>
            <w:r>
              <w:rPr>
                <w:rFonts w:hint="eastAsia" w:ascii="宋体" w:hAnsi="宋体" w:cs="宋体"/>
                <w:color w:val="auto"/>
                <w:sz w:val="24"/>
                <w:highlight w:val="none"/>
                <w:lang w:val="en-US" w:eastAsia="zh-CN"/>
              </w:rPr>
              <w:t>6</w:t>
            </w:r>
          </w:p>
        </w:tc>
        <w:tc>
          <w:tcPr>
            <w:tcW w:w="2206" w:type="dxa"/>
            <w:vAlign w:val="center"/>
          </w:tcPr>
          <w:p w14:paraId="73FDC1F7">
            <w:pPr>
              <w:spacing w:line="500" w:lineRule="exact"/>
              <w:jc w:val="center"/>
              <w:outlineLvl w:val="9"/>
              <w:rPr>
                <w:rFonts w:hint="eastAsia" w:ascii="宋体" w:hAnsi="宋体" w:eastAsia="宋体" w:cs="宋体"/>
                <w:b/>
                <w:bCs w:val="0"/>
                <w:color w:val="auto"/>
                <w:sz w:val="24"/>
                <w:highlight w:val="none"/>
              </w:rPr>
            </w:pPr>
            <w:r>
              <w:rPr>
                <w:rFonts w:hint="eastAsia" w:ascii="宋体" w:hAnsi="宋体" w:eastAsia="宋体" w:cs="宋体"/>
                <w:b w:val="0"/>
                <w:bCs/>
                <w:color w:val="auto"/>
                <w:sz w:val="24"/>
                <w:highlight w:val="none"/>
              </w:rPr>
              <w:t>付款方式</w:t>
            </w:r>
          </w:p>
        </w:tc>
        <w:tc>
          <w:tcPr>
            <w:tcW w:w="6735" w:type="dxa"/>
            <w:vAlign w:val="center"/>
          </w:tcPr>
          <w:p w14:paraId="7F1C5B9C">
            <w:pPr>
              <w:spacing w:line="500" w:lineRule="exact"/>
              <w:outlineLvl w:val="9"/>
              <w:rPr>
                <w:rFonts w:hint="default" w:ascii="宋体" w:hAnsi="宋体" w:cs="宋体"/>
                <w:bCs/>
                <w:color w:val="auto"/>
                <w:sz w:val="24"/>
                <w:highlight w:val="none"/>
                <w:lang w:val="en-US" w:eastAsia="zh-CN"/>
              </w:rPr>
            </w:pPr>
            <w:r>
              <w:rPr>
                <w:rFonts w:hint="eastAsia" w:ascii="宋体" w:hAnsi="宋体" w:cs="宋体"/>
                <w:bCs/>
                <w:color w:val="auto"/>
                <w:sz w:val="24"/>
                <w:highlight w:val="none"/>
                <w:lang w:eastAsia="zh-CN"/>
              </w:rPr>
              <w:t>合同签订后，全部供货安装结束，该项目经过国家认可的第三方质量检测机构验收和检测合格后，据实支付合同总额的</w:t>
            </w:r>
            <w:r>
              <w:rPr>
                <w:rFonts w:hint="eastAsia" w:ascii="宋体" w:hAnsi="宋体" w:cs="宋体"/>
                <w:bCs/>
                <w:color w:val="auto"/>
                <w:sz w:val="24"/>
                <w:highlight w:val="none"/>
                <w:lang w:val="en-US" w:eastAsia="zh-CN"/>
              </w:rPr>
              <w:t>100%</w:t>
            </w:r>
            <w:r>
              <w:rPr>
                <w:rFonts w:hint="eastAsia" w:ascii="宋体" w:eastAsia="宋体" w:cs="宋体"/>
                <w:color w:val="auto"/>
                <w:sz w:val="24"/>
                <w:szCs w:val="24"/>
                <w:highlight w:val="none"/>
                <w:lang w:eastAsia="zh-CN"/>
              </w:rPr>
              <w:t>。</w:t>
            </w:r>
          </w:p>
        </w:tc>
      </w:tr>
      <w:tr w14:paraId="5BD1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65" w:type="dxa"/>
            <w:vAlign w:val="center"/>
          </w:tcPr>
          <w:p w14:paraId="4072F5F9">
            <w:pPr>
              <w:spacing w:line="500" w:lineRule="exact"/>
              <w:jc w:val="center"/>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10.</w:t>
            </w:r>
            <w:r>
              <w:rPr>
                <w:rFonts w:hint="eastAsia" w:ascii="宋体" w:hAnsi="宋体" w:cs="宋体"/>
                <w:color w:val="auto"/>
                <w:sz w:val="24"/>
                <w:highlight w:val="none"/>
                <w:lang w:val="en-US" w:eastAsia="zh-CN"/>
              </w:rPr>
              <w:t>7</w:t>
            </w:r>
          </w:p>
        </w:tc>
        <w:tc>
          <w:tcPr>
            <w:tcW w:w="2206" w:type="dxa"/>
            <w:vAlign w:val="center"/>
          </w:tcPr>
          <w:p w14:paraId="39EBF182">
            <w:pPr>
              <w:spacing w:line="50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招标代理服务费</w:t>
            </w:r>
          </w:p>
        </w:tc>
        <w:tc>
          <w:tcPr>
            <w:tcW w:w="6735" w:type="dxa"/>
            <w:vAlign w:val="center"/>
          </w:tcPr>
          <w:p w14:paraId="1985B7ED">
            <w:pPr>
              <w:spacing w:line="500" w:lineRule="exact"/>
              <w:outlineLvl w:val="9"/>
              <w:rPr>
                <w:rFonts w:hint="eastAsia"/>
                <w:highlight w:val="none"/>
              </w:rPr>
            </w:pPr>
            <w:r>
              <w:rPr>
                <w:rFonts w:hint="eastAsia" w:ascii="宋体" w:hAnsi="宋体" w:eastAsia="宋体" w:cs="宋体"/>
                <w:bCs/>
                <w:color w:val="auto"/>
                <w:sz w:val="24"/>
                <w:highlight w:val="none"/>
              </w:rPr>
              <w:t>参照豫招协[2023]002号《河南省招标代理服务收费指导意见》中的标准向中标人收取招标代理服务费，中标人在领取中标通知书前，向代理机构足额缴纳。</w:t>
            </w:r>
          </w:p>
        </w:tc>
      </w:tr>
      <w:tr w14:paraId="787D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65" w:type="dxa"/>
            <w:vAlign w:val="center"/>
          </w:tcPr>
          <w:p w14:paraId="0FFB1613">
            <w:pPr>
              <w:spacing w:line="500" w:lineRule="exact"/>
              <w:jc w:val="center"/>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10.</w:t>
            </w:r>
            <w:r>
              <w:rPr>
                <w:rFonts w:hint="eastAsia" w:ascii="宋体" w:hAnsi="宋体" w:cs="宋体"/>
                <w:color w:val="auto"/>
                <w:sz w:val="24"/>
                <w:highlight w:val="none"/>
                <w:lang w:val="en-US" w:eastAsia="zh-CN"/>
              </w:rPr>
              <w:t>8</w:t>
            </w:r>
          </w:p>
        </w:tc>
        <w:tc>
          <w:tcPr>
            <w:tcW w:w="2206" w:type="dxa"/>
            <w:vAlign w:val="center"/>
          </w:tcPr>
          <w:p w14:paraId="7C533472">
            <w:pPr>
              <w:adjustRightInd w:val="0"/>
              <w:snapToGrid w:val="0"/>
              <w:spacing w:line="500" w:lineRule="exact"/>
              <w:jc w:val="center"/>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认定为不响应招标文件的其它条件</w:t>
            </w:r>
          </w:p>
        </w:tc>
        <w:tc>
          <w:tcPr>
            <w:tcW w:w="6735" w:type="dxa"/>
            <w:vAlign w:val="center"/>
          </w:tcPr>
          <w:p w14:paraId="002364BB">
            <w:pPr>
              <w:pStyle w:val="33"/>
              <w:ind w:left="0" w:leftChars="0" w:firstLine="0" w:firstLineChars="0"/>
              <w:outlineLvl w:val="9"/>
              <w:rPr>
                <w:rFonts w:hint="eastAsia" w:ascii="宋体" w:hAnsi="宋体" w:eastAsia="宋体" w:cs="宋体"/>
                <w:color w:val="auto"/>
                <w:highlight w:val="none"/>
              </w:rPr>
            </w:pPr>
            <w:r>
              <w:rPr>
                <w:rFonts w:hint="eastAsia" w:ascii="宋体" w:hAnsi="宋体" w:eastAsia="宋体" w:cs="宋体"/>
                <w:color w:val="auto"/>
                <w:highlight w:val="none"/>
              </w:rPr>
              <w:t>1.未按招标文件明示的规定签字盖章的；</w:t>
            </w:r>
          </w:p>
          <w:p w14:paraId="1363B629">
            <w:pPr>
              <w:pStyle w:val="33"/>
              <w:ind w:left="0" w:leftChars="0" w:firstLine="0" w:firstLineChars="0"/>
              <w:outlineLvl w:val="9"/>
              <w:rPr>
                <w:rFonts w:hint="eastAsia" w:ascii="宋体" w:hAnsi="宋体" w:eastAsia="宋体" w:cs="宋体"/>
                <w:color w:val="auto"/>
                <w:highlight w:val="none"/>
              </w:rPr>
            </w:pPr>
            <w:r>
              <w:rPr>
                <w:rFonts w:hint="eastAsia" w:ascii="宋体" w:hAnsi="宋体" w:eastAsia="宋体" w:cs="宋体"/>
                <w:color w:val="auto"/>
                <w:highlight w:val="none"/>
              </w:rPr>
              <w:t>2.投标文件的关键内容（</w:t>
            </w:r>
            <w:r>
              <w:rPr>
                <w:rFonts w:hint="eastAsia" w:ascii="宋体" w:hAnsi="宋体" w:eastAsia="宋体" w:cs="宋体"/>
                <w:color w:val="auto"/>
                <w:highlight w:val="none"/>
                <w:lang w:val="en-US" w:eastAsia="zh-CN"/>
              </w:rPr>
              <w:t>投标报价、</w:t>
            </w:r>
            <w:r>
              <w:rPr>
                <w:rFonts w:hint="eastAsia" w:ascii="宋体" w:hAnsi="宋体" w:eastAsia="宋体" w:cs="宋体"/>
                <w:color w:val="auto"/>
                <w:highlight w:val="none"/>
              </w:rPr>
              <w:t>合同履行期限（供货安装期）、质量标准、品牌、型号</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投标有效期</w:t>
            </w:r>
            <w:r>
              <w:rPr>
                <w:rFonts w:hint="eastAsia" w:ascii="宋体" w:hAnsi="宋体" w:eastAsia="宋体" w:cs="宋体"/>
                <w:color w:val="auto"/>
                <w:highlight w:val="none"/>
              </w:rPr>
              <w:t>等）未填写或填写字迹模糊、达不到采购要求的；</w:t>
            </w:r>
          </w:p>
          <w:p w14:paraId="5BBBA031">
            <w:pPr>
              <w:pStyle w:val="33"/>
              <w:ind w:left="0" w:leftChars="0" w:firstLine="0" w:firstLineChars="0"/>
              <w:outlineLvl w:val="9"/>
              <w:rPr>
                <w:rFonts w:hint="eastAsia" w:ascii="宋体" w:hAnsi="宋体" w:eastAsia="宋体" w:cs="宋体"/>
                <w:color w:val="auto"/>
                <w:highlight w:val="none"/>
              </w:rPr>
            </w:pPr>
            <w:r>
              <w:rPr>
                <w:rFonts w:hint="eastAsia" w:ascii="宋体" w:hAnsi="宋体" w:eastAsia="宋体" w:cs="宋体"/>
                <w:color w:val="auto"/>
                <w:highlight w:val="none"/>
              </w:rPr>
              <w:t>3.投标报价超出</w:t>
            </w:r>
            <w:r>
              <w:rPr>
                <w:rFonts w:hint="eastAsia" w:ascii="宋体" w:hAnsi="宋体" w:eastAsia="宋体" w:cs="宋体"/>
                <w:color w:val="auto"/>
                <w:highlight w:val="none"/>
                <w:lang w:val="en-US" w:eastAsia="zh-CN"/>
              </w:rPr>
              <w:t>最高限价</w:t>
            </w:r>
            <w:r>
              <w:rPr>
                <w:rFonts w:hint="eastAsia" w:ascii="宋体" w:hAnsi="宋体" w:eastAsia="宋体" w:cs="宋体"/>
                <w:color w:val="auto"/>
                <w:highlight w:val="none"/>
              </w:rPr>
              <w:t>的；</w:t>
            </w:r>
          </w:p>
          <w:p w14:paraId="7F1700CE">
            <w:pPr>
              <w:pStyle w:val="33"/>
              <w:ind w:left="0" w:leftChars="0" w:firstLine="0" w:firstLineChars="0"/>
              <w:outlineLvl w:val="9"/>
              <w:rPr>
                <w:rFonts w:hint="eastAsia" w:ascii="宋体" w:hAnsi="宋体" w:eastAsia="宋体" w:cs="宋体"/>
                <w:color w:val="auto"/>
                <w:highlight w:val="none"/>
              </w:rPr>
            </w:pPr>
            <w:r>
              <w:rPr>
                <w:rFonts w:hint="eastAsia" w:ascii="宋体" w:hAnsi="宋体" w:eastAsia="宋体" w:cs="宋体"/>
                <w:color w:val="auto"/>
                <w:highlight w:val="none"/>
              </w:rPr>
              <w:t>4.投标人递交两份或多份内容不同的投标文件，或在一份投标文件中对同一招标项目有两个或多个报价，且未声明哪一个有效的；</w:t>
            </w:r>
          </w:p>
          <w:p w14:paraId="39D7D6AC">
            <w:pPr>
              <w:pStyle w:val="33"/>
              <w:ind w:left="0" w:leftChars="0" w:firstLine="0" w:firstLineChars="0"/>
              <w:outlineLvl w:val="9"/>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相关资格证明文件不合格的；</w:t>
            </w:r>
          </w:p>
          <w:p w14:paraId="7DBF29A2">
            <w:pPr>
              <w:pStyle w:val="33"/>
              <w:ind w:left="0" w:leftChars="0" w:firstLine="0" w:firstLineChars="0"/>
              <w:outlineLvl w:val="9"/>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未按要求在报价明细表中标明品牌、型号及技术参数的。</w:t>
            </w:r>
          </w:p>
          <w:p w14:paraId="3EE28705">
            <w:pPr>
              <w:pStyle w:val="33"/>
              <w:ind w:left="0" w:leftChars="0" w:firstLine="0" w:firstLineChars="0"/>
              <w:outlineLvl w:val="9"/>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附有采购人不能接受的条件的；</w:t>
            </w:r>
          </w:p>
          <w:p w14:paraId="35E1821D">
            <w:pPr>
              <w:pStyle w:val="33"/>
              <w:ind w:left="0" w:leftChars="0" w:firstLine="0" w:firstLineChars="0"/>
              <w:outlineLvl w:val="9"/>
              <w:rPr>
                <w:rFonts w:hint="eastAsia"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评标过程中，如因两个或两个以上供应商在同一台计算或同一个 IP 上传投标文件，而被不见面开标系统提示为“投标文件制作机器码 一致”的，则视其投标无效。</w:t>
            </w:r>
          </w:p>
          <w:p w14:paraId="3406235C">
            <w:pPr>
              <w:pStyle w:val="33"/>
              <w:ind w:left="0" w:leftChars="0" w:firstLine="0" w:firstLineChars="0"/>
              <w:outlineLvl w:val="9"/>
              <w:rPr>
                <w:rFonts w:hint="eastAsia" w:ascii="宋体" w:hAnsi="宋体" w:eastAsia="宋体" w:cs="宋体"/>
                <w:color w:val="auto"/>
                <w:highlight w:val="none"/>
              </w:rPr>
            </w:pPr>
            <w:r>
              <w:rPr>
                <w:rFonts w:hint="eastAsia" w:ascii="宋体" w:hAnsi="宋体" w:eastAsia="宋体" w:cs="宋体"/>
                <w:color w:val="auto"/>
                <w:highlight w:val="none"/>
              </w:rPr>
              <w:t>9</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投标文件有明显不符合招标文件其它要求和有关法律法规的。</w:t>
            </w:r>
          </w:p>
        </w:tc>
      </w:tr>
      <w:tr w14:paraId="6CD8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65" w:type="dxa"/>
            <w:vAlign w:val="center"/>
          </w:tcPr>
          <w:p w14:paraId="42BF2E8D">
            <w:pPr>
              <w:spacing w:line="500" w:lineRule="exact"/>
              <w:jc w:val="center"/>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10.</w:t>
            </w:r>
            <w:r>
              <w:rPr>
                <w:rFonts w:hint="eastAsia" w:ascii="宋体" w:hAnsi="宋体" w:cs="宋体"/>
                <w:color w:val="auto"/>
                <w:sz w:val="24"/>
                <w:highlight w:val="none"/>
                <w:lang w:val="en-US" w:eastAsia="zh-CN"/>
              </w:rPr>
              <w:t>9</w:t>
            </w:r>
          </w:p>
        </w:tc>
        <w:tc>
          <w:tcPr>
            <w:tcW w:w="8941" w:type="dxa"/>
            <w:gridSpan w:val="2"/>
            <w:vAlign w:val="center"/>
          </w:tcPr>
          <w:p w14:paraId="23DC0D32">
            <w:pPr>
              <w:pStyle w:val="33"/>
              <w:ind w:firstLine="0" w:firstLineChars="0"/>
              <w:outlineLvl w:val="9"/>
              <w:rPr>
                <w:rFonts w:hint="eastAsia" w:ascii="宋体" w:hAnsi="宋体" w:eastAsia="宋体" w:cs="宋体"/>
                <w:bCs/>
                <w:color w:val="auto"/>
                <w:highlight w:val="none"/>
              </w:rPr>
            </w:pPr>
            <w:r>
              <w:rPr>
                <w:rFonts w:hint="eastAsia" w:ascii="宋体" w:hAnsi="宋体" w:eastAsia="宋体" w:cs="宋体"/>
                <w:color w:val="auto"/>
                <w:highlight w:val="none"/>
              </w:rPr>
              <w:t>本招标文件解释权归采购人</w:t>
            </w:r>
          </w:p>
        </w:tc>
      </w:tr>
    </w:tbl>
    <w:p w14:paraId="00F48A5E">
      <w:pPr>
        <w:pStyle w:val="30"/>
        <w:spacing w:before="120" w:after="120" w:line="500" w:lineRule="exact"/>
        <w:ind w:right="-1029" w:rightChars="-490" w:firstLine="482" w:firstLineChars="200"/>
        <w:jc w:val="both"/>
        <w:outlineLvl w:val="9"/>
        <w:rPr>
          <w:rFonts w:hint="eastAsia" w:ascii="宋体" w:hAnsi="宋体" w:eastAsia="宋体" w:cs="宋体"/>
          <w:color w:val="auto"/>
          <w:sz w:val="24"/>
          <w:szCs w:val="24"/>
          <w:highlight w:val="none"/>
        </w:rPr>
      </w:pPr>
      <w:bookmarkStart w:id="20" w:name="_Toc9048"/>
      <w:bookmarkStart w:id="21" w:name="_Toc426369479"/>
      <w:bookmarkStart w:id="22" w:name="_Toc403122491"/>
      <w:bookmarkStart w:id="23" w:name="_Toc15892"/>
      <w:bookmarkStart w:id="24" w:name="_Toc23082"/>
      <w:bookmarkStart w:id="25" w:name="_Toc23576"/>
      <w:bookmarkStart w:id="26" w:name="_Toc26894"/>
      <w:bookmarkStart w:id="27" w:name="_Toc403122503"/>
      <w:bookmarkStart w:id="28" w:name="_Toc426369491"/>
    </w:p>
    <w:p w14:paraId="0F32ED6D">
      <w:pP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103748B">
      <w:pPr>
        <w:pStyle w:val="3"/>
        <w:bidi w:val="0"/>
        <w:rPr>
          <w:rFonts w:hint="eastAsia" w:ascii="宋体" w:hAnsi="宋体" w:eastAsia="宋体" w:cs="宋体"/>
          <w:color w:val="auto"/>
          <w:highlight w:val="none"/>
        </w:rPr>
      </w:pPr>
      <w:bookmarkStart w:id="29" w:name="_Toc12375"/>
      <w:r>
        <w:rPr>
          <w:rFonts w:hint="eastAsia" w:ascii="宋体" w:hAnsi="宋体" w:eastAsia="宋体" w:cs="宋体"/>
          <w:color w:val="auto"/>
          <w:highlight w:val="none"/>
        </w:rPr>
        <w:t>1. 总则</w:t>
      </w:r>
      <w:bookmarkEnd w:id="20"/>
      <w:bookmarkEnd w:id="21"/>
      <w:bookmarkEnd w:id="22"/>
      <w:bookmarkEnd w:id="23"/>
      <w:bookmarkEnd w:id="24"/>
      <w:bookmarkEnd w:id="25"/>
      <w:bookmarkEnd w:id="29"/>
    </w:p>
    <w:p w14:paraId="61749459">
      <w:pPr>
        <w:spacing w:line="500" w:lineRule="exact"/>
        <w:ind w:firstLine="482" w:firstLineChars="200"/>
        <w:outlineLvl w:val="9"/>
        <w:rPr>
          <w:rFonts w:hint="eastAsia" w:ascii="宋体" w:hAnsi="宋体" w:eastAsia="宋体" w:cs="宋体"/>
          <w:b/>
          <w:bCs/>
          <w:color w:val="auto"/>
          <w:sz w:val="24"/>
          <w:highlight w:val="none"/>
        </w:rPr>
      </w:pPr>
      <w:bookmarkStart w:id="30" w:name="_Toc403122492"/>
      <w:bookmarkStart w:id="31" w:name="_Toc274249575"/>
      <w:bookmarkStart w:id="32" w:name="_Toc279599771"/>
      <w:bookmarkStart w:id="33" w:name="_Toc426369480"/>
      <w:r>
        <w:rPr>
          <w:rFonts w:hint="eastAsia" w:ascii="宋体" w:hAnsi="宋体" w:eastAsia="宋体" w:cs="宋体"/>
          <w:b/>
          <w:bCs/>
          <w:color w:val="auto"/>
          <w:sz w:val="24"/>
          <w:highlight w:val="none"/>
        </w:rPr>
        <w:t>1.1 项目概况</w:t>
      </w:r>
      <w:bookmarkEnd w:id="30"/>
      <w:bookmarkEnd w:id="31"/>
      <w:bookmarkEnd w:id="32"/>
      <w:bookmarkEnd w:id="33"/>
    </w:p>
    <w:p w14:paraId="34186D4E">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1.1.1 根据</w:t>
      </w:r>
      <w:r>
        <w:rPr>
          <w:rFonts w:hint="eastAsia" w:ascii="宋体" w:hAnsi="宋体" w:eastAsia="宋体" w:cs="宋体"/>
          <w:bCs/>
          <w:color w:val="auto"/>
          <w:sz w:val="24"/>
          <w:highlight w:val="none"/>
        </w:rPr>
        <w:t>《中华人民共和国政府采购法》</w:t>
      </w:r>
      <w:r>
        <w:rPr>
          <w:rFonts w:hint="eastAsia" w:ascii="宋体" w:hAnsi="宋体" w:eastAsia="宋体" w:cs="宋体"/>
          <w:color w:val="auto"/>
          <w:sz w:val="24"/>
          <w:highlight w:val="none"/>
        </w:rPr>
        <w:t xml:space="preserve">等有关法律、法规和规章的规定，本招标项目已具备招标条件，现对本招标项目进行公开招标。 </w:t>
      </w:r>
    </w:p>
    <w:p w14:paraId="072F3247">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1.1.2  本招标项目采购人：见投标人须知前附表。 </w:t>
      </w:r>
    </w:p>
    <w:p w14:paraId="199A5F90">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1.1.3  本招标项目采购代理机构：见投标人须知前附表。 </w:t>
      </w:r>
    </w:p>
    <w:p w14:paraId="3A163492">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1.1.4  本招标项目名称：见投标人须知前附表。 </w:t>
      </w:r>
    </w:p>
    <w:p w14:paraId="1B919E2C">
      <w:pPr>
        <w:spacing w:line="500" w:lineRule="exact"/>
        <w:ind w:firstLine="482" w:firstLineChars="200"/>
        <w:outlineLvl w:val="9"/>
        <w:rPr>
          <w:rFonts w:hint="eastAsia" w:ascii="宋体" w:hAnsi="宋体" w:eastAsia="宋体" w:cs="宋体"/>
          <w:b/>
          <w:bCs/>
          <w:color w:val="auto"/>
          <w:sz w:val="24"/>
          <w:highlight w:val="none"/>
        </w:rPr>
      </w:pPr>
      <w:bookmarkStart w:id="34" w:name="_Toc274249576"/>
      <w:bookmarkStart w:id="35" w:name="_Toc279599772"/>
      <w:bookmarkStart w:id="36" w:name="_Toc403122493"/>
      <w:bookmarkStart w:id="37" w:name="_Toc426369481"/>
      <w:r>
        <w:rPr>
          <w:rFonts w:hint="eastAsia" w:ascii="宋体" w:hAnsi="宋体" w:eastAsia="宋体" w:cs="宋体"/>
          <w:b/>
          <w:bCs/>
          <w:color w:val="auto"/>
          <w:sz w:val="24"/>
          <w:highlight w:val="none"/>
        </w:rPr>
        <w:t>1.2 资金来源和落实情况</w:t>
      </w:r>
      <w:bookmarkEnd w:id="34"/>
      <w:bookmarkEnd w:id="35"/>
      <w:bookmarkEnd w:id="36"/>
      <w:bookmarkEnd w:id="37"/>
    </w:p>
    <w:p w14:paraId="244E3B06">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1.2.1  本招标项目的资金来源：见投标人须知前附表。 </w:t>
      </w:r>
    </w:p>
    <w:p w14:paraId="4EAF6342">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1.2.2  本招标项目的资金落实情况：见投标人须知前附表。 </w:t>
      </w:r>
    </w:p>
    <w:p w14:paraId="0434C907">
      <w:pPr>
        <w:spacing w:line="500" w:lineRule="exact"/>
        <w:ind w:firstLine="482" w:firstLineChars="200"/>
        <w:outlineLvl w:val="9"/>
        <w:rPr>
          <w:rFonts w:hint="eastAsia" w:ascii="宋体" w:hAnsi="宋体" w:eastAsia="宋体" w:cs="宋体"/>
          <w:b/>
          <w:bCs/>
          <w:color w:val="auto"/>
          <w:sz w:val="24"/>
          <w:highlight w:val="none"/>
        </w:rPr>
      </w:pPr>
      <w:bookmarkStart w:id="38" w:name="_Toc403122494"/>
      <w:bookmarkStart w:id="39" w:name="_Toc426369482"/>
      <w:bookmarkStart w:id="40" w:name="_Toc279599773"/>
      <w:bookmarkStart w:id="41" w:name="_Toc274249577"/>
      <w:r>
        <w:rPr>
          <w:rFonts w:hint="eastAsia" w:ascii="宋体" w:hAnsi="宋体" w:eastAsia="宋体" w:cs="宋体"/>
          <w:b/>
          <w:bCs/>
          <w:color w:val="auto"/>
          <w:sz w:val="24"/>
          <w:highlight w:val="none"/>
        </w:rPr>
        <w:t>1.3 采购内容、合同履行期限和质量</w:t>
      </w:r>
      <w:bookmarkEnd w:id="38"/>
      <w:bookmarkEnd w:id="39"/>
      <w:bookmarkEnd w:id="40"/>
      <w:bookmarkEnd w:id="41"/>
      <w:r>
        <w:rPr>
          <w:rFonts w:hint="eastAsia" w:ascii="宋体" w:hAnsi="宋体" w:eastAsia="宋体" w:cs="宋体"/>
          <w:b/>
          <w:bCs/>
          <w:color w:val="auto"/>
          <w:sz w:val="24"/>
          <w:highlight w:val="none"/>
        </w:rPr>
        <w:t>标准</w:t>
      </w:r>
    </w:p>
    <w:p w14:paraId="2B61A781">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1.3.1  本次招标采购内容：见投标人须知前附表。 </w:t>
      </w:r>
    </w:p>
    <w:p w14:paraId="73965538">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1.3.2  本次招标的合同履行期限：见投标人须知前附表。 </w:t>
      </w:r>
    </w:p>
    <w:p w14:paraId="143CED2E">
      <w:pPr>
        <w:tabs>
          <w:tab w:val="right" w:pos="9040"/>
        </w:tabs>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1.3.3  本次招标的质量标准：见投标人须知前附表。 </w:t>
      </w:r>
    </w:p>
    <w:p w14:paraId="76751EF5">
      <w:pPr>
        <w:tabs>
          <w:tab w:val="right" w:pos="9040"/>
        </w:tabs>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1.3.4  本次招标的质保期要求：见投标人须知前附表。 </w:t>
      </w:r>
      <w:r>
        <w:rPr>
          <w:rFonts w:hint="eastAsia" w:ascii="宋体" w:hAnsi="宋体" w:eastAsia="宋体" w:cs="宋体"/>
          <w:color w:val="auto"/>
          <w:sz w:val="24"/>
          <w:highlight w:val="none"/>
        </w:rPr>
        <w:tab/>
      </w:r>
    </w:p>
    <w:p w14:paraId="1D1D31B1">
      <w:pPr>
        <w:spacing w:line="500" w:lineRule="exact"/>
        <w:ind w:firstLine="482" w:firstLineChars="200"/>
        <w:outlineLvl w:val="9"/>
        <w:rPr>
          <w:rFonts w:hint="eastAsia" w:ascii="宋体" w:hAnsi="宋体" w:eastAsia="宋体" w:cs="宋体"/>
          <w:b/>
          <w:bCs/>
          <w:color w:val="auto"/>
          <w:sz w:val="24"/>
          <w:highlight w:val="none"/>
        </w:rPr>
      </w:pPr>
      <w:bookmarkStart w:id="42" w:name="_Toc426369483"/>
      <w:bookmarkStart w:id="43" w:name="_Toc274249578"/>
      <w:bookmarkStart w:id="44" w:name="_Toc403122495"/>
      <w:bookmarkStart w:id="45" w:name="_Toc279599774"/>
      <w:r>
        <w:rPr>
          <w:rFonts w:hint="eastAsia" w:ascii="宋体" w:hAnsi="宋体" w:eastAsia="宋体" w:cs="宋体"/>
          <w:b/>
          <w:bCs/>
          <w:color w:val="auto"/>
          <w:sz w:val="24"/>
          <w:highlight w:val="none"/>
        </w:rPr>
        <w:t>1.4 投标人资格要求</w:t>
      </w:r>
      <w:bookmarkEnd w:id="42"/>
      <w:bookmarkEnd w:id="43"/>
      <w:bookmarkEnd w:id="44"/>
      <w:bookmarkEnd w:id="45"/>
    </w:p>
    <w:p w14:paraId="656F7BB9">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1.4.1 投标人应具备承担本招标项目的资质条件。 </w:t>
      </w:r>
    </w:p>
    <w:p w14:paraId="189E701F">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（1）投标人资质条件：见投标人须知前附表； </w:t>
      </w:r>
    </w:p>
    <w:p w14:paraId="3D2D771D">
      <w:pPr>
        <w:spacing w:line="500" w:lineRule="exact"/>
        <w:ind w:firstLine="480" w:firstLineChars="200"/>
        <w:outlineLvl w:val="9"/>
        <w:rPr>
          <w:rFonts w:hint="eastAsia" w:ascii="宋体" w:hAnsi="宋体" w:eastAsia="宋体" w:cs="宋体"/>
          <w:color w:val="auto"/>
          <w:sz w:val="24"/>
          <w:highlight w:val="none"/>
        </w:rPr>
      </w:pPr>
      <w:bookmarkStart w:id="46" w:name="_Toc403122496"/>
      <w:bookmarkStart w:id="47" w:name="_Toc274249579"/>
      <w:bookmarkStart w:id="48" w:name="_Toc279599775"/>
      <w:r>
        <w:rPr>
          <w:rFonts w:hint="eastAsia" w:ascii="宋体" w:hAnsi="宋体" w:eastAsia="宋体" w:cs="宋体"/>
          <w:color w:val="auto"/>
          <w:sz w:val="24"/>
          <w:highlight w:val="none"/>
        </w:rPr>
        <w:t>1.4.2 本次招标不接受联合体投标。</w:t>
      </w:r>
    </w:p>
    <w:p w14:paraId="162E0DBD">
      <w:pPr>
        <w:spacing w:line="500" w:lineRule="exact"/>
        <w:ind w:firstLine="482" w:firstLineChars="200"/>
        <w:outlineLvl w:val="9"/>
        <w:rPr>
          <w:rFonts w:hint="eastAsia" w:ascii="宋体" w:hAnsi="宋体" w:eastAsia="宋体" w:cs="宋体"/>
          <w:b/>
          <w:bCs/>
          <w:color w:val="auto"/>
          <w:sz w:val="24"/>
          <w:highlight w:val="none"/>
        </w:rPr>
      </w:pPr>
      <w:bookmarkStart w:id="49" w:name="_Toc426369484"/>
      <w:r>
        <w:rPr>
          <w:rFonts w:hint="eastAsia" w:ascii="宋体" w:hAnsi="宋体" w:eastAsia="宋体" w:cs="宋体"/>
          <w:b/>
          <w:bCs/>
          <w:color w:val="auto"/>
          <w:sz w:val="24"/>
          <w:highlight w:val="none"/>
        </w:rPr>
        <w:t>1.5 费用承担</w:t>
      </w:r>
      <w:bookmarkEnd w:id="46"/>
      <w:bookmarkEnd w:id="47"/>
      <w:bookmarkEnd w:id="48"/>
      <w:bookmarkEnd w:id="49"/>
    </w:p>
    <w:p w14:paraId="51BBBA42">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投标人准备和参加投标活动发生的费用自理。 </w:t>
      </w:r>
    </w:p>
    <w:p w14:paraId="0A3C89A5">
      <w:pPr>
        <w:spacing w:line="500" w:lineRule="exact"/>
        <w:ind w:firstLine="482" w:firstLineChars="200"/>
        <w:outlineLvl w:val="9"/>
        <w:rPr>
          <w:rFonts w:hint="eastAsia" w:ascii="宋体" w:hAnsi="宋体" w:eastAsia="宋体" w:cs="宋体"/>
          <w:b/>
          <w:bCs/>
          <w:color w:val="auto"/>
          <w:sz w:val="24"/>
          <w:highlight w:val="none"/>
        </w:rPr>
      </w:pPr>
      <w:bookmarkStart w:id="50" w:name="_Toc403122497"/>
      <w:bookmarkStart w:id="51" w:name="_Toc426369485"/>
      <w:r>
        <w:rPr>
          <w:rFonts w:hint="eastAsia" w:ascii="宋体" w:hAnsi="宋体" w:eastAsia="宋体" w:cs="宋体"/>
          <w:b/>
          <w:bCs/>
          <w:color w:val="auto"/>
          <w:sz w:val="24"/>
          <w:highlight w:val="none"/>
        </w:rPr>
        <w:t>1.6 保密</w:t>
      </w:r>
      <w:bookmarkEnd w:id="50"/>
      <w:bookmarkEnd w:id="51"/>
    </w:p>
    <w:p w14:paraId="3DF103DE">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参与招标投标活动的各方应对招标文件和投标文件中的商业和技术等秘密保密，违者应对由此造成的后果承担法律责任。</w:t>
      </w:r>
    </w:p>
    <w:p w14:paraId="672E975F">
      <w:pPr>
        <w:spacing w:line="500" w:lineRule="exact"/>
        <w:ind w:firstLine="482" w:firstLineChars="200"/>
        <w:outlineLvl w:val="9"/>
        <w:rPr>
          <w:rFonts w:hint="eastAsia" w:ascii="宋体" w:hAnsi="宋体" w:eastAsia="宋体" w:cs="宋体"/>
          <w:b/>
          <w:bCs/>
          <w:color w:val="auto"/>
          <w:sz w:val="24"/>
          <w:highlight w:val="none"/>
        </w:rPr>
      </w:pPr>
      <w:bookmarkStart w:id="52" w:name="_Toc403122498"/>
      <w:bookmarkStart w:id="53" w:name="_Toc426369486"/>
      <w:bookmarkStart w:id="54" w:name="_Toc274249581"/>
      <w:bookmarkStart w:id="55" w:name="_Toc279599777"/>
      <w:r>
        <w:rPr>
          <w:rFonts w:hint="eastAsia" w:ascii="宋体" w:hAnsi="宋体" w:eastAsia="宋体" w:cs="宋体"/>
          <w:b/>
          <w:bCs/>
          <w:color w:val="auto"/>
          <w:sz w:val="24"/>
          <w:highlight w:val="none"/>
        </w:rPr>
        <w:t>1.7 语言文字</w:t>
      </w:r>
      <w:bookmarkEnd w:id="52"/>
      <w:bookmarkEnd w:id="53"/>
      <w:bookmarkEnd w:id="54"/>
      <w:bookmarkEnd w:id="55"/>
      <w:r>
        <w:rPr>
          <w:rFonts w:hint="eastAsia" w:ascii="宋体" w:hAnsi="宋体" w:eastAsia="宋体" w:cs="宋体"/>
          <w:b/>
          <w:bCs/>
          <w:color w:val="auto"/>
          <w:sz w:val="24"/>
          <w:highlight w:val="none"/>
        </w:rPr>
        <w:t xml:space="preserve"> </w:t>
      </w:r>
    </w:p>
    <w:p w14:paraId="3C82BA81">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1.7.1 采购文件以及投标人与采购人、采购代理机构就有关投标事宜的所有来往函电均应使用简体中文书写。</w:t>
      </w:r>
    </w:p>
    <w:p w14:paraId="71BC2F6C">
      <w:pPr>
        <w:spacing w:line="500" w:lineRule="exact"/>
        <w:ind w:firstLine="480" w:firstLineChars="200"/>
        <w:outlineLvl w:val="9"/>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1.7.2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bookmarkStart w:id="56" w:name="_Toc426369487"/>
      <w:bookmarkStart w:id="57" w:name="_Toc403122499"/>
    </w:p>
    <w:p w14:paraId="075940C7">
      <w:pPr>
        <w:spacing w:line="500" w:lineRule="exact"/>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 计量单位</w:t>
      </w:r>
      <w:bookmarkEnd w:id="56"/>
      <w:bookmarkEnd w:id="57"/>
    </w:p>
    <w:p w14:paraId="25A94765">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1.8.1关于投标计量单位，采购文件已有明确规定的，使用采购文件规定的计量单位；采购文件没有规定的，应采用中华人民共和国法定计量单位。 </w:t>
      </w:r>
    </w:p>
    <w:p w14:paraId="32FFBAF6">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1.8.2本招标文件所表述的时间均为北京时间。</w:t>
      </w:r>
    </w:p>
    <w:p w14:paraId="1926C7FA">
      <w:pPr>
        <w:spacing w:line="500" w:lineRule="exact"/>
        <w:ind w:firstLine="482" w:firstLineChars="200"/>
        <w:outlineLvl w:val="9"/>
        <w:rPr>
          <w:rFonts w:hint="eastAsia" w:ascii="宋体" w:hAnsi="宋体" w:eastAsia="宋体" w:cs="宋体"/>
          <w:b/>
          <w:bCs/>
          <w:color w:val="auto"/>
          <w:sz w:val="24"/>
          <w:highlight w:val="none"/>
        </w:rPr>
      </w:pPr>
      <w:bookmarkStart w:id="58" w:name="_Toc279599779"/>
      <w:bookmarkStart w:id="59" w:name="_Toc274249583"/>
      <w:bookmarkStart w:id="60" w:name="_Toc403122500"/>
      <w:bookmarkStart w:id="61" w:name="_Toc426369488"/>
      <w:r>
        <w:rPr>
          <w:rFonts w:hint="eastAsia" w:ascii="宋体" w:hAnsi="宋体" w:eastAsia="宋体" w:cs="宋体"/>
          <w:b/>
          <w:bCs/>
          <w:color w:val="auto"/>
          <w:sz w:val="24"/>
          <w:highlight w:val="none"/>
        </w:rPr>
        <w:t>1.9 踏勘现场</w:t>
      </w:r>
      <w:bookmarkEnd w:id="58"/>
      <w:bookmarkEnd w:id="59"/>
      <w:bookmarkEnd w:id="60"/>
      <w:bookmarkEnd w:id="61"/>
    </w:p>
    <w:p w14:paraId="44C25165">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1.9.1 由于项目特殊性，本次招标需投标人自行勘查。 </w:t>
      </w:r>
    </w:p>
    <w:p w14:paraId="19909EE6">
      <w:pPr>
        <w:spacing w:line="500" w:lineRule="exact"/>
        <w:ind w:firstLine="482" w:firstLineChars="200"/>
        <w:outlineLvl w:val="9"/>
        <w:rPr>
          <w:rFonts w:hint="eastAsia" w:ascii="宋体" w:hAnsi="宋体" w:eastAsia="宋体" w:cs="宋体"/>
          <w:b/>
          <w:bCs/>
          <w:color w:val="auto"/>
          <w:sz w:val="24"/>
          <w:highlight w:val="none"/>
        </w:rPr>
      </w:pPr>
      <w:bookmarkStart w:id="62" w:name="_Toc403122501"/>
      <w:bookmarkStart w:id="63" w:name="_Toc274249584"/>
      <w:bookmarkStart w:id="64" w:name="_Toc426369489"/>
      <w:bookmarkStart w:id="65" w:name="_Toc279599780"/>
      <w:r>
        <w:rPr>
          <w:rFonts w:hint="eastAsia" w:ascii="宋体" w:hAnsi="宋体" w:eastAsia="宋体" w:cs="宋体"/>
          <w:b/>
          <w:bCs/>
          <w:color w:val="auto"/>
          <w:sz w:val="24"/>
          <w:highlight w:val="none"/>
        </w:rPr>
        <w:t>1.10 投标预备会</w:t>
      </w:r>
      <w:bookmarkEnd w:id="62"/>
      <w:bookmarkEnd w:id="63"/>
      <w:bookmarkEnd w:id="64"/>
      <w:bookmarkEnd w:id="65"/>
    </w:p>
    <w:p w14:paraId="7F061835">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1.10.1 本次招标不召开投标预备会。 </w:t>
      </w:r>
    </w:p>
    <w:p w14:paraId="5A539C99">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1.10.2 投标人应在投标人须知前附表规定的时间前，以书面形式将提出的问题送达招标代理人。 </w:t>
      </w:r>
    </w:p>
    <w:p w14:paraId="35EE7DDB">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1.10.3 采购人在投标人须知前附表规定的时间内，将对投标人所提问题的澄清，以书面方式通知所有已领取招标文件的投标人。该澄清内容为招标文件的组成部分。 </w:t>
      </w:r>
    </w:p>
    <w:p w14:paraId="1649B349">
      <w:pPr>
        <w:spacing w:line="500" w:lineRule="exact"/>
        <w:ind w:firstLine="482" w:firstLineChars="200"/>
        <w:outlineLvl w:val="9"/>
        <w:rPr>
          <w:rFonts w:hint="eastAsia" w:ascii="宋体" w:hAnsi="宋体" w:eastAsia="宋体" w:cs="宋体"/>
          <w:b/>
          <w:bCs/>
          <w:color w:val="auto"/>
          <w:sz w:val="24"/>
          <w:highlight w:val="none"/>
        </w:rPr>
      </w:pPr>
      <w:bookmarkStart w:id="66" w:name="_Toc403122502"/>
      <w:bookmarkStart w:id="67" w:name="_Toc426369490"/>
      <w:bookmarkStart w:id="68" w:name="_Toc279599781"/>
      <w:bookmarkStart w:id="69" w:name="_Toc274249585"/>
      <w:r>
        <w:rPr>
          <w:rFonts w:hint="eastAsia" w:ascii="宋体" w:hAnsi="宋体" w:eastAsia="宋体" w:cs="宋体"/>
          <w:b/>
          <w:bCs/>
          <w:color w:val="auto"/>
          <w:sz w:val="24"/>
          <w:highlight w:val="none"/>
        </w:rPr>
        <w:t>1.11 分包</w:t>
      </w:r>
      <w:bookmarkEnd w:id="66"/>
      <w:bookmarkEnd w:id="67"/>
      <w:bookmarkEnd w:id="68"/>
      <w:bookmarkEnd w:id="69"/>
    </w:p>
    <w:p w14:paraId="0B921A33">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本次招标项目不允许分包。 </w:t>
      </w:r>
    </w:p>
    <w:p w14:paraId="587F7974">
      <w:pPr>
        <w:pStyle w:val="3"/>
        <w:bidi w:val="0"/>
        <w:rPr>
          <w:rFonts w:hint="eastAsia" w:ascii="宋体" w:hAnsi="宋体" w:eastAsia="宋体" w:cs="宋体"/>
          <w:color w:val="auto"/>
          <w:highlight w:val="none"/>
        </w:rPr>
      </w:pPr>
      <w:bookmarkStart w:id="70" w:name="_Toc9121"/>
      <w:bookmarkStart w:id="71" w:name="_Toc28663"/>
      <w:bookmarkStart w:id="72" w:name="_Toc1457"/>
      <w:bookmarkStart w:id="73" w:name="_Toc27006"/>
      <w:r>
        <w:rPr>
          <w:rFonts w:hint="eastAsia" w:ascii="宋体" w:hAnsi="宋体" w:eastAsia="宋体" w:cs="宋体"/>
          <w:color w:val="auto"/>
          <w:highlight w:val="none"/>
        </w:rPr>
        <w:t>2. 招标文件</w:t>
      </w:r>
      <w:bookmarkEnd w:id="26"/>
      <w:bookmarkEnd w:id="27"/>
      <w:bookmarkEnd w:id="28"/>
      <w:bookmarkEnd w:id="70"/>
      <w:bookmarkEnd w:id="71"/>
      <w:bookmarkEnd w:id="72"/>
      <w:bookmarkEnd w:id="73"/>
    </w:p>
    <w:p w14:paraId="47CFB14E">
      <w:pPr>
        <w:spacing w:line="500" w:lineRule="exact"/>
        <w:ind w:firstLine="482" w:firstLineChars="200"/>
        <w:outlineLvl w:val="9"/>
        <w:rPr>
          <w:rFonts w:hint="eastAsia" w:ascii="宋体" w:hAnsi="宋体" w:eastAsia="宋体" w:cs="宋体"/>
          <w:b/>
          <w:bCs/>
          <w:color w:val="auto"/>
          <w:sz w:val="24"/>
          <w:highlight w:val="none"/>
        </w:rPr>
      </w:pPr>
      <w:bookmarkStart w:id="74" w:name="_Toc279599783"/>
      <w:bookmarkStart w:id="75" w:name="_Toc274249587"/>
      <w:bookmarkStart w:id="76" w:name="_Toc426369492"/>
      <w:bookmarkStart w:id="77" w:name="_Toc403122504"/>
      <w:r>
        <w:rPr>
          <w:rFonts w:hint="eastAsia" w:ascii="宋体" w:hAnsi="宋体" w:eastAsia="宋体" w:cs="宋体"/>
          <w:b/>
          <w:bCs/>
          <w:color w:val="auto"/>
          <w:sz w:val="24"/>
          <w:highlight w:val="none"/>
        </w:rPr>
        <w:t>2.1 招标文件的组成</w:t>
      </w:r>
      <w:bookmarkEnd w:id="74"/>
      <w:bookmarkEnd w:id="75"/>
      <w:bookmarkEnd w:id="76"/>
      <w:bookmarkEnd w:id="77"/>
    </w:p>
    <w:p w14:paraId="56F7A917">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本招标文件包括： </w:t>
      </w:r>
    </w:p>
    <w:p w14:paraId="08C8365E">
      <w:pPr>
        <w:numPr>
          <w:ilvl w:val="0"/>
          <w:numId w:val="6"/>
        </w:numPr>
        <w:tabs>
          <w:tab w:val="left" w:pos="525"/>
          <w:tab w:val="left" w:pos="630"/>
        </w:tabs>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招标公告；</w:t>
      </w:r>
    </w:p>
    <w:p w14:paraId="5B9DE506">
      <w:pPr>
        <w:numPr>
          <w:ilvl w:val="0"/>
          <w:numId w:val="6"/>
        </w:numPr>
        <w:tabs>
          <w:tab w:val="left" w:pos="525"/>
          <w:tab w:val="left" w:pos="630"/>
        </w:tabs>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投标人须知； </w:t>
      </w:r>
    </w:p>
    <w:p w14:paraId="15F66C09">
      <w:pPr>
        <w:numPr>
          <w:ilvl w:val="0"/>
          <w:numId w:val="6"/>
        </w:numPr>
        <w:tabs>
          <w:tab w:val="left" w:pos="525"/>
          <w:tab w:val="left" w:pos="630"/>
        </w:tabs>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评标办法（综合评分法）； </w:t>
      </w:r>
    </w:p>
    <w:p w14:paraId="5200222C">
      <w:pPr>
        <w:numPr>
          <w:ilvl w:val="0"/>
          <w:numId w:val="6"/>
        </w:numPr>
        <w:tabs>
          <w:tab w:val="left" w:pos="525"/>
          <w:tab w:val="left" w:pos="630"/>
        </w:tabs>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合同条款及格式； </w:t>
      </w:r>
    </w:p>
    <w:p w14:paraId="7BD1F5B7">
      <w:pPr>
        <w:numPr>
          <w:ilvl w:val="0"/>
          <w:numId w:val="6"/>
        </w:numPr>
        <w:tabs>
          <w:tab w:val="left" w:pos="525"/>
          <w:tab w:val="left" w:pos="630"/>
        </w:tabs>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采购内容及技术要求；</w:t>
      </w:r>
    </w:p>
    <w:p w14:paraId="2E65DC6D">
      <w:pPr>
        <w:numPr>
          <w:ilvl w:val="0"/>
          <w:numId w:val="6"/>
        </w:numPr>
        <w:tabs>
          <w:tab w:val="left" w:pos="525"/>
          <w:tab w:val="left" w:pos="630"/>
        </w:tabs>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投标文件格式； </w:t>
      </w:r>
    </w:p>
    <w:p w14:paraId="18F25FF5">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根据本章第 1.10 款、第 2.2 款和第2.3款对招标文件所作的澄清、修改，构成招标文件的组成部分。 </w:t>
      </w:r>
    </w:p>
    <w:p w14:paraId="5FCBE0D9">
      <w:pPr>
        <w:spacing w:line="500" w:lineRule="exact"/>
        <w:ind w:firstLine="482" w:firstLineChars="200"/>
        <w:outlineLvl w:val="9"/>
        <w:rPr>
          <w:rFonts w:hint="eastAsia" w:ascii="宋体" w:hAnsi="宋体" w:eastAsia="宋体" w:cs="宋体"/>
          <w:b/>
          <w:bCs/>
          <w:color w:val="auto"/>
          <w:sz w:val="24"/>
          <w:highlight w:val="none"/>
        </w:rPr>
      </w:pPr>
      <w:bookmarkStart w:id="78" w:name="_Toc279599784"/>
      <w:bookmarkStart w:id="79" w:name="_Toc403122505"/>
      <w:bookmarkStart w:id="80" w:name="_Toc426369493"/>
      <w:bookmarkStart w:id="81" w:name="_Toc274249588"/>
      <w:r>
        <w:rPr>
          <w:rFonts w:hint="eastAsia" w:ascii="宋体" w:hAnsi="宋体" w:eastAsia="宋体" w:cs="宋体"/>
          <w:b/>
          <w:bCs/>
          <w:color w:val="auto"/>
          <w:sz w:val="24"/>
          <w:highlight w:val="none"/>
        </w:rPr>
        <w:t>2.2 招标文件的澄清</w:t>
      </w:r>
      <w:bookmarkEnd w:id="78"/>
      <w:bookmarkEnd w:id="79"/>
      <w:bookmarkEnd w:id="80"/>
      <w:bookmarkEnd w:id="81"/>
    </w:p>
    <w:p w14:paraId="6BB4F856">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2.2.1 投标人应仔细阅读和检查招标文件的全部内容。如发现缺页或附件不全，应及时向采购人提出，以便补齐。如有疑问，应在投标人须知前附表规定的时间前以书面形式，要求采购人对招标文件予以澄清。 </w:t>
      </w:r>
    </w:p>
    <w:p w14:paraId="572D865F">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2.2.2 招标文件的澄清将在投标人须知前附表规定的投标截止时间15天前以书面形式发给所有</w:t>
      </w:r>
      <w:r>
        <w:rPr>
          <w:rFonts w:hint="eastAsia" w:ascii="宋体" w:hAnsi="宋体" w:eastAsia="宋体" w:cs="宋体"/>
          <w:color w:val="auto"/>
          <w:spacing w:val="-3"/>
          <w:sz w:val="24"/>
          <w:highlight w:val="none"/>
        </w:rPr>
        <w:t>获取</w:t>
      </w:r>
      <w:r>
        <w:rPr>
          <w:rFonts w:hint="eastAsia" w:ascii="宋体" w:hAnsi="宋体" w:eastAsia="宋体" w:cs="宋体"/>
          <w:color w:val="auto"/>
          <w:sz w:val="24"/>
          <w:highlight w:val="none"/>
        </w:rPr>
        <w:t xml:space="preserve">招标文件的投标人，但不指明澄清问题的来源。如果澄清发出的时间距投标截止时间不足15天，相应延长投标截止时间。 </w:t>
      </w:r>
    </w:p>
    <w:p w14:paraId="24E36EF0">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2.2.3通过焦作市公共资源交易平台发出的澄清、补充等文件视为所有下载招标文件的投标人均确认收到。</w:t>
      </w:r>
      <w:r>
        <w:rPr>
          <w:rFonts w:hint="eastAsia" w:ascii="宋体" w:hAnsi="宋体" w:eastAsia="宋体" w:cs="宋体"/>
          <w:b/>
          <w:color w:val="auto"/>
          <w:sz w:val="24"/>
          <w:highlight w:val="none"/>
        </w:rPr>
        <w:t>(投标人在递交投标文件截止时间前须有专人关注该交易系统关于本项目的一切信息，否则由此引起的任何后果均由投标人自己承担，采购人与采购代理机构均不承担任何责任)。</w:t>
      </w:r>
      <w:r>
        <w:rPr>
          <w:rFonts w:hint="eastAsia" w:ascii="宋体" w:hAnsi="宋体" w:eastAsia="宋体" w:cs="宋体"/>
          <w:color w:val="auto"/>
          <w:sz w:val="24"/>
          <w:highlight w:val="none"/>
        </w:rPr>
        <w:t xml:space="preserve"> </w:t>
      </w:r>
    </w:p>
    <w:p w14:paraId="1F19BD72">
      <w:pPr>
        <w:spacing w:line="500" w:lineRule="exact"/>
        <w:ind w:firstLine="482" w:firstLineChars="200"/>
        <w:outlineLvl w:val="9"/>
        <w:rPr>
          <w:rFonts w:hint="eastAsia" w:ascii="宋体" w:hAnsi="宋体" w:eastAsia="宋体" w:cs="宋体"/>
          <w:b/>
          <w:bCs/>
          <w:color w:val="auto"/>
          <w:sz w:val="24"/>
          <w:highlight w:val="none"/>
        </w:rPr>
      </w:pPr>
      <w:bookmarkStart w:id="82" w:name="_Toc403122506"/>
      <w:bookmarkStart w:id="83" w:name="_Toc274249589"/>
      <w:bookmarkStart w:id="84" w:name="_Toc426369494"/>
      <w:bookmarkStart w:id="85" w:name="_Toc279599785"/>
      <w:r>
        <w:rPr>
          <w:rFonts w:hint="eastAsia" w:ascii="宋体" w:hAnsi="宋体" w:eastAsia="宋体" w:cs="宋体"/>
          <w:b/>
          <w:bCs/>
          <w:color w:val="auto"/>
          <w:sz w:val="24"/>
          <w:highlight w:val="none"/>
        </w:rPr>
        <w:t>2.3 招标文件的修改</w:t>
      </w:r>
      <w:bookmarkEnd w:id="82"/>
      <w:bookmarkEnd w:id="83"/>
      <w:bookmarkEnd w:id="84"/>
      <w:bookmarkEnd w:id="85"/>
    </w:p>
    <w:p w14:paraId="1663CE9E">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2.3.1 在投标截止时间15天前，采购人可以书面形式修改招标文件，并通知所有已</w:t>
      </w:r>
      <w:r>
        <w:rPr>
          <w:rFonts w:hint="eastAsia" w:ascii="宋体" w:hAnsi="宋体" w:eastAsia="宋体" w:cs="宋体"/>
          <w:color w:val="auto"/>
          <w:spacing w:val="-3"/>
          <w:sz w:val="24"/>
          <w:highlight w:val="none"/>
        </w:rPr>
        <w:t>获取</w:t>
      </w:r>
      <w:r>
        <w:rPr>
          <w:rFonts w:hint="eastAsia" w:ascii="宋体" w:hAnsi="宋体" w:eastAsia="宋体" w:cs="宋体"/>
          <w:color w:val="auto"/>
          <w:sz w:val="24"/>
          <w:highlight w:val="none"/>
        </w:rPr>
        <w:t xml:space="preserve">招标文件的投标人。如果修改招标文件的时间距投标截止时间不足15天，相应延长投标截止时间。  </w:t>
      </w:r>
    </w:p>
    <w:p w14:paraId="7DF59703">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2.3.2 招标文件的澄清、修改、补充等内容均以媒体形式明确的内容为准。当招标文件、招标的澄清、修改、补充等在同一内容表述上不一致的,以最后发出的文件为准。 </w:t>
      </w:r>
      <w:bookmarkStart w:id="86" w:name="_Toc23265"/>
      <w:bookmarkStart w:id="87" w:name="_Toc426369495"/>
      <w:bookmarkStart w:id="88" w:name="_Toc403122507"/>
    </w:p>
    <w:p w14:paraId="34289179">
      <w:pPr>
        <w:pStyle w:val="3"/>
        <w:bidi w:val="0"/>
        <w:rPr>
          <w:rFonts w:hint="eastAsia" w:ascii="宋体" w:hAnsi="宋体" w:eastAsia="宋体" w:cs="宋体"/>
          <w:color w:val="auto"/>
          <w:highlight w:val="none"/>
        </w:rPr>
      </w:pPr>
      <w:bookmarkStart w:id="89" w:name="_Toc22914"/>
      <w:bookmarkStart w:id="90" w:name="_Toc13865"/>
      <w:bookmarkStart w:id="91" w:name="_Toc226"/>
      <w:bookmarkStart w:id="92" w:name="_Toc2572"/>
      <w:r>
        <w:rPr>
          <w:rFonts w:hint="eastAsia" w:ascii="宋体" w:hAnsi="宋体" w:eastAsia="宋体" w:cs="宋体"/>
          <w:color w:val="auto"/>
          <w:highlight w:val="none"/>
        </w:rPr>
        <w:t>3. 投标文件</w:t>
      </w:r>
      <w:bookmarkEnd w:id="86"/>
      <w:bookmarkEnd w:id="87"/>
      <w:bookmarkEnd w:id="88"/>
      <w:bookmarkEnd w:id="89"/>
      <w:bookmarkEnd w:id="90"/>
      <w:bookmarkEnd w:id="91"/>
      <w:bookmarkEnd w:id="92"/>
    </w:p>
    <w:p w14:paraId="69771205">
      <w:pPr>
        <w:spacing w:line="500" w:lineRule="exact"/>
        <w:ind w:firstLine="482" w:firstLineChars="200"/>
        <w:outlineLvl w:val="9"/>
        <w:rPr>
          <w:rFonts w:hint="eastAsia" w:ascii="宋体" w:hAnsi="宋体" w:eastAsia="宋体" w:cs="宋体"/>
          <w:b/>
          <w:bCs/>
          <w:color w:val="auto"/>
          <w:sz w:val="24"/>
          <w:highlight w:val="none"/>
        </w:rPr>
      </w:pPr>
      <w:bookmarkStart w:id="93" w:name="_Toc279599787"/>
      <w:bookmarkStart w:id="94" w:name="_Toc403122508"/>
      <w:bookmarkStart w:id="95" w:name="_Toc426369496"/>
      <w:bookmarkStart w:id="96" w:name="_Toc274249591"/>
      <w:r>
        <w:rPr>
          <w:rFonts w:hint="eastAsia" w:ascii="宋体" w:hAnsi="宋体" w:eastAsia="宋体" w:cs="宋体"/>
          <w:b/>
          <w:bCs/>
          <w:color w:val="auto"/>
          <w:sz w:val="24"/>
          <w:highlight w:val="none"/>
        </w:rPr>
        <w:t>3.1 投标文件的组成</w:t>
      </w:r>
      <w:bookmarkEnd w:id="93"/>
      <w:bookmarkEnd w:id="94"/>
      <w:bookmarkEnd w:id="95"/>
      <w:bookmarkEnd w:id="96"/>
    </w:p>
    <w:p w14:paraId="5028B9B2">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3.1.1 投标文件应包括下列内容： </w:t>
      </w:r>
    </w:p>
    <w:p w14:paraId="29740F71">
      <w:pPr>
        <w:spacing w:line="500" w:lineRule="exact"/>
        <w:ind w:firstLine="480" w:firstLineChars="200"/>
        <w:outlineLvl w:val="9"/>
        <w:rPr>
          <w:rFonts w:hint="eastAsia" w:ascii="宋体" w:hAnsi="宋体" w:eastAsia="宋体" w:cs="宋体"/>
          <w:color w:val="auto"/>
          <w:sz w:val="24"/>
          <w:highlight w:val="none"/>
        </w:rPr>
      </w:pPr>
      <w:bookmarkStart w:id="97" w:name="_Toc426369497"/>
      <w:bookmarkStart w:id="98" w:name="_Toc274249592"/>
      <w:bookmarkStart w:id="99" w:name="_Toc403122509"/>
      <w:bookmarkStart w:id="100" w:name="_Toc279599788"/>
      <w:r>
        <w:rPr>
          <w:rFonts w:hint="eastAsia" w:ascii="宋体" w:hAnsi="宋体" w:eastAsia="宋体" w:cs="宋体"/>
          <w:color w:val="auto"/>
          <w:sz w:val="24"/>
          <w:highlight w:val="none"/>
        </w:rPr>
        <w:t>一、投标函及开标一览表</w:t>
      </w:r>
    </w:p>
    <w:p w14:paraId="70C20E53">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（一）投标函</w:t>
      </w:r>
    </w:p>
    <w:p w14:paraId="2FC8CB45">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（二）开标一览表</w:t>
      </w:r>
    </w:p>
    <w:p w14:paraId="2F060883">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（三）报价明细表</w:t>
      </w:r>
    </w:p>
    <w:p w14:paraId="4E7F6F65">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四</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技术偏离</w:t>
      </w:r>
      <w:r>
        <w:rPr>
          <w:rFonts w:hint="eastAsia" w:ascii="宋体" w:hAnsi="宋体" w:eastAsia="宋体" w:cs="宋体"/>
          <w:color w:val="auto"/>
          <w:sz w:val="24"/>
          <w:highlight w:val="none"/>
        </w:rPr>
        <w:t>表</w:t>
      </w:r>
    </w:p>
    <w:p w14:paraId="659A502D">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五</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商务响应</w:t>
      </w:r>
      <w:r>
        <w:rPr>
          <w:rFonts w:hint="eastAsia" w:ascii="宋体" w:hAnsi="宋体" w:eastAsia="宋体" w:cs="宋体"/>
          <w:color w:val="auto"/>
          <w:sz w:val="24"/>
          <w:highlight w:val="none"/>
        </w:rPr>
        <w:t>表</w:t>
      </w:r>
    </w:p>
    <w:p w14:paraId="0F36A9AC">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二、法定代表人身份证明书</w:t>
      </w:r>
    </w:p>
    <w:p w14:paraId="10B59557">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三、授权委托书</w:t>
      </w:r>
    </w:p>
    <w:p w14:paraId="121D619A">
      <w:pPr>
        <w:spacing w:line="500" w:lineRule="exact"/>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四、项目实施方案等</w:t>
      </w:r>
    </w:p>
    <w:p w14:paraId="14B06386">
      <w:pPr>
        <w:spacing w:line="500" w:lineRule="exact"/>
        <w:ind w:firstLine="480" w:firstLineChars="200"/>
        <w:outlineLvl w:val="9"/>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五、售后服务</w:t>
      </w:r>
      <w:r>
        <w:rPr>
          <w:rFonts w:hint="eastAsia" w:ascii="宋体" w:hAnsi="宋体" w:cs="宋体"/>
          <w:color w:val="auto"/>
          <w:sz w:val="24"/>
          <w:highlight w:val="none"/>
          <w:lang w:val="en-US" w:eastAsia="zh-CN"/>
        </w:rPr>
        <w:t>方案</w:t>
      </w:r>
    </w:p>
    <w:p w14:paraId="193EB0D5">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类似业绩</w:t>
      </w:r>
    </w:p>
    <w:p w14:paraId="0C181C3A">
      <w:pPr>
        <w:spacing w:line="500" w:lineRule="exact"/>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投标人基本情况表</w:t>
      </w:r>
    </w:p>
    <w:p w14:paraId="2999D3E4">
      <w:pPr>
        <w:spacing w:line="500" w:lineRule="exact"/>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政府采购投标人资格证明承诺函</w:t>
      </w:r>
    </w:p>
    <w:p w14:paraId="65BF1BFD">
      <w:pPr>
        <w:spacing w:line="500" w:lineRule="exact"/>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九、</w:t>
      </w:r>
      <w:r>
        <w:rPr>
          <w:rFonts w:hint="eastAsia" w:ascii="宋体" w:hAnsi="宋体" w:eastAsia="宋体" w:cs="宋体"/>
          <w:color w:val="auto"/>
          <w:sz w:val="24"/>
          <w:highlight w:val="none"/>
        </w:rPr>
        <w:t>投标人所投产品属于政府采购清单规定的节能环保产品的证明材料</w:t>
      </w:r>
    </w:p>
    <w:p w14:paraId="339E8076">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十、</w:t>
      </w:r>
      <w:r>
        <w:rPr>
          <w:rFonts w:hint="eastAsia" w:ascii="宋体" w:hAnsi="宋体" w:eastAsia="宋体" w:cs="宋体"/>
          <w:color w:val="auto"/>
          <w:sz w:val="24"/>
          <w:highlight w:val="none"/>
        </w:rPr>
        <w:t>中小企业声明函（</w:t>
      </w:r>
      <w:r>
        <w:rPr>
          <w:rFonts w:hint="eastAsia" w:ascii="宋体" w:hAnsi="宋体" w:cs="宋体"/>
          <w:color w:val="auto"/>
          <w:sz w:val="24"/>
          <w:highlight w:val="none"/>
          <w:lang w:val="en-US" w:eastAsia="zh-CN"/>
        </w:rPr>
        <w:t>如有</w:t>
      </w:r>
      <w:r>
        <w:rPr>
          <w:rFonts w:hint="eastAsia" w:ascii="宋体" w:hAnsi="宋体" w:eastAsia="宋体" w:cs="宋体"/>
          <w:color w:val="auto"/>
          <w:sz w:val="24"/>
          <w:highlight w:val="none"/>
        </w:rPr>
        <w:t>）</w:t>
      </w:r>
    </w:p>
    <w:p w14:paraId="6FC16CE3">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十一</w:t>
      </w:r>
      <w:r>
        <w:rPr>
          <w:rFonts w:hint="eastAsia" w:ascii="宋体" w:hAnsi="宋体" w:eastAsia="宋体" w:cs="宋体"/>
          <w:color w:val="auto"/>
          <w:sz w:val="24"/>
          <w:highlight w:val="none"/>
        </w:rPr>
        <w:t>、招标文件要求的或投标人认为须提交的其他材料</w:t>
      </w:r>
    </w:p>
    <w:p w14:paraId="037950AF">
      <w:pPr>
        <w:widowControl/>
        <w:spacing w:line="360" w:lineRule="auto"/>
        <w:ind w:firstLine="482" w:firstLineChars="200"/>
        <w:jc w:val="left"/>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1、满足《政府采购法》第二十二条规定的资格条件，按照采购文件约定提供资格承诺，不再提供资质资料，主要包括投标人在投标文件中无需再提供营业执照、财务状况报告、依法缴纳税收和社会保障资金、具有履行合同所必须的设备和专业技术能力、参加政府采购活动前三年内在经营活动中没有重大违法记录相关证明材料。</w:t>
      </w:r>
    </w:p>
    <w:p w14:paraId="2053E773">
      <w:pPr>
        <w:widowControl/>
        <w:spacing w:line="360" w:lineRule="auto"/>
        <w:ind w:firstLine="482" w:firstLineChars="200"/>
        <w:jc w:val="left"/>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2、投标人应当遵循诚实信用原则，不得作虚假承诺。投标人承诺不实的， 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14:paraId="2BFD3271">
      <w:pPr>
        <w:spacing w:line="500" w:lineRule="exact"/>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 投标报价</w:t>
      </w:r>
      <w:bookmarkEnd w:id="97"/>
      <w:bookmarkEnd w:id="98"/>
      <w:bookmarkEnd w:id="99"/>
      <w:bookmarkEnd w:id="100"/>
    </w:p>
    <w:p w14:paraId="174195F6">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3.2.1投标报价包括：货物本身的费用、包装费、运输费、装卸费、运输过程保险费、安装费、质量保证费、相关的伴随服务费、货物本身已支付或将支付的各种税费</w:t>
      </w:r>
      <w:r>
        <w:rPr>
          <w:rFonts w:hint="eastAsia" w:ascii="宋体" w:hAnsi="宋体" w:cs="宋体"/>
          <w:color w:val="auto"/>
          <w:sz w:val="24"/>
          <w:highlight w:val="none"/>
          <w:lang w:eastAsia="zh-CN"/>
        </w:rPr>
        <w:t>、</w:t>
      </w:r>
      <w:r>
        <w:rPr>
          <w:rFonts w:hint="eastAsia" w:ascii="宋体" w:hAnsi="宋体" w:eastAsia="宋体" w:cs="宋体"/>
          <w:b w:val="0"/>
          <w:bCs w:val="0"/>
          <w:snapToGrid w:val="0"/>
          <w:color w:val="auto"/>
          <w:kern w:val="0"/>
          <w:sz w:val="24"/>
          <w:szCs w:val="24"/>
          <w:highlight w:val="none"/>
          <w:lang w:val="en-US" w:eastAsia="en-US" w:bidi="ar"/>
        </w:rPr>
        <w:t>吊车、打孔（包含混泥土墙体、玻璃打孔）、加长铜管、原厂支架、含安装集中排水落水管、加装管线、高空作业及耗材等与本项目相关的所有费用</w:t>
      </w:r>
      <w:r>
        <w:rPr>
          <w:rFonts w:hint="eastAsia" w:ascii="宋体" w:hAnsi="宋体" w:eastAsia="宋体" w:cs="宋体"/>
          <w:color w:val="auto"/>
          <w:sz w:val="24"/>
          <w:highlight w:val="none"/>
        </w:rPr>
        <w:t>以及其它交付使用前的所有费用。投标价不是唯一的或不是固定不变的投标文件将被作为非响应性投标而予以拒绝。</w:t>
      </w:r>
    </w:p>
    <w:p w14:paraId="207D6664">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3.2.2投标报价在中标后不得修改。</w:t>
      </w:r>
    </w:p>
    <w:p w14:paraId="29F1E1A8">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3.2.3投标人只能提出一个不变价格，采购人不接受任何选择价。</w:t>
      </w:r>
    </w:p>
    <w:p w14:paraId="0C0F485A">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3.2.4投标人必须对招标范围内的所有货物投标，不允许只对其中一种或几种货物投标。</w:t>
      </w:r>
    </w:p>
    <w:p w14:paraId="6BF66E65">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3.2.5全部报价均应以人民币为计量币种，并以人民币进行结算。</w:t>
      </w:r>
    </w:p>
    <w:p w14:paraId="6071FAE7">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3.2.6投标报价原则是各投标人依据自身实力、管理水平，结合企业所在地区的人工工资标准，在确保项目质量，确保项目成本的基础上，自主报价、自负盈亏。</w:t>
      </w:r>
    </w:p>
    <w:p w14:paraId="63379A19">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3.2.7投标文件中开标一览表（报价表）内容与投标文件中相应内容不一致的，以开标一览表（报价表）为准；大写金额和小写金额不一致的，以大写金额为准；单价金额小数点或者百分比有明显错位的，以开标一览表的总价为准，并修改单价；总价金额与按单价汇总金额不一致的，以单价金额计算结果为准。</w:t>
      </w:r>
    </w:p>
    <w:p w14:paraId="27A0EA24">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上述规定的顺序修正。评标委员会应当以书面形式要求投标人作出必要的澄清、说明或者补正。投标人的澄清、说明或者补正不得超出投标文件的范围或者改变投标文件的实质性内容。</w:t>
      </w:r>
    </w:p>
    <w:p w14:paraId="7158A026">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修正后的报价经投标人</w:t>
      </w:r>
      <w:r>
        <w:rPr>
          <w:rFonts w:hint="eastAsia" w:ascii="宋体" w:hAnsi="宋体" w:eastAsia="宋体" w:cs="宋体"/>
          <w:color w:val="auto"/>
          <w:sz w:val="24"/>
          <w:highlight w:val="none"/>
          <w:lang w:val="zh-CN"/>
        </w:rPr>
        <w:t>书面</w:t>
      </w:r>
      <w:r>
        <w:rPr>
          <w:rFonts w:hint="eastAsia" w:ascii="宋体" w:hAnsi="宋体" w:eastAsia="宋体" w:cs="宋体"/>
          <w:color w:val="auto"/>
          <w:sz w:val="24"/>
          <w:highlight w:val="none"/>
        </w:rPr>
        <w:t>确认后产生约束力，投标人不确认的，其投标无效。</w:t>
      </w:r>
    </w:p>
    <w:p w14:paraId="476F6D40">
      <w:pPr>
        <w:spacing w:line="500" w:lineRule="exact"/>
        <w:ind w:firstLine="482" w:firstLineChars="200"/>
        <w:outlineLvl w:val="9"/>
        <w:rPr>
          <w:rFonts w:hint="eastAsia" w:ascii="宋体" w:hAnsi="宋体" w:eastAsia="宋体" w:cs="宋体"/>
          <w:b/>
          <w:bCs/>
          <w:color w:val="auto"/>
          <w:sz w:val="24"/>
          <w:highlight w:val="none"/>
        </w:rPr>
      </w:pPr>
      <w:bookmarkStart w:id="101" w:name="_Toc426369498"/>
      <w:bookmarkStart w:id="102" w:name="_Toc279599789"/>
      <w:bookmarkStart w:id="103" w:name="_Toc274249593"/>
      <w:bookmarkStart w:id="104" w:name="_Toc403122510"/>
      <w:r>
        <w:rPr>
          <w:rFonts w:hint="eastAsia" w:ascii="宋体" w:hAnsi="宋体" w:eastAsia="宋体" w:cs="宋体"/>
          <w:b/>
          <w:bCs/>
          <w:color w:val="auto"/>
          <w:sz w:val="24"/>
          <w:highlight w:val="none"/>
        </w:rPr>
        <w:t>3.3 投标有效期</w:t>
      </w:r>
      <w:bookmarkEnd w:id="101"/>
      <w:bookmarkEnd w:id="102"/>
      <w:bookmarkEnd w:id="103"/>
      <w:bookmarkEnd w:id="104"/>
    </w:p>
    <w:p w14:paraId="3070C804">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3.3.1在投标人须知前附表规定的投标有效期内，投标人不得要求撤销或修改其投标文件。 </w:t>
      </w:r>
    </w:p>
    <w:p w14:paraId="7E54902D">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3.3.2 出现特殊情况需要延长投标有效期的，采购人以书面形式通知所有投标人延长投标有效期。投标人同意延长的，应相应延长其投标有效期，但不得要求或允许修改其投标文件；投标人拒绝延长的，其投标失效。</w:t>
      </w:r>
    </w:p>
    <w:p w14:paraId="6961A51A">
      <w:pPr>
        <w:spacing w:line="500" w:lineRule="exact"/>
        <w:ind w:firstLine="482" w:firstLineChars="200"/>
        <w:outlineLvl w:val="9"/>
        <w:rPr>
          <w:rFonts w:hint="eastAsia" w:ascii="宋体" w:hAnsi="宋体" w:eastAsia="宋体" w:cs="宋体"/>
          <w:b/>
          <w:bCs/>
          <w:color w:val="auto"/>
          <w:sz w:val="24"/>
          <w:highlight w:val="none"/>
        </w:rPr>
      </w:pPr>
      <w:bookmarkStart w:id="105" w:name="_Toc403122512"/>
      <w:bookmarkStart w:id="106" w:name="_Toc426369501"/>
      <w:bookmarkStart w:id="107" w:name="_Toc279599791"/>
      <w:bookmarkStart w:id="108" w:name="_Toc274249595"/>
      <w:r>
        <w:rPr>
          <w:rFonts w:hint="eastAsia" w:ascii="宋体" w:hAnsi="宋体" w:eastAsia="宋体" w:cs="宋体"/>
          <w:b/>
          <w:bCs/>
          <w:color w:val="auto"/>
          <w:sz w:val="24"/>
          <w:highlight w:val="none"/>
        </w:rPr>
        <w:t>3.4 资格审查资料</w:t>
      </w:r>
      <w:bookmarkEnd w:id="105"/>
      <w:bookmarkEnd w:id="106"/>
      <w:bookmarkEnd w:id="107"/>
      <w:bookmarkEnd w:id="108"/>
    </w:p>
    <w:p w14:paraId="373CBA90">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3.4.1</w:t>
      </w:r>
      <w:r>
        <w:rPr>
          <w:rFonts w:hint="eastAsia" w:ascii="宋体" w:hAnsi="宋体" w:eastAsia="宋体" w:cs="宋体"/>
          <w:color w:val="auto"/>
          <w:kern w:val="0"/>
          <w:sz w:val="24"/>
          <w:highlight w:val="none"/>
        </w:rPr>
        <w:t>依据“投标人须知前附表”中的要求提交相应的资格证明文件，作为投标文件的一部分，以证明其有资格进行投标和有能力履行合同</w:t>
      </w:r>
      <w:r>
        <w:rPr>
          <w:rFonts w:hint="eastAsia" w:ascii="宋体" w:hAnsi="宋体" w:eastAsia="宋体" w:cs="宋体"/>
          <w:color w:val="auto"/>
          <w:sz w:val="24"/>
          <w:highlight w:val="none"/>
        </w:rPr>
        <w:t xml:space="preserve">。 </w:t>
      </w:r>
    </w:p>
    <w:p w14:paraId="4BEB0F69">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3.4.2招标文件规定的投标人资格条件。</w:t>
      </w:r>
    </w:p>
    <w:p w14:paraId="11C4A8CC">
      <w:pPr>
        <w:spacing w:line="500" w:lineRule="exact"/>
        <w:ind w:firstLine="482" w:firstLineChars="200"/>
        <w:outlineLvl w:val="9"/>
        <w:rPr>
          <w:rFonts w:hint="eastAsia" w:ascii="宋体" w:hAnsi="宋体" w:eastAsia="宋体" w:cs="宋体"/>
          <w:b/>
          <w:bCs/>
          <w:color w:val="auto"/>
          <w:sz w:val="24"/>
          <w:highlight w:val="none"/>
        </w:rPr>
      </w:pPr>
      <w:bookmarkStart w:id="109" w:name="_Toc279599792"/>
      <w:bookmarkStart w:id="110" w:name="_Toc274249596"/>
      <w:bookmarkStart w:id="111" w:name="_Toc403122513"/>
      <w:bookmarkStart w:id="112" w:name="_Toc426369502"/>
      <w:r>
        <w:rPr>
          <w:rFonts w:hint="eastAsia" w:ascii="宋体" w:hAnsi="宋体" w:eastAsia="宋体" w:cs="宋体"/>
          <w:b/>
          <w:bCs/>
          <w:color w:val="auto"/>
          <w:sz w:val="24"/>
          <w:highlight w:val="none"/>
        </w:rPr>
        <w:t>3.5 备选投标方案</w:t>
      </w:r>
      <w:bookmarkEnd w:id="109"/>
      <w:bookmarkEnd w:id="110"/>
      <w:bookmarkEnd w:id="111"/>
      <w:bookmarkEnd w:id="112"/>
    </w:p>
    <w:p w14:paraId="06B95243">
      <w:pPr>
        <w:tabs>
          <w:tab w:val="left" w:pos="3570"/>
        </w:tabs>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投标人不得递交备选投标方案。 </w:t>
      </w:r>
    </w:p>
    <w:p w14:paraId="299882C1">
      <w:pPr>
        <w:spacing w:line="500" w:lineRule="exact"/>
        <w:ind w:firstLine="482" w:firstLineChars="200"/>
        <w:outlineLvl w:val="9"/>
        <w:rPr>
          <w:rFonts w:hint="eastAsia" w:ascii="宋体" w:hAnsi="宋体" w:eastAsia="宋体" w:cs="宋体"/>
          <w:b/>
          <w:bCs/>
          <w:color w:val="auto"/>
          <w:sz w:val="24"/>
          <w:highlight w:val="none"/>
        </w:rPr>
      </w:pPr>
      <w:bookmarkStart w:id="113" w:name="_Toc426369503"/>
      <w:bookmarkStart w:id="114" w:name="_Toc403122514"/>
      <w:bookmarkStart w:id="115" w:name="_Toc279599793"/>
      <w:bookmarkStart w:id="116" w:name="_Toc274249597"/>
      <w:r>
        <w:rPr>
          <w:rFonts w:hint="eastAsia" w:ascii="宋体" w:hAnsi="宋体" w:eastAsia="宋体" w:cs="宋体"/>
          <w:b/>
          <w:bCs/>
          <w:color w:val="auto"/>
          <w:sz w:val="24"/>
          <w:highlight w:val="none"/>
        </w:rPr>
        <w:t>3.6 投标文件的编制</w:t>
      </w:r>
      <w:bookmarkEnd w:id="113"/>
      <w:bookmarkEnd w:id="114"/>
      <w:bookmarkEnd w:id="115"/>
      <w:bookmarkEnd w:id="116"/>
    </w:p>
    <w:p w14:paraId="17E7A715">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3.6.1 投标文件应按招标文件中要求</w:t>
      </w:r>
      <w:r>
        <w:rPr>
          <w:rFonts w:hint="eastAsia" w:ascii="宋体" w:hAnsi="宋体" w:eastAsia="宋体" w:cs="宋体"/>
          <w:color w:val="auto"/>
          <w:kern w:val="0"/>
          <w:sz w:val="24"/>
          <w:highlight w:val="none"/>
        </w:rPr>
        <w:t>使用焦作市公共资源交易系统投标文件制作专用工具软件编制</w:t>
      </w:r>
      <w:r>
        <w:rPr>
          <w:rFonts w:hint="eastAsia" w:ascii="宋体" w:hAnsi="宋体" w:eastAsia="宋体" w:cs="宋体"/>
          <w:color w:val="auto"/>
          <w:sz w:val="24"/>
          <w:highlight w:val="none"/>
        </w:rPr>
        <w:t xml:space="preserve">。 </w:t>
      </w:r>
    </w:p>
    <w:p w14:paraId="64B6C1A1">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3.6.2 投标文件应当对招标文件有关</w:t>
      </w:r>
      <w:r>
        <w:rPr>
          <w:rFonts w:hint="eastAsia" w:ascii="宋体" w:hAnsi="宋体" w:eastAsia="宋体" w:cs="宋体"/>
          <w:color w:val="auto"/>
          <w:spacing w:val="1"/>
          <w:sz w:val="24"/>
          <w:highlight w:val="none"/>
        </w:rPr>
        <w:t>合同履行期限（供货安装期）</w:t>
      </w:r>
      <w:r>
        <w:rPr>
          <w:rFonts w:hint="eastAsia" w:ascii="宋体" w:hAnsi="宋体" w:eastAsia="宋体" w:cs="宋体"/>
          <w:color w:val="auto"/>
          <w:sz w:val="24"/>
          <w:highlight w:val="none"/>
        </w:rPr>
        <w:t>、投标有效期、质量标准、采购要求及服务内容、付款方式等实质性内容作出响应，否则视为无效标。</w:t>
      </w:r>
    </w:p>
    <w:p w14:paraId="474CF1F4">
      <w:pPr>
        <w:autoSpaceDE w:val="0"/>
        <w:autoSpaceDN w:val="0"/>
        <w:adjustRightInd w:val="0"/>
        <w:spacing w:line="500" w:lineRule="exact"/>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3.6.3 </w:t>
      </w:r>
      <w:r>
        <w:rPr>
          <w:rFonts w:hint="eastAsia" w:ascii="宋体" w:hAnsi="宋体" w:eastAsia="宋体" w:cs="宋体"/>
          <w:color w:val="auto"/>
          <w:kern w:val="0"/>
          <w:sz w:val="24"/>
          <w:highlight w:val="none"/>
        </w:rPr>
        <w:t>本项目采用电子开评标方式，潜在投标人可提前在焦作市交易中心官网首页---下载中心--下载《焦作市电子招投标系统操作手册》、《焦作市公共资源交易平台不见面开标操作手册》和《投标文件制作工作工具》等查看操作说明，按要求进行投标文件制作和上传等。为避免网络拥堵等不可控因素影响投标文件的上传，请提前上传投标文件，按要求解密投标文件。因文件未及时上传导致投标失败的责任由投标人自行承担。</w:t>
      </w:r>
    </w:p>
    <w:p w14:paraId="5603920B">
      <w:pPr>
        <w:pStyle w:val="3"/>
        <w:bidi w:val="0"/>
        <w:rPr>
          <w:rFonts w:hint="eastAsia" w:ascii="宋体" w:hAnsi="宋体" w:eastAsia="宋体" w:cs="宋体"/>
          <w:color w:val="auto"/>
          <w:highlight w:val="none"/>
        </w:rPr>
      </w:pPr>
      <w:bookmarkStart w:id="117" w:name="_Toc403122515"/>
      <w:bookmarkStart w:id="118" w:name="_Toc22771"/>
      <w:bookmarkStart w:id="119" w:name="_Toc30100"/>
      <w:bookmarkStart w:id="120" w:name="_Toc31809"/>
      <w:bookmarkStart w:id="121" w:name="_Toc12797"/>
      <w:bookmarkStart w:id="122" w:name="_Toc26998"/>
      <w:bookmarkStart w:id="123" w:name="_Toc426369504"/>
      <w:r>
        <w:rPr>
          <w:rFonts w:hint="eastAsia" w:ascii="宋体" w:hAnsi="宋体" w:eastAsia="宋体" w:cs="宋体"/>
          <w:color w:val="auto"/>
          <w:highlight w:val="none"/>
        </w:rPr>
        <w:t>4. 投标</w:t>
      </w:r>
      <w:bookmarkEnd w:id="117"/>
      <w:bookmarkEnd w:id="118"/>
      <w:bookmarkEnd w:id="119"/>
      <w:bookmarkEnd w:id="120"/>
      <w:bookmarkEnd w:id="121"/>
      <w:bookmarkEnd w:id="122"/>
      <w:bookmarkEnd w:id="123"/>
    </w:p>
    <w:p w14:paraId="2B4616EE">
      <w:pPr>
        <w:spacing w:line="500" w:lineRule="exact"/>
        <w:ind w:firstLine="482" w:firstLineChars="200"/>
        <w:outlineLvl w:val="9"/>
        <w:rPr>
          <w:rFonts w:hint="eastAsia" w:ascii="宋体" w:hAnsi="宋体" w:eastAsia="宋体" w:cs="宋体"/>
          <w:b/>
          <w:bCs/>
          <w:color w:val="auto"/>
          <w:sz w:val="24"/>
          <w:highlight w:val="none"/>
        </w:rPr>
      </w:pPr>
      <w:bookmarkStart w:id="124" w:name="_Toc279599795"/>
      <w:bookmarkStart w:id="125" w:name="_Toc274249599"/>
      <w:bookmarkStart w:id="126" w:name="_Toc403122516"/>
      <w:bookmarkStart w:id="127" w:name="_Toc426369505"/>
      <w:r>
        <w:rPr>
          <w:rFonts w:hint="eastAsia" w:ascii="宋体" w:hAnsi="宋体" w:eastAsia="宋体" w:cs="宋体"/>
          <w:b/>
          <w:bCs/>
          <w:color w:val="auto"/>
          <w:sz w:val="24"/>
          <w:highlight w:val="none"/>
        </w:rPr>
        <w:t>4.1 投标文件的密封和标记</w:t>
      </w:r>
      <w:bookmarkEnd w:id="124"/>
      <w:bookmarkEnd w:id="125"/>
      <w:bookmarkEnd w:id="126"/>
      <w:bookmarkEnd w:id="127"/>
    </w:p>
    <w:p w14:paraId="17AB2012">
      <w:pPr>
        <w:autoSpaceDE w:val="0"/>
        <w:autoSpaceDN w:val="0"/>
        <w:adjustRightInd w:val="0"/>
        <w:spacing w:line="500" w:lineRule="exact"/>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4.1.1.本项目采用</w:t>
      </w:r>
      <w:r>
        <w:rPr>
          <w:rFonts w:hint="eastAsia" w:ascii="宋体" w:hAnsi="宋体" w:eastAsia="宋体" w:cs="宋体"/>
          <w:color w:val="auto"/>
          <w:kern w:val="0"/>
          <w:sz w:val="24"/>
          <w:highlight w:val="none"/>
          <w:lang w:val="zh-CN"/>
        </w:rPr>
        <w:t>网上上传的电子投标文件</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应使用数字证书认证并加密。</w:t>
      </w:r>
    </w:p>
    <w:p w14:paraId="6B9A4002">
      <w:pPr>
        <w:spacing w:line="500" w:lineRule="exact"/>
        <w:ind w:firstLine="482" w:firstLineChars="200"/>
        <w:outlineLvl w:val="9"/>
        <w:rPr>
          <w:rFonts w:hint="eastAsia" w:ascii="宋体" w:hAnsi="宋体" w:eastAsia="宋体" w:cs="宋体"/>
          <w:b/>
          <w:bCs/>
          <w:color w:val="auto"/>
          <w:sz w:val="24"/>
          <w:highlight w:val="none"/>
        </w:rPr>
      </w:pPr>
      <w:bookmarkStart w:id="128" w:name="_Toc274249600"/>
      <w:bookmarkStart w:id="129" w:name="_Toc279599796"/>
      <w:bookmarkStart w:id="130" w:name="_Toc426369506"/>
      <w:bookmarkStart w:id="131" w:name="_Toc403122517"/>
      <w:r>
        <w:rPr>
          <w:rFonts w:hint="eastAsia" w:ascii="宋体" w:hAnsi="宋体" w:eastAsia="宋体" w:cs="宋体"/>
          <w:b/>
          <w:bCs/>
          <w:color w:val="auto"/>
          <w:sz w:val="24"/>
          <w:highlight w:val="none"/>
        </w:rPr>
        <w:t>4.2 投标文件的递交</w:t>
      </w:r>
      <w:bookmarkEnd w:id="128"/>
      <w:bookmarkEnd w:id="129"/>
      <w:bookmarkEnd w:id="130"/>
      <w:bookmarkEnd w:id="131"/>
    </w:p>
    <w:p w14:paraId="23B2464E">
      <w:pPr>
        <w:autoSpaceDE w:val="0"/>
        <w:autoSpaceDN w:val="0"/>
        <w:adjustRightInd w:val="0"/>
        <w:spacing w:line="500" w:lineRule="exact"/>
        <w:ind w:firstLine="480" w:firstLineChars="200"/>
        <w:jc w:val="left"/>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4.2.1</w:t>
      </w:r>
      <w:r>
        <w:rPr>
          <w:rFonts w:hint="eastAsia" w:ascii="宋体" w:hAnsi="宋体" w:eastAsia="宋体" w:cs="宋体"/>
          <w:color w:val="auto"/>
          <w:kern w:val="0"/>
          <w:sz w:val="24"/>
          <w:highlight w:val="none"/>
          <w:lang w:val="zh-CN"/>
        </w:rPr>
        <w:t>所有投标文件必须在本招标文件中规定的投标截止时间之前</w:t>
      </w:r>
      <w:r>
        <w:rPr>
          <w:rFonts w:hint="eastAsia" w:ascii="宋体" w:hAnsi="宋体" w:eastAsia="宋体" w:cs="宋体"/>
          <w:color w:val="auto"/>
          <w:kern w:val="0"/>
          <w:sz w:val="24"/>
          <w:highlight w:val="none"/>
        </w:rPr>
        <w:t>提前上传，按要求</w:t>
      </w:r>
      <w:r>
        <w:rPr>
          <w:rFonts w:hint="eastAsia" w:ascii="宋体" w:hAnsi="宋体" w:eastAsia="宋体" w:cs="宋体"/>
          <w:color w:val="auto"/>
          <w:sz w:val="24"/>
          <w:highlight w:val="none"/>
        </w:rPr>
        <w:t>解密文件等，解密时间为投标截止时后30分钟内，</w:t>
      </w:r>
      <w:r>
        <w:rPr>
          <w:rFonts w:hint="eastAsia" w:ascii="宋体" w:hAnsi="宋体" w:eastAsia="宋体" w:cs="宋体"/>
          <w:color w:val="auto"/>
          <w:kern w:val="0"/>
          <w:sz w:val="24"/>
          <w:highlight w:val="none"/>
        </w:rPr>
        <w:t>不能按时上传、解密者视为自动放弃投标。</w:t>
      </w:r>
    </w:p>
    <w:p w14:paraId="55C1BE52">
      <w:pPr>
        <w:autoSpaceDE w:val="0"/>
        <w:autoSpaceDN w:val="0"/>
        <w:adjustRightInd w:val="0"/>
        <w:spacing w:line="500" w:lineRule="exact"/>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4.2.</w:t>
      </w:r>
      <w:r>
        <w:rPr>
          <w:rFonts w:hint="eastAsia" w:ascii="宋体" w:hAnsi="宋体" w:eastAsia="宋体" w:cs="宋体"/>
          <w:color w:val="auto"/>
          <w:kern w:val="0"/>
          <w:sz w:val="24"/>
          <w:highlight w:val="none"/>
          <w:lang w:val="zh-CN"/>
        </w:rPr>
        <w:t>2.采购人拒绝接收在投标文件递交截止时间后上传的投标文件。</w:t>
      </w:r>
      <w:bookmarkStart w:id="132" w:name="_Hlt26954862"/>
      <w:bookmarkEnd w:id="132"/>
      <w:bookmarkStart w:id="133" w:name="_Hlt26954754"/>
      <w:bookmarkEnd w:id="133"/>
    </w:p>
    <w:p w14:paraId="37B0E823">
      <w:pPr>
        <w:spacing w:line="500" w:lineRule="exact"/>
        <w:ind w:firstLine="482" w:firstLineChars="200"/>
        <w:outlineLvl w:val="9"/>
        <w:rPr>
          <w:rFonts w:hint="eastAsia" w:ascii="宋体" w:hAnsi="宋体" w:eastAsia="宋体" w:cs="宋体"/>
          <w:b/>
          <w:bCs/>
          <w:color w:val="auto"/>
          <w:sz w:val="24"/>
          <w:highlight w:val="none"/>
        </w:rPr>
      </w:pPr>
      <w:bookmarkStart w:id="134" w:name="_Toc403122518"/>
      <w:bookmarkStart w:id="135" w:name="_Toc274249601"/>
      <w:bookmarkStart w:id="136" w:name="_Toc279599797"/>
      <w:bookmarkStart w:id="137" w:name="_Toc426369507"/>
      <w:r>
        <w:rPr>
          <w:rFonts w:hint="eastAsia" w:ascii="宋体" w:hAnsi="宋体" w:eastAsia="宋体" w:cs="宋体"/>
          <w:b/>
          <w:bCs/>
          <w:color w:val="auto"/>
          <w:sz w:val="24"/>
          <w:highlight w:val="none"/>
        </w:rPr>
        <w:t>4.3 投标文件的修改与撤回</w:t>
      </w:r>
      <w:bookmarkEnd w:id="134"/>
      <w:bookmarkEnd w:id="135"/>
      <w:bookmarkEnd w:id="136"/>
      <w:bookmarkEnd w:id="137"/>
    </w:p>
    <w:p w14:paraId="6B3EE281">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4.3.1在本章第 2.2.2 项规定的投标截止时间前，投标人可以修改或撤回已递交的投标文件。 </w:t>
      </w:r>
    </w:p>
    <w:p w14:paraId="7E98D6FF">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4.3.2投标人修改或撤回已递交投标文件的书面通知应按照本章第 3.6.4 项的要求签字盖章。 </w:t>
      </w:r>
    </w:p>
    <w:p w14:paraId="51DBC3D7">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4.3.3修改的内容为投标文件的组成部分。修改的投标文件应按照本章第 3 条、第 4 条规定进行编制、密封、标记和递交，并标明“修改”字样。 </w:t>
      </w:r>
    </w:p>
    <w:p w14:paraId="5F833F8E">
      <w:pPr>
        <w:pStyle w:val="3"/>
        <w:bidi w:val="0"/>
        <w:rPr>
          <w:rFonts w:hint="eastAsia" w:ascii="宋体" w:hAnsi="宋体" w:eastAsia="宋体" w:cs="宋体"/>
          <w:color w:val="auto"/>
          <w:highlight w:val="none"/>
        </w:rPr>
      </w:pPr>
      <w:bookmarkStart w:id="138" w:name="_Toc23755"/>
      <w:bookmarkStart w:id="139" w:name="_Toc403122519"/>
      <w:bookmarkStart w:id="140" w:name="_Toc11336"/>
      <w:bookmarkStart w:id="141" w:name="_Toc426369508"/>
      <w:bookmarkStart w:id="142" w:name="_Toc5457"/>
      <w:bookmarkStart w:id="143" w:name="_Toc18170"/>
      <w:bookmarkStart w:id="144" w:name="_Toc32449"/>
      <w:r>
        <w:rPr>
          <w:rFonts w:hint="eastAsia" w:ascii="宋体" w:hAnsi="宋体" w:eastAsia="宋体" w:cs="宋体"/>
          <w:color w:val="auto"/>
          <w:highlight w:val="none"/>
        </w:rPr>
        <w:t>5. 开标</w:t>
      </w:r>
      <w:bookmarkEnd w:id="138"/>
      <w:bookmarkEnd w:id="139"/>
      <w:bookmarkEnd w:id="140"/>
      <w:bookmarkEnd w:id="141"/>
      <w:bookmarkEnd w:id="142"/>
      <w:bookmarkEnd w:id="143"/>
      <w:bookmarkEnd w:id="144"/>
    </w:p>
    <w:p w14:paraId="42A721DB">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5.1.1采购人在规定的投标截止时间（开标时间）和投标人须知前附表规定的地点公开开标。本项目采用“远程不见面”的开标方式,载明远程开标大厅网址（https://ggzy.jiaozuo.gov.cn/BidOpeningHall/bidhall/dqhnjz/login.html。）。投标人无需到现场参加开标会议，无需到达现场提交原件资料。投标人应当在线准时参加开标活动并进行文件解密、答疑澄清等。在规定时间内投标文件未解密的投标人，视为放弃投标。</w:t>
      </w:r>
    </w:p>
    <w:p w14:paraId="3155CDDD">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所有投标文件必须在本招标文件中规定的投标截止时间之前提前上传投标文件，按要求解密投标文件，不能按时上传、解密者视为自动放弃投标。</w:t>
      </w:r>
    </w:p>
    <w:p w14:paraId="1C8500A1">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5.1.2投标人不足3家的，不得开标。  </w:t>
      </w:r>
    </w:p>
    <w:p w14:paraId="7C8BA2A4">
      <w:pPr>
        <w:spacing w:line="500" w:lineRule="exact"/>
        <w:ind w:firstLine="482" w:firstLineChars="200"/>
        <w:outlineLvl w:val="9"/>
        <w:rPr>
          <w:rFonts w:hint="eastAsia" w:ascii="宋体" w:hAnsi="宋体" w:eastAsia="宋体" w:cs="宋体"/>
          <w:b/>
          <w:bCs/>
          <w:color w:val="auto"/>
          <w:sz w:val="24"/>
          <w:highlight w:val="none"/>
        </w:rPr>
      </w:pPr>
      <w:bookmarkStart w:id="145" w:name="_Toc403122520"/>
      <w:bookmarkStart w:id="146" w:name="_Toc279599799"/>
      <w:bookmarkStart w:id="147" w:name="_Toc426369509"/>
      <w:bookmarkStart w:id="148" w:name="_Toc274249603"/>
      <w:r>
        <w:rPr>
          <w:rFonts w:hint="eastAsia" w:ascii="宋体" w:hAnsi="宋体" w:eastAsia="宋体" w:cs="宋体"/>
          <w:b/>
          <w:bCs/>
          <w:color w:val="auto"/>
          <w:sz w:val="24"/>
          <w:highlight w:val="none"/>
        </w:rPr>
        <w:t>5.2 开标时间和地点</w:t>
      </w:r>
      <w:bookmarkEnd w:id="145"/>
      <w:bookmarkEnd w:id="146"/>
      <w:bookmarkEnd w:id="147"/>
      <w:bookmarkEnd w:id="148"/>
    </w:p>
    <w:p w14:paraId="752DC35B">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采购人在本章第 2.2.2 项规定的投标截止时间（开标时间）和投标人须知前附表规定的地点公开开标。</w:t>
      </w:r>
    </w:p>
    <w:p w14:paraId="323F2E42">
      <w:pPr>
        <w:spacing w:line="500" w:lineRule="exact"/>
        <w:ind w:firstLine="482" w:firstLineChars="200"/>
        <w:outlineLvl w:val="9"/>
        <w:rPr>
          <w:rFonts w:hint="eastAsia" w:ascii="宋体" w:hAnsi="宋体" w:eastAsia="宋体" w:cs="宋体"/>
          <w:b/>
          <w:bCs/>
          <w:color w:val="auto"/>
          <w:sz w:val="24"/>
          <w:highlight w:val="none"/>
        </w:rPr>
      </w:pPr>
      <w:bookmarkStart w:id="149" w:name="_Toc426369510"/>
      <w:bookmarkStart w:id="150" w:name="_Toc403122521"/>
      <w:bookmarkStart w:id="151" w:name="_Toc274249604"/>
      <w:bookmarkStart w:id="152" w:name="_Toc279599800"/>
      <w:r>
        <w:rPr>
          <w:rFonts w:hint="eastAsia" w:ascii="宋体" w:hAnsi="宋体" w:eastAsia="宋体" w:cs="宋体"/>
          <w:b/>
          <w:bCs/>
          <w:color w:val="auto"/>
          <w:sz w:val="24"/>
          <w:highlight w:val="none"/>
        </w:rPr>
        <w:t>5.3开标程序</w:t>
      </w:r>
      <w:bookmarkEnd w:id="149"/>
      <w:bookmarkEnd w:id="150"/>
      <w:bookmarkEnd w:id="151"/>
      <w:bookmarkEnd w:id="152"/>
    </w:p>
    <w:p w14:paraId="1FC5CB9B">
      <w:pPr>
        <w:spacing w:line="500" w:lineRule="exact"/>
        <w:ind w:firstLine="480" w:firstLineChars="200"/>
        <w:outlineLvl w:val="9"/>
        <w:rPr>
          <w:rFonts w:hint="eastAsia" w:ascii="宋体" w:hAnsi="宋体" w:eastAsia="宋体" w:cs="宋体"/>
          <w:color w:val="auto"/>
          <w:sz w:val="24"/>
          <w:highlight w:val="none"/>
          <w:lang w:val="zh-CN"/>
        </w:rPr>
      </w:pPr>
      <w:bookmarkStart w:id="153" w:name="_Toc426369511"/>
      <w:r>
        <w:rPr>
          <w:rFonts w:hint="eastAsia" w:ascii="宋体" w:hAnsi="宋体" w:eastAsia="宋体" w:cs="宋体"/>
          <w:color w:val="auto"/>
          <w:sz w:val="24"/>
          <w:highlight w:val="none"/>
        </w:rPr>
        <w:t>5.3</w:t>
      </w:r>
      <w:r>
        <w:rPr>
          <w:rFonts w:hint="eastAsia" w:ascii="宋体" w:hAnsi="宋体" w:eastAsia="宋体" w:cs="宋体"/>
          <w:color w:val="auto"/>
          <w:sz w:val="24"/>
          <w:highlight w:val="none"/>
          <w:lang w:val="zh-CN"/>
        </w:rPr>
        <w:t>.1本</w:t>
      </w: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val="zh-CN"/>
        </w:rPr>
        <w:t>采用电子开标。投标截止时间到达后，各投标人对电子投标文件进行解密。解密完成后各投标人的电子投标文件的实质性内容将自动显示在网页中。投标人在投标截止时间前未上传电子投标文件的将被视为放弃投标。</w:t>
      </w:r>
    </w:p>
    <w:p w14:paraId="7FDAFC3B">
      <w:pPr>
        <w:spacing w:line="500" w:lineRule="exact"/>
        <w:ind w:firstLine="480" w:firstLineChars="20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主持人按下列程序进行开标：</w:t>
      </w:r>
    </w:p>
    <w:p w14:paraId="15ED1CAB">
      <w:pPr>
        <w:spacing w:line="440" w:lineRule="exact"/>
        <w:ind w:firstLine="480" w:firstLineChars="20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（1）公布在投标截止时间前递交</w:t>
      </w:r>
      <w:r>
        <w:rPr>
          <w:rFonts w:hint="eastAsia" w:ascii="宋体" w:hAnsi="宋体" w:cs="宋体"/>
          <w:color w:val="auto"/>
          <w:sz w:val="24"/>
          <w:highlight w:val="none"/>
          <w:lang w:val="zh-CN"/>
        </w:rPr>
        <w:t>投标</w:t>
      </w:r>
      <w:r>
        <w:rPr>
          <w:rFonts w:hint="eastAsia" w:ascii="宋体" w:hAnsi="宋体" w:eastAsia="宋体" w:cs="宋体"/>
          <w:color w:val="auto"/>
          <w:sz w:val="24"/>
          <w:highlight w:val="none"/>
          <w:lang w:val="zh-CN"/>
        </w:rPr>
        <w:t>文件的供应商名称；</w:t>
      </w:r>
    </w:p>
    <w:p w14:paraId="26DD3F30">
      <w:pPr>
        <w:spacing w:line="440" w:lineRule="exact"/>
        <w:ind w:firstLine="480" w:firstLineChars="20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（2）供应商通过电子招标投标交易平台对已递交的电子</w:t>
      </w:r>
      <w:r>
        <w:rPr>
          <w:rFonts w:hint="eastAsia" w:ascii="宋体" w:hAnsi="宋体" w:cs="宋体"/>
          <w:color w:val="auto"/>
          <w:sz w:val="24"/>
          <w:highlight w:val="none"/>
          <w:lang w:val="zh-CN"/>
        </w:rPr>
        <w:t>投标</w:t>
      </w:r>
      <w:r>
        <w:rPr>
          <w:rFonts w:hint="eastAsia" w:ascii="宋体" w:hAnsi="宋体" w:eastAsia="宋体" w:cs="宋体"/>
          <w:color w:val="auto"/>
          <w:sz w:val="24"/>
          <w:highlight w:val="none"/>
          <w:lang w:val="zh-CN"/>
        </w:rPr>
        <w:t>文件在规定时间内进行解密；</w:t>
      </w:r>
    </w:p>
    <w:p w14:paraId="670D6A52">
      <w:pPr>
        <w:spacing w:line="440" w:lineRule="exact"/>
        <w:ind w:firstLine="480" w:firstLineChars="20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 批量导入文件；</w:t>
      </w:r>
    </w:p>
    <w:p w14:paraId="5F21F448">
      <w:pPr>
        <w:spacing w:line="440" w:lineRule="exact"/>
        <w:ind w:firstLine="480" w:firstLineChars="20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（4）公布采购项目名称、供应商名称、合同履行期限等其他内容，并记录在案；</w:t>
      </w:r>
    </w:p>
    <w:p w14:paraId="20A171C3">
      <w:pPr>
        <w:spacing w:line="440" w:lineRule="exact"/>
        <w:ind w:firstLine="480" w:firstLineChars="20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（5）采购人代表、监督人等有关人员按具体现场系统情况在开标记录上签字确认；</w:t>
      </w:r>
    </w:p>
    <w:p w14:paraId="173615E6">
      <w:pPr>
        <w:spacing w:line="440" w:lineRule="exact"/>
        <w:ind w:firstLine="480" w:firstLineChars="20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（6）开标结束。</w:t>
      </w:r>
    </w:p>
    <w:p w14:paraId="280E2905">
      <w:pPr>
        <w:spacing w:line="440" w:lineRule="exact"/>
        <w:ind w:firstLine="480" w:firstLineChars="20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5.3.</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开标时出现下列情况的，采购人将拒绝其投标文件：</w:t>
      </w:r>
    </w:p>
    <w:p w14:paraId="4C908749">
      <w:pPr>
        <w:spacing w:line="440" w:lineRule="exact"/>
        <w:ind w:firstLine="480" w:firstLineChars="20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投标人未按投标人须知前附表规定的时间内解密投标文件的。</w:t>
      </w:r>
    </w:p>
    <w:p w14:paraId="3438474D">
      <w:pPr>
        <w:spacing w:line="440" w:lineRule="exact"/>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5.4开标异议</w:t>
      </w:r>
      <w:bookmarkEnd w:id="153"/>
    </w:p>
    <w:p w14:paraId="59B59FE9">
      <w:pPr>
        <w:spacing w:line="440" w:lineRule="exact"/>
        <w:ind w:firstLine="480" w:firstLineChars="200"/>
        <w:outlineLvl w:val="9"/>
        <w:rPr>
          <w:rFonts w:hint="eastAsia" w:ascii="宋体" w:hAnsi="宋体" w:eastAsia="宋体" w:cs="宋体"/>
          <w:color w:val="auto"/>
          <w:sz w:val="24"/>
          <w:highlight w:val="none"/>
          <w:lang w:val="zh-CN"/>
        </w:rPr>
      </w:pPr>
      <w:bookmarkStart w:id="154" w:name="_Toc12881"/>
      <w:bookmarkStart w:id="155" w:name="_Toc21662"/>
      <w:bookmarkStart w:id="156" w:name="_Toc426369512"/>
      <w:bookmarkStart w:id="157" w:name="_Toc403122522"/>
      <w:r>
        <w:rPr>
          <w:rFonts w:hint="eastAsia" w:ascii="宋体" w:hAnsi="宋体" w:eastAsia="宋体" w:cs="宋体"/>
          <w:color w:val="auto"/>
          <w:sz w:val="24"/>
          <w:highlight w:val="none"/>
        </w:rPr>
        <w:t>5.4.1</w:t>
      </w:r>
      <w:r>
        <w:rPr>
          <w:rFonts w:hint="eastAsia" w:ascii="宋体" w:hAnsi="宋体" w:eastAsia="宋体" w:cs="宋体"/>
          <w:color w:val="auto"/>
          <w:sz w:val="24"/>
          <w:highlight w:val="none"/>
          <w:lang w:val="zh-CN"/>
        </w:rPr>
        <w:t>投标人对开标有异议的，应当在开标现场提出（</w:t>
      </w:r>
      <w:bookmarkStart w:id="158" w:name="_Toc12998"/>
      <w:r>
        <w:rPr>
          <w:rFonts w:hint="eastAsia" w:ascii="宋体" w:hAnsi="宋体" w:eastAsia="宋体" w:cs="宋体"/>
          <w:color w:val="auto"/>
          <w:sz w:val="24"/>
          <w:highlight w:val="none"/>
          <w:lang w:val="zh-CN"/>
        </w:rPr>
        <w:t>语音异议</w:t>
      </w:r>
      <w:bookmarkEnd w:id="158"/>
      <w:r>
        <w:rPr>
          <w:rFonts w:hint="eastAsia" w:ascii="宋体" w:hAnsi="宋体" w:eastAsia="宋体" w:cs="宋体"/>
          <w:color w:val="auto"/>
          <w:sz w:val="24"/>
          <w:highlight w:val="none"/>
          <w:lang w:val="zh-CN"/>
        </w:rPr>
        <w:t>、</w:t>
      </w:r>
      <w:bookmarkStart w:id="159" w:name="_Toc20745"/>
      <w:r>
        <w:rPr>
          <w:rFonts w:hint="eastAsia" w:ascii="宋体" w:hAnsi="宋体" w:eastAsia="宋体" w:cs="宋体"/>
          <w:color w:val="auto"/>
          <w:sz w:val="24"/>
          <w:highlight w:val="none"/>
          <w:lang w:val="zh-CN"/>
        </w:rPr>
        <w:t>文字异议</w:t>
      </w:r>
      <w:bookmarkEnd w:id="159"/>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采购</w:t>
      </w:r>
      <w:r>
        <w:rPr>
          <w:rFonts w:hint="eastAsia" w:ascii="宋体" w:hAnsi="宋体" w:eastAsia="宋体" w:cs="宋体"/>
          <w:color w:val="auto"/>
          <w:sz w:val="24"/>
          <w:highlight w:val="none"/>
          <w:lang w:val="zh-CN"/>
        </w:rPr>
        <w:t>人当场作出答复，并制作记录。</w:t>
      </w:r>
    </w:p>
    <w:p w14:paraId="37F38910">
      <w:pPr>
        <w:spacing w:line="440" w:lineRule="exact"/>
        <w:ind w:firstLine="480" w:firstLineChars="20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5.4.2</w:t>
      </w:r>
      <w:r>
        <w:rPr>
          <w:rFonts w:hint="eastAsia" w:ascii="宋体" w:hAnsi="宋体" w:eastAsia="宋体" w:cs="宋体"/>
          <w:color w:val="auto"/>
          <w:sz w:val="24"/>
          <w:highlight w:val="none"/>
          <w:lang w:val="zh-CN"/>
        </w:rPr>
        <w:t>开标异常处理</w:t>
      </w:r>
    </w:p>
    <w:p w14:paraId="427E89B2">
      <w:pPr>
        <w:spacing w:line="440" w:lineRule="exact"/>
        <w:ind w:firstLine="480" w:firstLineChars="20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当出现以下情况时，应对未开标的项目中止电子开标，对原有资料及信息作出妥善保密处理，并在恢复正常后及时安排时间开标：</w:t>
      </w:r>
    </w:p>
    <w:p w14:paraId="1DF3251C">
      <w:pPr>
        <w:spacing w:line="440" w:lineRule="exact"/>
        <w:ind w:firstLine="480" w:firstLineChars="20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）系统服务器发生故障，无法访问或无法使用系统；</w:t>
      </w:r>
    </w:p>
    <w:p w14:paraId="7C3778EC">
      <w:pPr>
        <w:spacing w:line="440" w:lineRule="exact"/>
        <w:ind w:firstLine="480" w:firstLineChars="20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系统的软件或数据库出现错误，不能进行正常操作；</w:t>
      </w:r>
    </w:p>
    <w:p w14:paraId="48B3CE62">
      <w:pPr>
        <w:spacing w:line="440" w:lineRule="exact"/>
        <w:ind w:firstLine="480" w:firstLineChars="20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）系统发现有安全漏洞，有潜在的泄密危险；</w:t>
      </w:r>
    </w:p>
    <w:p w14:paraId="6E01B0F7">
      <w:pPr>
        <w:spacing w:line="440" w:lineRule="exact"/>
        <w:ind w:firstLine="480" w:firstLineChars="20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）出现断电事故且短时间内无法恢复供电；</w:t>
      </w:r>
    </w:p>
    <w:p w14:paraId="3D98C32C">
      <w:pPr>
        <w:spacing w:line="440" w:lineRule="exact"/>
        <w:ind w:firstLine="480" w:firstLineChars="20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zh-CN"/>
        </w:rPr>
        <w:t>其他无法保证招投标过程正常进行的情形。</w:t>
      </w:r>
    </w:p>
    <w:p w14:paraId="054F5632">
      <w:pPr>
        <w:spacing w:line="440" w:lineRule="exact"/>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w:t>
      </w:r>
      <w:bookmarkStart w:id="160" w:name="_Toc13445"/>
      <w:bookmarkStart w:id="161" w:name="_Toc9927"/>
      <w:r>
        <w:rPr>
          <w:rFonts w:hint="eastAsia" w:ascii="宋体" w:hAnsi="宋体" w:eastAsia="宋体" w:cs="宋体"/>
          <w:b/>
          <w:bCs/>
          <w:color w:val="auto"/>
          <w:sz w:val="24"/>
          <w:highlight w:val="none"/>
        </w:rPr>
        <w:t>5 资格审查工作</w:t>
      </w:r>
      <w:bookmarkEnd w:id="160"/>
      <w:bookmarkEnd w:id="161"/>
    </w:p>
    <w:p w14:paraId="62B45504">
      <w:pPr>
        <w:spacing w:line="440" w:lineRule="exact"/>
        <w:ind w:firstLine="480" w:firstLineChars="200"/>
        <w:outlineLvl w:val="9"/>
        <w:rPr>
          <w:rFonts w:hint="eastAsia" w:ascii="宋体" w:hAnsi="宋体" w:eastAsia="宋体" w:cs="宋体"/>
          <w:color w:val="auto"/>
          <w:sz w:val="24"/>
          <w:highlight w:val="none"/>
        </w:rPr>
      </w:pPr>
      <w:bookmarkStart w:id="162" w:name="_Toc18888"/>
      <w:bookmarkStart w:id="163" w:name="_Toc25275"/>
      <w:bookmarkStart w:id="164" w:name="_Toc22488"/>
      <w:bookmarkStart w:id="165" w:name="_Toc15919"/>
      <w:bookmarkStart w:id="166" w:name="_Toc18803"/>
      <w:bookmarkStart w:id="167" w:name="_Toc18806"/>
      <w:bookmarkStart w:id="168" w:name="_Toc25448"/>
      <w:r>
        <w:rPr>
          <w:rFonts w:hint="eastAsia" w:ascii="宋体" w:hAnsi="宋体" w:eastAsia="宋体" w:cs="宋体"/>
          <w:color w:val="auto"/>
          <w:sz w:val="24"/>
          <w:highlight w:val="none"/>
          <w:lang w:val="zh-CN"/>
        </w:rPr>
        <w:t>采购人或代理机构根据有关法律法规和招标文件的规定，对投标人的资格进行审查，审查每个投标人提交的资格证明材料是否齐全、完整、合法、有效。资格性审查通过不足3家的，将不再进行下一步评审。</w:t>
      </w:r>
      <w:bookmarkEnd w:id="162"/>
      <w:bookmarkEnd w:id="163"/>
      <w:bookmarkEnd w:id="164"/>
      <w:bookmarkEnd w:id="165"/>
      <w:bookmarkEnd w:id="166"/>
      <w:bookmarkEnd w:id="167"/>
      <w:bookmarkEnd w:id="168"/>
    </w:p>
    <w:bookmarkEnd w:id="154"/>
    <w:bookmarkEnd w:id="155"/>
    <w:bookmarkEnd w:id="156"/>
    <w:bookmarkEnd w:id="157"/>
    <w:p w14:paraId="453372DC">
      <w:pPr>
        <w:pStyle w:val="3"/>
        <w:bidi w:val="0"/>
        <w:rPr>
          <w:rFonts w:hint="eastAsia" w:ascii="宋体" w:hAnsi="宋体" w:eastAsia="宋体" w:cs="宋体"/>
          <w:color w:val="auto"/>
          <w:highlight w:val="none"/>
        </w:rPr>
      </w:pPr>
      <w:bookmarkStart w:id="169" w:name="_Toc12876"/>
      <w:bookmarkStart w:id="170" w:name="_Toc426369513"/>
      <w:bookmarkStart w:id="171" w:name="_Toc403122523"/>
      <w:bookmarkStart w:id="172" w:name="_Toc279599802"/>
      <w:bookmarkStart w:id="173" w:name="_Toc274249606"/>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评</w:t>
      </w:r>
      <w:r>
        <w:rPr>
          <w:rFonts w:hint="eastAsia" w:ascii="宋体" w:hAnsi="宋体" w:eastAsia="宋体" w:cs="宋体"/>
          <w:color w:val="auto"/>
          <w:highlight w:val="none"/>
        </w:rPr>
        <w:t>标</w:t>
      </w:r>
      <w:bookmarkEnd w:id="169"/>
    </w:p>
    <w:p w14:paraId="6BE30DD1">
      <w:pPr>
        <w:spacing w:line="440" w:lineRule="exact"/>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6.1 评标委员会</w:t>
      </w:r>
      <w:bookmarkEnd w:id="170"/>
      <w:bookmarkEnd w:id="171"/>
      <w:bookmarkEnd w:id="172"/>
      <w:bookmarkEnd w:id="173"/>
    </w:p>
    <w:p w14:paraId="02E1C944">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6.1.1  评标由采购人依法组建的评标委员会负责。评标委员会由采购人代表和评审专家组成。评标委员会成员人数以及评审专家的确定方式见投标人须知前附表。</w:t>
      </w:r>
    </w:p>
    <w:p w14:paraId="735007AF">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6.1.2  评标委员会成员有下列情形之一的，应当回避： </w:t>
      </w:r>
    </w:p>
    <w:p w14:paraId="2F5F96F3">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（1）采购人或投标人的主要负责人的近亲属； </w:t>
      </w:r>
    </w:p>
    <w:p w14:paraId="1F0CB026">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（2）项目主管部门或者行政监督部门的人员； </w:t>
      </w:r>
    </w:p>
    <w:p w14:paraId="395D2C61">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（3）与投标人有经济利益关系，可能影响对投标公正评审的； </w:t>
      </w:r>
    </w:p>
    <w:p w14:paraId="4317594C">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（4）曾因在招标、评标以及其他与招标投标有关活动中从事违法行为而受过行政处罚或刑事处罚的。 </w:t>
      </w:r>
    </w:p>
    <w:p w14:paraId="0A73BAE5">
      <w:pPr>
        <w:spacing w:line="440" w:lineRule="exact"/>
        <w:ind w:firstLine="482" w:firstLineChars="200"/>
        <w:outlineLvl w:val="9"/>
        <w:rPr>
          <w:rFonts w:hint="eastAsia" w:ascii="宋体" w:hAnsi="宋体" w:eastAsia="宋体" w:cs="宋体"/>
          <w:b/>
          <w:bCs/>
          <w:color w:val="auto"/>
          <w:sz w:val="24"/>
          <w:highlight w:val="none"/>
        </w:rPr>
      </w:pPr>
      <w:bookmarkStart w:id="174" w:name="_Toc274249607"/>
      <w:bookmarkStart w:id="175" w:name="_Toc279599803"/>
      <w:bookmarkStart w:id="176" w:name="_Toc403122524"/>
      <w:bookmarkStart w:id="177" w:name="_Toc426369514"/>
      <w:r>
        <w:rPr>
          <w:rFonts w:hint="eastAsia" w:ascii="宋体" w:hAnsi="宋体" w:eastAsia="宋体" w:cs="宋体"/>
          <w:b/>
          <w:bCs/>
          <w:color w:val="auto"/>
          <w:sz w:val="24"/>
          <w:highlight w:val="none"/>
        </w:rPr>
        <w:t>6.2 评标原则</w:t>
      </w:r>
      <w:bookmarkEnd w:id="174"/>
      <w:bookmarkEnd w:id="175"/>
      <w:bookmarkEnd w:id="176"/>
      <w:bookmarkEnd w:id="177"/>
    </w:p>
    <w:p w14:paraId="0FC45BB6">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评标活动遵循公平、公正、科学和择优的原则。 </w:t>
      </w:r>
    </w:p>
    <w:p w14:paraId="337467C9">
      <w:pPr>
        <w:spacing w:line="440" w:lineRule="exact"/>
        <w:ind w:firstLine="482" w:firstLineChars="200"/>
        <w:outlineLvl w:val="9"/>
        <w:rPr>
          <w:rFonts w:hint="eastAsia" w:ascii="宋体" w:hAnsi="宋体" w:eastAsia="宋体" w:cs="宋体"/>
          <w:color w:val="auto"/>
          <w:sz w:val="24"/>
          <w:highlight w:val="none"/>
        </w:rPr>
      </w:pPr>
      <w:bookmarkStart w:id="178" w:name="_Toc274249608"/>
      <w:bookmarkStart w:id="179" w:name="_Toc279599804"/>
      <w:bookmarkStart w:id="180" w:name="_Toc426369515"/>
      <w:bookmarkStart w:id="181" w:name="_Toc403122525"/>
      <w:r>
        <w:rPr>
          <w:rFonts w:hint="eastAsia" w:ascii="宋体" w:hAnsi="宋体" w:eastAsia="宋体" w:cs="宋体"/>
          <w:b/>
          <w:bCs/>
          <w:color w:val="auto"/>
          <w:sz w:val="24"/>
          <w:highlight w:val="none"/>
        </w:rPr>
        <w:t>6.3 评标</w:t>
      </w:r>
      <w:bookmarkEnd w:id="178"/>
      <w:bookmarkEnd w:id="179"/>
      <w:bookmarkEnd w:id="180"/>
      <w:bookmarkEnd w:id="181"/>
    </w:p>
    <w:p w14:paraId="0A6334B8">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6.3.1在评审过程中，评标委员会发现投标人有下列情形之一的，视为投标人相互串通投标，按照无效投标处理并依据法律、法规追究其相关责任。具体表现形式如下：</w:t>
      </w:r>
    </w:p>
    <w:p w14:paraId="574F59BE">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（1）不同投标人的投标文件由同一单位或者个人编制；</w:t>
      </w:r>
    </w:p>
    <w:p w14:paraId="1FDD6148">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（2）不同投标人委托同一单位或者个人办理投标事宜；</w:t>
      </w:r>
    </w:p>
    <w:p w14:paraId="429EF3F7">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（3）不同投标人的投标文件载明的项目管理成员或者联系人员为同一人；</w:t>
      </w:r>
    </w:p>
    <w:p w14:paraId="30BC6DB6">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（4）不同投标人的投标文件异常一致或者投标报价呈规律性差异；</w:t>
      </w:r>
    </w:p>
    <w:p w14:paraId="70A639A8">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（5）不同投标人的投标文件相互混装；</w:t>
      </w:r>
    </w:p>
    <w:p w14:paraId="3F03FA63">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（6）有证据证明投标人与采购人、采购代理机构或者其他投标人串通的其他情形；</w:t>
      </w:r>
    </w:p>
    <w:p w14:paraId="7E2A749F">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6.3.2评标委员会应当按照招标文件中规定的评标方法和标准，对符合性审查合格的投标文件进行商务和技术评估，综合比较与评价。招标文件没有规定的评标方法、评审因素和标准，不作为评标依据。</w:t>
      </w:r>
    </w:p>
    <w:p w14:paraId="3147496B">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6.3.3评标时，评标委员会各成员应当独立对每个投标人的投标文件进行评价，并汇总每个投标人的得分。</w:t>
      </w:r>
    </w:p>
    <w:p w14:paraId="4DF4D3A2">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评标完成后，评标委员会应当向采购人提交书面评标报告和中标候选人名单。评标委员会推荐中标候选人的人数见投标人须知前附表。</w:t>
      </w:r>
    </w:p>
    <w:p w14:paraId="48068915">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6.3.4 评标委员会负责具体评标事务，并独立履行下列职责：</w:t>
      </w:r>
    </w:p>
    <w:p w14:paraId="618117CC">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（1）审查、评价投标文件是否符合招标文件的实质性要求；</w:t>
      </w:r>
    </w:p>
    <w:p w14:paraId="477F4609">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（2）要求投标人对投标文件有关事项作出澄清或者说明；</w:t>
      </w:r>
    </w:p>
    <w:p w14:paraId="40922ED7">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（3）对投标文件进行比较和评价；</w:t>
      </w:r>
    </w:p>
    <w:p w14:paraId="005CF478">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（4）确定中标候选人名单；</w:t>
      </w:r>
    </w:p>
    <w:p w14:paraId="54D2EA80">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（5）向采购人、采购代理机构或者有关部门报告评标中发现的违法行为。</w:t>
      </w:r>
    </w:p>
    <w:p w14:paraId="510355F9">
      <w:pPr>
        <w:autoSpaceDE w:val="0"/>
        <w:autoSpaceDN w:val="0"/>
        <w:adjustRightInd w:val="0"/>
        <w:spacing w:line="440" w:lineRule="exact"/>
        <w:ind w:left="237" w:right="-20"/>
        <w:jc w:val="left"/>
        <w:outlineLvl w:val="9"/>
        <w:rPr>
          <w:rFonts w:hint="eastAsia" w:ascii="宋体" w:hAnsi="宋体" w:eastAsia="宋体" w:cs="宋体"/>
          <w:b/>
          <w:bCs/>
          <w:color w:val="auto"/>
          <w:spacing w:val="1"/>
          <w:kern w:val="0"/>
          <w:sz w:val="24"/>
          <w:highlight w:val="none"/>
        </w:rPr>
      </w:pPr>
      <w:r>
        <w:rPr>
          <w:rFonts w:hint="eastAsia" w:ascii="宋体" w:hAnsi="宋体" w:eastAsia="宋体" w:cs="宋体"/>
          <w:b/>
          <w:bCs/>
          <w:color w:val="auto"/>
          <w:spacing w:val="1"/>
          <w:kern w:val="0"/>
          <w:sz w:val="24"/>
          <w:highlight w:val="none"/>
        </w:rPr>
        <w:t>6.4 废标</w:t>
      </w:r>
    </w:p>
    <w:p w14:paraId="1E265B9F">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招标采购中，出现下列情形之一的，应予废标：</w:t>
      </w:r>
    </w:p>
    <w:p w14:paraId="169147D8">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（1）符合专业条件的投标人或者对招标文件作实质响应的投标人不足三家的；</w:t>
      </w:r>
    </w:p>
    <w:p w14:paraId="63E18F10">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5A146BEB">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4BF029ED">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（4）因重大变故，采购任务取消的。废标后，采购人应当将废标理由通知所有投标人。</w:t>
      </w:r>
    </w:p>
    <w:p w14:paraId="4C70217F">
      <w:pPr>
        <w:pStyle w:val="3"/>
        <w:bidi w:val="0"/>
        <w:rPr>
          <w:rFonts w:hint="eastAsia" w:ascii="宋体" w:hAnsi="宋体" w:eastAsia="宋体" w:cs="宋体"/>
          <w:color w:val="auto"/>
          <w:highlight w:val="none"/>
        </w:rPr>
      </w:pPr>
      <w:bookmarkStart w:id="182" w:name="_Toc13980"/>
      <w:bookmarkStart w:id="183" w:name="_Toc403122526"/>
      <w:bookmarkStart w:id="184" w:name="_Toc22968"/>
      <w:bookmarkStart w:id="185" w:name="_Toc26569"/>
      <w:bookmarkStart w:id="186" w:name="_Toc17811"/>
      <w:bookmarkStart w:id="187" w:name="_Toc426369516"/>
      <w:bookmarkStart w:id="188" w:name="_Toc26823"/>
      <w:r>
        <w:rPr>
          <w:rFonts w:hint="eastAsia" w:ascii="宋体" w:hAnsi="宋体" w:eastAsia="宋体" w:cs="宋体"/>
          <w:color w:val="auto"/>
          <w:highlight w:val="none"/>
        </w:rPr>
        <w:t>7. 合同授予</w:t>
      </w:r>
      <w:bookmarkEnd w:id="182"/>
      <w:bookmarkEnd w:id="183"/>
      <w:bookmarkEnd w:id="184"/>
      <w:bookmarkEnd w:id="185"/>
      <w:bookmarkEnd w:id="186"/>
      <w:bookmarkEnd w:id="187"/>
      <w:bookmarkEnd w:id="188"/>
    </w:p>
    <w:p w14:paraId="10BCD3A6">
      <w:pPr>
        <w:spacing w:line="440" w:lineRule="exact"/>
        <w:ind w:firstLine="482" w:firstLineChars="200"/>
        <w:outlineLvl w:val="9"/>
        <w:rPr>
          <w:rFonts w:hint="eastAsia" w:ascii="宋体" w:hAnsi="宋体" w:eastAsia="宋体" w:cs="宋体"/>
          <w:b/>
          <w:bCs/>
          <w:color w:val="auto"/>
          <w:sz w:val="24"/>
          <w:highlight w:val="none"/>
        </w:rPr>
      </w:pPr>
      <w:bookmarkStart w:id="189" w:name="_Toc426369517"/>
      <w:bookmarkStart w:id="190" w:name="_Toc403122527"/>
      <w:bookmarkStart w:id="191" w:name="_Toc279599806"/>
      <w:bookmarkStart w:id="192" w:name="_Toc274249610"/>
      <w:r>
        <w:rPr>
          <w:rFonts w:hint="eastAsia" w:ascii="宋体" w:hAnsi="宋体" w:eastAsia="宋体" w:cs="宋体"/>
          <w:b/>
          <w:bCs/>
          <w:color w:val="auto"/>
          <w:sz w:val="24"/>
          <w:highlight w:val="none"/>
        </w:rPr>
        <w:t>7.1 定标方式</w:t>
      </w:r>
      <w:bookmarkEnd w:id="189"/>
      <w:bookmarkEnd w:id="190"/>
      <w:bookmarkEnd w:id="191"/>
      <w:bookmarkEnd w:id="192"/>
    </w:p>
    <w:p w14:paraId="4A009A58">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7.1.1采购人依据评标委员会推荐的中标候选人确定中标人，评标委员会推荐中标人候选人的人数见投标人须知前附表。</w:t>
      </w:r>
    </w:p>
    <w:p w14:paraId="7D839F98">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7.1.2 中标或者成交投标人拒绝与采购人签订合同的，采购人可以按照评标报告推荐的中标或者成交候选人名单排序，确定下一候选人为中标或者成交投标人，也可以重新开展政府采购活动。</w:t>
      </w:r>
    </w:p>
    <w:p w14:paraId="7137944E">
      <w:pPr>
        <w:spacing w:line="440" w:lineRule="exact"/>
        <w:ind w:firstLine="482" w:firstLineChars="200"/>
        <w:outlineLvl w:val="9"/>
        <w:rPr>
          <w:rFonts w:hint="eastAsia" w:ascii="宋体" w:hAnsi="宋体" w:eastAsia="宋体" w:cs="宋体"/>
          <w:b/>
          <w:bCs/>
          <w:color w:val="auto"/>
          <w:sz w:val="24"/>
          <w:highlight w:val="none"/>
        </w:rPr>
      </w:pPr>
      <w:bookmarkStart w:id="193" w:name="_Toc274249611"/>
      <w:bookmarkStart w:id="194" w:name="_Toc426369518"/>
      <w:bookmarkStart w:id="195" w:name="_Toc279599807"/>
      <w:bookmarkStart w:id="196" w:name="_Toc403122528"/>
      <w:r>
        <w:rPr>
          <w:rFonts w:hint="eastAsia" w:ascii="宋体" w:hAnsi="宋体" w:eastAsia="宋体" w:cs="宋体"/>
          <w:b/>
          <w:bCs/>
          <w:color w:val="auto"/>
          <w:sz w:val="24"/>
          <w:highlight w:val="none"/>
        </w:rPr>
        <w:t>7.2 中标通知</w:t>
      </w:r>
      <w:bookmarkEnd w:id="193"/>
      <w:bookmarkEnd w:id="194"/>
      <w:bookmarkEnd w:id="195"/>
      <w:bookmarkEnd w:id="196"/>
    </w:p>
    <w:p w14:paraId="291058EB">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7.2.1 在本章第3.3款规定的投标有效期内，采购人以书面形式向中标人发出中标通知书，同时将中标结果通知未中标的投标人。 </w:t>
      </w:r>
    </w:p>
    <w:p w14:paraId="293C68D4">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7.2.2中标人在领取中标通知书后应及时到相关部门办理中标后的备案手续。</w:t>
      </w:r>
    </w:p>
    <w:p w14:paraId="6B4B7EC5">
      <w:pPr>
        <w:spacing w:line="440" w:lineRule="exact"/>
        <w:ind w:firstLine="482" w:firstLineChars="200"/>
        <w:outlineLvl w:val="9"/>
        <w:rPr>
          <w:rFonts w:hint="default" w:ascii="宋体" w:hAnsi="宋体" w:eastAsia="宋体" w:cs="宋体"/>
          <w:b/>
          <w:bCs/>
          <w:color w:val="auto"/>
          <w:sz w:val="24"/>
          <w:highlight w:val="none"/>
          <w:lang w:val="en-US" w:eastAsia="zh-CN"/>
        </w:rPr>
      </w:pPr>
      <w:bookmarkStart w:id="197" w:name="_Toc274249612"/>
      <w:bookmarkStart w:id="198" w:name="_Toc279599808"/>
      <w:bookmarkStart w:id="199" w:name="_Toc311550376"/>
      <w:bookmarkStart w:id="200" w:name="_Toc403122529"/>
      <w:bookmarkStart w:id="201" w:name="_Toc426369519"/>
      <w:r>
        <w:rPr>
          <w:rFonts w:hint="eastAsia" w:ascii="宋体" w:hAnsi="宋体" w:eastAsia="宋体" w:cs="宋体"/>
          <w:b/>
          <w:bCs/>
          <w:color w:val="auto"/>
          <w:sz w:val="24"/>
          <w:highlight w:val="none"/>
        </w:rPr>
        <w:t>7.3履约</w:t>
      </w:r>
      <w:bookmarkEnd w:id="197"/>
      <w:bookmarkEnd w:id="198"/>
      <w:bookmarkEnd w:id="199"/>
      <w:r>
        <w:rPr>
          <w:rFonts w:hint="eastAsia" w:ascii="宋体" w:hAnsi="宋体" w:eastAsia="宋体" w:cs="宋体"/>
          <w:b/>
          <w:bCs/>
          <w:color w:val="auto"/>
          <w:sz w:val="24"/>
          <w:highlight w:val="none"/>
        </w:rPr>
        <w:t>保证金</w:t>
      </w:r>
      <w:bookmarkEnd w:id="200"/>
      <w:bookmarkEnd w:id="201"/>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投标保证金</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质量保证金</w:t>
      </w:r>
    </w:p>
    <w:p w14:paraId="085BF9BF">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7.3.1履约保证金：无</w:t>
      </w:r>
    </w:p>
    <w:p w14:paraId="719392AA">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7.3.2投标保证金：无</w:t>
      </w:r>
    </w:p>
    <w:p w14:paraId="0822EB54">
      <w:pPr>
        <w:spacing w:line="500" w:lineRule="exact"/>
        <w:ind w:firstLine="480" w:firstLineChars="200"/>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7.3.3质量保证金：无</w:t>
      </w:r>
    </w:p>
    <w:p w14:paraId="762AAA78">
      <w:pPr>
        <w:spacing w:line="440" w:lineRule="exact"/>
        <w:ind w:firstLine="482" w:firstLineChars="200"/>
        <w:outlineLvl w:val="9"/>
        <w:rPr>
          <w:rFonts w:hint="eastAsia" w:ascii="宋体" w:hAnsi="宋体" w:eastAsia="宋体" w:cs="宋体"/>
          <w:b/>
          <w:bCs/>
          <w:color w:val="auto"/>
          <w:sz w:val="24"/>
          <w:highlight w:val="none"/>
        </w:rPr>
      </w:pPr>
      <w:bookmarkStart w:id="202" w:name="_Toc403122530"/>
      <w:bookmarkStart w:id="203" w:name="_Toc279599809"/>
      <w:bookmarkStart w:id="204" w:name="_Toc426369520"/>
      <w:bookmarkStart w:id="205" w:name="_Toc274249613"/>
      <w:r>
        <w:rPr>
          <w:rFonts w:hint="eastAsia" w:ascii="宋体" w:hAnsi="宋体" w:eastAsia="宋体" w:cs="宋体"/>
          <w:b/>
          <w:bCs/>
          <w:color w:val="auto"/>
          <w:sz w:val="24"/>
          <w:highlight w:val="none"/>
        </w:rPr>
        <w:t>7.4 签订合同</w:t>
      </w:r>
      <w:bookmarkEnd w:id="202"/>
      <w:bookmarkEnd w:id="203"/>
      <w:bookmarkEnd w:id="204"/>
      <w:bookmarkEnd w:id="205"/>
    </w:p>
    <w:p w14:paraId="0BA062A2">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7.4.1 中标人的投标报价为中标价，中标价即为合同价（当中标人的投标报价高于控制价的95%时，该中标人的中标价按控制价的95%执行）。采购人和中标人应当自中标通知书发出之日起15日内，根据招标文件和中标人的投标文件订立书面合同。非因不可抗力因素放弃中标的，或排名第一的中标候选人未按规定期限与采购人签订合同的，应赔偿采购人由此造成的损失，损失费的计算方法为该中标候选人的投标价与重新确定的中标人中标价的差额，并处以采购金额千分之五以上千分之十以下罚款，将其列入不良行为记录名单，在1至3年内禁止参加政府采购活动，并予以通报。</w:t>
      </w:r>
    </w:p>
    <w:p w14:paraId="76D8705A">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7.4.2合同签订后，采购人要在</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个工作日内将采购合同在焦作市政府采购网公示并备案；</w:t>
      </w:r>
    </w:p>
    <w:p w14:paraId="6141A18C">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7.4.3发出中标通知书后，采购人无正当理由拒签合同的，给中标人造成损失的，还应当赔偿损失。</w:t>
      </w:r>
    </w:p>
    <w:p w14:paraId="3A516B68">
      <w:pPr>
        <w:pStyle w:val="3"/>
        <w:bidi w:val="0"/>
        <w:rPr>
          <w:rFonts w:hint="eastAsia" w:ascii="宋体" w:hAnsi="宋体" w:eastAsia="宋体" w:cs="宋体"/>
          <w:color w:val="auto"/>
          <w:highlight w:val="none"/>
        </w:rPr>
      </w:pPr>
      <w:bookmarkStart w:id="206" w:name="_Toc10417"/>
      <w:bookmarkStart w:id="207" w:name="_Toc10012"/>
      <w:bookmarkStart w:id="208" w:name="_Toc403122531"/>
      <w:bookmarkStart w:id="209" w:name="_Toc25441"/>
      <w:bookmarkStart w:id="210" w:name="_Toc30009"/>
      <w:bookmarkStart w:id="211" w:name="_Toc426369521"/>
      <w:bookmarkStart w:id="212" w:name="_Toc10541"/>
      <w:r>
        <w:rPr>
          <w:rFonts w:hint="eastAsia" w:ascii="宋体" w:hAnsi="宋体" w:eastAsia="宋体" w:cs="宋体"/>
          <w:color w:val="auto"/>
          <w:highlight w:val="none"/>
        </w:rPr>
        <w:t>8. 重新招标</w:t>
      </w:r>
      <w:bookmarkEnd w:id="206"/>
      <w:bookmarkEnd w:id="207"/>
      <w:bookmarkEnd w:id="208"/>
      <w:bookmarkEnd w:id="209"/>
      <w:bookmarkEnd w:id="210"/>
      <w:bookmarkEnd w:id="211"/>
      <w:bookmarkEnd w:id="212"/>
    </w:p>
    <w:p w14:paraId="4CFA1BDD">
      <w:pPr>
        <w:spacing w:line="440" w:lineRule="exact"/>
        <w:ind w:firstLine="482" w:firstLineChars="200"/>
        <w:outlineLvl w:val="9"/>
        <w:rPr>
          <w:rFonts w:hint="eastAsia" w:ascii="宋体" w:hAnsi="宋体" w:eastAsia="宋体" w:cs="宋体"/>
          <w:b/>
          <w:bCs/>
          <w:color w:val="auto"/>
          <w:sz w:val="24"/>
          <w:highlight w:val="none"/>
        </w:rPr>
      </w:pPr>
      <w:bookmarkStart w:id="213" w:name="_Toc274249615"/>
      <w:bookmarkStart w:id="214" w:name="_Toc403122532"/>
      <w:bookmarkStart w:id="215" w:name="_Toc426369522"/>
      <w:bookmarkStart w:id="216" w:name="_Toc279599811"/>
      <w:r>
        <w:rPr>
          <w:rFonts w:hint="eastAsia" w:ascii="宋体" w:hAnsi="宋体" w:eastAsia="宋体" w:cs="宋体"/>
          <w:b/>
          <w:bCs/>
          <w:color w:val="auto"/>
          <w:sz w:val="24"/>
          <w:highlight w:val="none"/>
        </w:rPr>
        <w:t>8.1 重新招标</w:t>
      </w:r>
      <w:bookmarkEnd w:id="213"/>
      <w:bookmarkEnd w:id="214"/>
      <w:bookmarkEnd w:id="215"/>
      <w:bookmarkEnd w:id="216"/>
    </w:p>
    <w:p w14:paraId="5D7AE87B">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有下列情形之一的，采购人将重新招标： </w:t>
      </w:r>
    </w:p>
    <w:p w14:paraId="38C71611">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（1）投标截止时间止，投标人少于3个的； </w:t>
      </w:r>
    </w:p>
    <w:p w14:paraId="05A391CF">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（2）经评标委员会评审后否决所有投标的。 </w:t>
      </w:r>
    </w:p>
    <w:p w14:paraId="13237706">
      <w:pPr>
        <w:pStyle w:val="3"/>
        <w:bidi w:val="0"/>
        <w:rPr>
          <w:rFonts w:hint="eastAsia" w:ascii="宋体" w:hAnsi="宋体" w:eastAsia="宋体" w:cs="宋体"/>
          <w:color w:val="auto"/>
          <w:highlight w:val="none"/>
        </w:rPr>
      </w:pPr>
      <w:bookmarkStart w:id="217" w:name="_Toc5991"/>
      <w:bookmarkStart w:id="218" w:name="_Toc21696"/>
      <w:bookmarkStart w:id="219" w:name="_Toc27398"/>
      <w:bookmarkStart w:id="220" w:name="_Toc3760"/>
      <w:bookmarkStart w:id="221" w:name="_Toc403122533"/>
      <w:bookmarkStart w:id="222" w:name="_Toc10372"/>
      <w:bookmarkStart w:id="223" w:name="_Toc426369523"/>
      <w:r>
        <w:rPr>
          <w:rFonts w:hint="eastAsia" w:ascii="宋体" w:hAnsi="宋体" w:eastAsia="宋体" w:cs="宋体"/>
          <w:color w:val="auto"/>
          <w:highlight w:val="none"/>
        </w:rPr>
        <w:t>9. 纪律和监督</w:t>
      </w:r>
      <w:bookmarkEnd w:id="217"/>
      <w:bookmarkEnd w:id="218"/>
      <w:bookmarkEnd w:id="219"/>
      <w:bookmarkEnd w:id="220"/>
      <w:bookmarkEnd w:id="221"/>
      <w:bookmarkEnd w:id="222"/>
      <w:bookmarkEnd w:id="223"/>
    </w:p>
    <w:p w14:paraId="4F264A4A">
      <w:pPr>
        <w:spacing w:line="440" w:lineRule="exact"/>
        <w:ind w:firstLine="482" w:firstLineChars="200"/>
        <w:outlineLvl w:val="9"/>
        <w:rPr>
          <w:rFonts w:hint="eastAsia" w:ascii="宋体" w:hAnsi="宋体" w:eastAsia="宋体" w:cs="宋体"/>
          <w:b/>
          <w:bCs/>
          <w:color w:val="auto"/>
          <w:sz w:val="24"/>
          <w:highlight w:val="none"/>
        </w:rPr>
      </w:pPr>
      <w:bookmarkStart w:id="224" w:name="_Toc274249618"/>
      <w:bookmarkStart w:id="225" w:name="_Toc279599814"/>
      <w:bookmarkStart w:id="226" w:name="_Toc426369524"/>
      <w:bookmarkStart w:id="227" w:name="_Toc403122534"/>
      <w:r>
        <w:rPr>
          <w:rFonts w:hint="eastAsia" w:ascii="宋体" w:hAnsi="宋体" w:eastAsia="宋体" w:cs="宋体"/>
          <w:b/>
          <w:bCs/>
          <w:color w:val="auto"/>
          <w:sz w:val="24"/>
          <w:highlight w:val="none"/>
        </w:rPr>
        <w:t>9.1 对采购人的纪律要求</w:t>
      </w:r>
      <w:bookmarkEnd w:id="224"/>
      <w:bookmarkEnd w:id="225"/>
      <w:bookmarkEnd w:id="226"/>
      <w:bookmarkEnd w:id="227"/>
    </w:p>
    <w:p w14:paraId="040BB4EE">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采购人不得泄漏招标投标活动中应当保密的情况和资料，不得与投标人串通损害国家利益、社会公共利益或者他人合法权益。 </w:t>
      </w:r>
    </w:p>
    <w:p w14:paraId="335B3F0E">
      <w:pPr>
        <w:spacing w:line="440" w:lineRule="exact"/>
        <w:ind w:firstLine="482" w:firstLineChars="200"/>
        <w:outlineLvl w:val="9"/>
        <w:rPr>
          <w:rFonts w:hint="eastAsia" w:ascii="宋体" w:hAnsi="宋体" w:eastAsia="宋体" w:cs="宋体"/>
          <w:b/>
          <w:bCs/>
          <w:color w:val="auto"/>
          <w:sz w:val="24"/>
          <w:highlight w:val="none"/>
        </w:rPr>
      </w:pPr>
      <w:bookmarkStart w:id="228" w:name="_Toc274249619"/>
      <w:bookmarkStart w:id="229" w:name="_Toc279599815"/>
      <w:bookmarkStart w:id="230" w:name="_Toc426369525"/>
      <w:bookmarkStart w:id="231" w:name="_Toc403122535"/>
      <w:r>
        <w:rPr>
          <w:rFonts w:hint="eastAsia" w:ascii="宋体" w:hAnsi="宋体" w:eastAsia="宋体" w:cs="宋体"/>
          <w:b/>
          <w:bCs/>
          <w:color w:val="auto"/>
          <w:sz w:val="24"/>
          <w:highlight w:val="none"/>
        </w:rPr>
        <w:t>9.2 对投标人的纪律要求</w:t>
      </w:r>
      <w:bookmarkEnd w:id="228"/>
      <w:bookmarkEnd w:id="229"/>
      <w:bookmarkEnd w:id="230"/>
      <w:bookmarkEnd w:id="231"/>
    </w:p>
    <w:p w14:paraId="3E0B7380">
      <w:pPr>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0E3A35A6">
      <w:pPr>
        <w:spacing w:line="440" w:lineRule="exact"/>
        <w:ind w:firstLine="482" w:firstLineChars="200"/>
        <w:outlineLvl w:val="9"/>
        <w:rPr>
          <w:rFonts w:hint="eastAsia" w:ascii="宋体" w:hAnsi="宋体" w:eastAsia="宋体" w:cs="宋体"/>
          <w:b/>
          <w:bCs/>
          <w:color w:val="auto"/>
          <w:sz w:val="24"/>
          <w:highlight w:val="none"/>
        </w:rPr>
      </w:pPr>
      <w:bookmarkStart w:id="232" w:name="_Toc279599816"/>
      <w:bookmarkStart w:id="233" w:name="_Toc274249620"/>
      <w:bookmarkStart w:id="234" w:name="_Toc426369526"/>
      <w:bookmarkStart w:id="235" w:name="_Toc403122536"/>
      <w:r>
        <w:rPr>
          <w:rFonts w:hint="eastAsia" w:ascii="宋体" w:hAnsi="宋体" w:eastAsia="宋体" w:cs="宋体"/>
          <w:b/>
          <w:bCs/>
          <w:color w:val="auto"/>
          <w:sz w:val="24"/>
          <w:highlight w:val="none"/>
        </w:rPr>
        <w:t>9.3 对评标委员会成员的纪律要求</w:t>
      </w:r>
      <w:bookmarkEnd w:id="232"/>
      <w:bookmarkEnd w:id="233"/>
      <w:bookmarkEnd w:id="234"/>
      <w:bookmarkEnd w:id="235"/>
    </w:p>
    <w:p w14:paraId="58B4D5F4">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14:paraId="7BFC7847">
      <w:pPr>
        <w:spacing w:line="500" w:lineRule="exact"/>
        <w:ind w:firstLine="482" w:firstLineChars="200"/>
        <w:outlineLvl w:val="9"/>
        <w:rPr>
          <w:rFonts w:hint="eastAsia" w:ascii="宋体" w:hAnsi="宋体" w:eastAsia="宋体" w:cs="宋体"/>
          <w:b/>
          <w:bCs/>
          <w:color w:val="auto"/>
          <w:sz w:val="24"/>
          <w:highlight w:val="none"/>
        </w:rPr>
      </w:pPr>
      <w:bookmarkStart w:id="236" w:name="_Toc279599817"/>
      <w:bookmarkStart w:id="237" w:name="_Toc403122537"/>
      <w:bookmarkStart w:id="238" w:name="_Toc274249621"/>
      <w:bookmarkStart w:id="239" w:name="_Toc426369527"/>
      <w:r>
        <w:rPr>
          <w:rFonts w:hint="eastAsia" w:ascii="宋体" w:hAnsi="宋体" w:eastAsia="宋体" w:cs="宋体"/>
          <w:b/>
          <w:bCs/>
          <w:color w:val="auto"/>
          <w:sz w:val="24"/>
          <w:highlight w:val="none"/>
        </w:rPr>
        <w:t>9.4 对与评标活动有关的工作人员的纪律要求</w:t>
      </w:r>
      <w:bookmarkEnd w:id="236"/>
      <w:bookmarkEnd w:id="237"/>
      <w:bookmarkEnd w:id="238"/>
      <w:bookmarkEnd w:id="239"/>
    </w:p>
    <w:p w14:paraId="3F252016">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1B54A2CE">
      <w:pPr>
        <w:spacing w:line="500" w:lineRule="exact"/>
        <w:ind w:firstLine="482" w:firstLineChars="200"/>
        <w:outlineLvl w:val="9"/>
        <w:rPr>
          <w:rFonts w:hint="eastAsia" w:ascii="宋体" w:hAnsi="宋体" w:eastAsia="宋体" w:cs="宋体"/>
          <w:b/>
          <w:bCs/>
          <w:color w:val="auto"/>
          <w:sz w:val="24"/>
          <w:highlight w:val="none"/>
        </w:rPr>
      </w:pPr>
      <w:bookmarkStart w:id="240" w:name="_Toc426369528"/>
      <w:bookmarkStart w:id="241" w:name="_Toc274249622"/>
      <w:bookmarkStart w:id="242" w:name="_Toc279599818"/>
      <w:bookmarkStart w:id="243" w:name="_Toc403122538"/>
      <w:r>
        <w:rPr>
          <w:rFonts w:hint="eastAsia" w:ascii="宋体" w:hAnsi="宋体" w:eastAsia="宋体" w:cs="宋体"/>
          <w:b/>
          <w:bCs/>
          <w:color w:val="auto"/>
          <w:sz w:val="24"/>
          <w:highlight w:val="none"/>
        </w:rPr>
        <w:t>9.5 投诉</w:t>
      </w:r>
      <w:bookmarkEnd w:id="240"/>
      <w:bookmarkEnd w:id="241"/>
      <w:bookmarkEnd w:id="242"/>
      <w:bookmarkEnd w:id="243"/>
    </w:p>
    <w:p w14:paraId="0A1F3F96">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投标人和其他利害关系人认为本次招标活动违反法律、法规和规章规定的，有权向有关行政监督部门投诉。</w:t>
      </w:r>
    </w:p>
    <w:p w14:paraId="25BB5009">
      <w:pPr>
        <w:pStyle w:val="3"/>
        <w:bidi w:val="0"/>
        <w:rPr>
          <w:rFonts w:hint="eastAsia" w:ascii="宋体" w:hAnsi="宋体" w:eastAsia="宋体" w:cs="宋体"/>
          <w:color w:val="auto"/>
          <w:highlight w:val="none"/>
        </w:rPr>
      </w:pPr>
      <w:bookmarkStart w:id="244" w:name="_Toc25080"/>
      <w:bookmarkStart w:id="245" w:name="_Toc22016"/>
      <w:bookmarkStart w:id="246" w:name="_Toc403122539"/>
      <w:bookmarkStart w:id="247" w:name="_Toc13281"/>
      <w:bookmarkStart w:id="248" w:name="_Toc10880"/>
      <w:bookmarkStart w:id="249" w:name="_Toc426369529"/>
      <w:bookmarkStart w:id="250" w:name="_Toc16026"/>
      <w:r>
        <w:rPr>
          <w:rFonts w:hint="eastAsia" w:ascii="宋体" w:hAnsi="宋体" w:eastAsia="宋体" w:cs="宋体"/>
          <w:color w:val="auto"/>
          <w:highlight w:val="none"/>
        </w:rPr>
        <w:t>10. 需要补充的其他内容</w:t>
      </w:r>
      <w:bookmarkEnd w:id="244"/>
      <w:bookmarkEnd w:id="245"/>
      <w:bookmarkEnd w:id="246"/>
      <w:bookmarkEnd w:id="247"/>
      <w:bookmarkEnd w:id="248"/>
      <w:bookmarkEnd w:id="249"/>
      <w:bookmarkEnd w:id="250"/>
    </w:p>
    <w:p w14:paraId="0D132CD8">
      <w:pPr>
        <w:autoSpaceDE w:val="0"/>
        <w:autoSpaceDN w:val="0"/>
        <w:adjustRightInd w:val="0"/>
        <w:spacing w:line="500" w:lineRule="exact"/>
        <w:ind w:firstLine="482" w:firstLineChars="200"/>
        <w:outlineLvl w:val="9"/>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10.1 费用承担</w:t>
      </w:r>
    </w:p>
    <w:p w14:paraId="42D7D4F1">
      <w:pPr>
        <w:autoSpaceDE w:val="0"/>
        <w:autoSpaceDN w:val="0"/>
        <w:adjustRightInd w:val="0"/>
        <w:spacing w:line="440" w:lineRule="exact"/>
        <w:ind w:left="17" w:leftChars="8"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（1）无论投标结果如何，投标人应自行承担所有参与投标的全部费用，采购人和采购代理机构在任何情况下均无义务和责任承担上述费用。</w:t>
      </w:r>
    </w:p>
    <w:p w14:paraId="4CCE712C">
      <w:pPr>
        <w:autoSpaceDE w:val="0"/>
        <w:autoSpaceDN w:val="0"/>
        <w:adjustRightInd w:val="0"/>
        <w:spacing w:line="440" w:lineRule="exact"/>
        <w:ind w:firstLine="42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（2）招标代理服务费由中标人支付。</w:t>
      </w:r>
    </w:p>
    <w:p w14:paraId="5F324C36">
      <w:pPr>
        <w:autoSpaceDE w:val="0"/>
        <w:autoSpaceDN w:val="0"/>
        <w:adjustRightInd w:val="0"/>
        <w:spacing w:line="440" w:lineRule="exact"/>
        <w:ind w:left="17" w:leftChars="8"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（3）投标人与采购人签订合同后，将合同报采购代理机构备案。</w:t>
      </w:r>
    </w:p>
    <w:p w14:paraId="3FE7D2F5">
      <w:pPr>
        <w:autoSpaceDE w:val="0"/>
        <w:autoSpaceDN w:val="0"/>
        <w:adjustRightInd w:val="0"/>
        <w:spacing w:line="440" w:lineRule="exact"/>
        <w:ind w:left="17" w:leftChars="8" w:firstLine="482" w:firstLineChars="200"/>
        <w:jc w:val="left"/>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10.2本招标文件未尽事宜，按《中华人民共和国政府采购法》等法律法规的有关规定执行。</w:t>
      </w:r>
    </w:p>
    <w:p w14:paraId="71559DC3">
      <w:pPr>
        <w:autoSpaceDE w:val="0"/>
        <w:autoSpaceDN w:val="0"/>
        <w:adjustRightInd w:val="0"/>
        <w:spacing w:line="440" w:lineRule="exact"/>
        <w:ind w:left="17" w:leftChars="8" w:firstLine="480" w:firstLineChars="200"/>
        <w:jc w:val="left"/>
        <w:outlineLvl w:val="9"/>
        <w:rPr>
          <w:rFonts w:hint="eastAsia" w:ascii="宋体" w:hAnsi="宋体" w:eastAsia="宋体" w:cs="宋体"/>
          <w:color w:val="auto"/>
          <w:sz w:val="24"/>
          <w:highlight w:val="none"/>
        </w:rPr>
      </w:pPr>
    </w:p>
    <w:p w14:paraId="279A4AF4">
      <w:pPr>
        <w:ind w:firstLine="481"/>
        <w:outlineLvl w:val="9"/>
        <w:rPr>
          <w:rFonts w:hint="eastAsia" w:ascii="宋体" w:hAnsi="宋体" w:eastAsia="宋体" w:cs="宋体"/>
          <w:b/>
          <w:bCs/>
          <w:color w:val="auto"/>
          <w:sz w:val="24"/>
          <w:highlight w:val="none"/>
        </w:rPr>
      </w:pPr>
    </w:p>
    <w:p w14:paraId="725FEEF9">
      <w:pPr>
        <w:pStyle w:val="17"/>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52C6149">
      <w:pPr>
        <w:pStyle w:val="2"/>
        <w:numPr>
          <w:ilvl w:val="0"/>
          <w:numId w:val="7"/>
        </w:numPr>
        <w:bidi w:val="0"/>
        <w:rPr>
          <w:rFonts w:hint="eastAsia" w:ascii="宋体" w:hAnsi="宋体" w:eastAsia="宋体" w:cs="宋体"/>
          <w:color w:val="auto"/>
          <w:highlight w:val="none"/>
        </w:rPr>
      </w:pPr>
      <w:bookmarkStart w:id="251" w:name="_Toc426369530"/>
      <w:bookmarkStart w:id="252" w:name="_Toc403122540"/>
      <w:bookmarkStart w:id="253" w:name="_Toc28433"/>
      <w:bookmarkStart w:id="254" w:name="_Toc8251"/>
      <w:bookmarkStart w:id="255" w:name="_Toc25260"/>
      <w:bookmarkStart w:id="256" w:name="_Toc11554"/>
      <w:r>
        <w:rPr>
          <w:rFonts w:hint="eastAsia" w:ascii="宋体" w:hAnsi="宋体" w:eastAsia="宋体" w:cs="宋体"/>
          <w:color w:val="auto"/>
          <w:highlight w:val="none"/>
        </w:rPr>
        <w:t>评标办法</w:t>
      </w:r>
      <w:bookmarkEnd w:id="251"/>
      <w:bookmarkEnd w:id="252"/>
      <w:bookmarkEnd w:id="253"/>
      <w:r>
        <w:rPr>
          <w:rFonts w:hint="eastAsia" w:ascii="宋体" w:hAnsi="宋体" w:eastAsia="宋体" w:cs="宋体"/>
          <w:color w:val="auto"/>
          <w:highlight w:val="none"/>
        </w:rPr>
        <w:t>（综合评分法）</w:t>
      </w:r>
      <w:bookmarkEnd w:id="254"/>
      <w:bookmarkEnd w:id="255"/>
      <w:bookmarkEnd w:id="256"/>
    </w:p>
    <w:tbl>
      <w:tblPr>
        <w:tblStyle w:val="34"/>
        <w:tblpPr w:leftFromText="180" w:rightFromText="180" w:vertAnchor="text" w:horzAnchor="page" w:tblpX="1060" w:tblpY="553"/>
        <w:tblOverlap w:val="never"/>
        <w:tblW w:w="9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1009"/>
        <w:gridCol w:w="2822"/>
        <w:gridCol w:w="4994"/>
      </w:tblGrid>
      <w:tr w14:paraId="04CF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1153" w:type="dxa"/>
            <w:vAlign w:val="center"/>
          </w:tcPr>
          <w:p w14:paraId="079CF92A">
            <w:pPr>
              <w:spacing w:line="440" w:lineRule="exact"/>
              <w:jc w:val="center"/>
              <w:outlineLvl w:val="9"/>
              <w:rPr>
                <w:rFonts w:hint="eastAsia" w:ascii="宋体" w:hAnsi="宋体" w:eastAsia="宋体" w:cs="宋体"/>
                <w:b/>
                <w:color w:val="auto"/>
                <w:sz w:val="24"/>
                <w:highlight w:val="none"/>
              </w:rPr>
            </w:pPr>
            <w:bookmarkStart w:id="257" w:name="_Toc29947"/>
            <w:bookmarkStart w:id="258" w:name="_Toc30933"/>
            <w:bookmarkStart w:id="259" w:name="_Toc21885"/>
            <w:bookmarkStart w:id="260" w:name="_Toc17859"/>
            <w:bookmarkStart w:id="261" w:name="_Toc9561"/>
            <w:bookmarkStart w:id="262" w:name="_Toc16529"/>
            <w:bookmarkStart w:id="263" w:name="_Toc2761070"/>
            <w:r>
              <w:rPr>
                <w:rFonts w:hint="eastAsia" w:ascii="宋体" w:hAnsi="宋体" w:eastAsia="宋体" w:cs="宋体"/>
                <w:b/>
                <w:bCs/>
                <w:color w:val="auto"/>
                <w:sz w:val="24"/>
                <w:highlight w:val="none"/>
              </w:rPr>
              <w:t>审查主体</w:t>
            </w:r>
          </w:p>
        </w:tc>
        <w:tc>
          <w:tcPr>
            <w:tcW w:w="3831" w:type="dxa"/>
            <w:gridSpan w:val="2"/>
            <w:vAlign w:val="center"/>
          </w:tcPr>
          <w:p w14:paraId="22184C8D">
            <w:pPr>
              <w:spacing w:line="440" w:lineRule="exact"/>
              <w:ind w:firstLine="562"/>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评审因素</w:t>
            </w:r>
          </w:p>
        </w:tc>
        <w:tc>
          <w:tcPr>
            <w:tcW w:w="4994" w:type="dxa"/>
            <w:vAlign w:val="center"/>
          </w:tcPr>
          <w:p w14:paraId="759FE7E4">
            <w:pPr>
              <w:tabs>
                <w:tab w:val="left" w:pos="417"/>
                <w:tab w:val="center" w:pos="2999"/>
              </w:tabs>
              <w:spacing w:line="440" w:lineRule="exact"/>
              <w:ind w:firstLine="562"/>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评审标准</w:t>
            </w:r>
          </w:p>
        </w:tc>
      </w:tr>
      <w:tr w14:paraId="649E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153" w:type="dxa"/>
            <w:vMerge w:val="restart"/>
            <w:vAlign w:val="center"/>
          </w:tcPr>
          <w:p w14:paraId="724DE9E6">
            <w:pPr>
              <w:spacing w:line="44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资格审查小组</w:t>
            </w:r>
          </w:p>
        </w:tc>
        <w:tc>
          <w:tcPr>
            <w:tcW w:w="1009" w:type="dxa"/>
            <w:vMerge w:val="restart"/>
            <w:vAlign w:val="center"/>
          </w:tcPr>
          <w:p w14:paraId="045F3DEA">
            <w:pPr>
              <w:spacing w:line="44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p>
          <w:p w14:paraId="6A086041">
            <w:pPr>
              <w:spacing w:line="44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资格评审标准</w:t>
            </w:r>
          </w:p>
        </w:tc>
        <w:tc>
          <w:tcPr>
            <w:tcW w:w="2822" w:type="dxa"/>
            <w:vAlign w:val="center"/>
          </w:tcPr>
          <w:p w14:paraId="3B2E2379">
            <w:pPr>
              <w:spacing w:line="44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w:t>
            </w:r>
          </w:p>
        </w:tc>
        <w:tc>
          <w:tcPr>
            <w:tcW w:w="4994" w:type="dxa"/>
            <w:vAlign w:val="center"/>
          </w:tcPr>
          <w:p w14:paraId="418E24F2">
            <w:pPr>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提供政府采购投标人资格信用承诺函</w:t>
            </w:r>
          </w:p>
        </w:tc>
      </w:tr>
      <w:tr w14:paraId="6E9A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153" w:type="dxa"/>
            <w:vMerge w:val="continue"/>
            <w:vAlign w:val="center"/>
          </w:tcPr>
          <w:p w14:paraId="50F5031D">
            <w:pPr>
              <w:spacing w:line="440" w:lineRule="exact"/>
              <w:jc w:val="center"/>
              <w:outlineLvl w:val="9"/>
              <w:rPr>
                <w:rFonts w:hint="eastAsia" w:ascii="宋体" w:hAnsi="宋体" w:eastAsia="宋体" w:cs="宋体"/>
                <w:color w:val="auto"/>
                <w:sz w:val="24"/>
                <w:highlight w:val="none"/>
              </w:rPr>
            </w:pPr>
          </w:p>
        </w:tc>
        <w:tc>
          <w:tcPr>
            <w:tcW w:w="1009" w:type="dxa"/>
            <w:vMerge w:val="continue"/>
            <w:vAlign w:val="center"/>
          </w:tcPr>
          <w:p w14:paraId="1E20F5AB">
            <w:pPr>
              <w:spacing w:line="440" w:lineRule="exact"/>
              <w:jc w:val="center"/>
              <w:outlineLvl w:val="9"/>
              <w:rPr>
                <w:rFonts w:hint="eastAsia" w:ascii="宋体" w:hAnsi="宋体" w:eastAsia="宋体" w:cs="宋体"/>
                <w:color w:val="auto"/>
                <w:sz w:val="24"/>
                <w:highlight w:val="none"/>
              </w:rPr>
            </w:pPr>
          </w:p>
        </w:tc>
        <w:tc>
          <w:tcPr>
            <w:tcW w:w="2822" w:type="dxa"/>
            <w:vAlign w:val="center"/>
          </w:tcPr>
          <w:p w14:paraId="27DB9330">
            <w:pPr>
              <w:spacing w:line="44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《中华人民共和国政府采购法》第二十二条规定</w:t>
            </w:r>
          </w:p>
        </w:tc>
        <w:tc>
          <w:tcPr>
            <w:tcW w:w="4994" w:type="dxa"/>
            <w:vAlign w:val="center"/>
          </w:tcPr>
          <w:p w14:paraId="20EAB309">
            <w:pPr>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提供政府采购投标人资格信用承诺函</w:t>
            </w:r>
          </w:p>
        </w:tc>
      </w:tr>
      <w:tr w14:paraId="6086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153" w:type="dxa"/>
            <w:vMerge w:val="continue"/>
            <w:vAlign w:val="center"/>
          </w:tcPr>
          <w:p w14:paraId="1A29B1CE">
            <w:pPr>
              <w:spacing w:line="440" w:lineRule="exact"/>
              <w:jc w:val="center"/>
              <w:outlineLvl w:val="9"/>
              <w:rPr>
                <w:rFonts w:hint="eastAsia" w:ascii="宋体" w:hAnsi="宋体" w:eastAsia="宋体" w:cs="宋体"/>
                <w:color w:val="auto"/>
                <w:sz w:val="24"/>
                <w:highlight w:val="none"/>
              </w:rPr>
            </w:pPr>
          </w:p>
        </w:tc>
        <w:tc>
          <w:tcPr>
            <w:tcW w:w="1009" w:type="dxa"/>
            <w:vMerge w:val="continue"/>
            <w:vAlign w:val="center"/>
          </w:tcPr>
          <w:p w14:paraId="52916B89">
            <w:pPr>
              <w:spacing w:line="440" w:lineRule="exact"/>
              <w:jc w:val="center"/>
              <w:outlineLvl w:val="9"/>
              <w:rPr>
                <w:rFonts w:hint="eastAsia" w:ascii="宋体" w:hAnsi="宋体" w:eastAsia="宋体" w:cs="宋体"/>
                <w:color w:val="auto"/>
                <w:sz w:val="24"/>
                <w:highlight w:val="none"/>
              </w:rPr>
            </w:pPr>
          </w:p>
        </w:tc>
        <w:tc>
          <w:tcPr>
            <w:tcW w:w="2822" w:type="dxa"/>
            <w:vAlign w:val="center"/>
          </w:tcPr>
          <w:p w14:paraId="2595BD5A">
            <w:pPr>
              <w:spacing w:line="44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法定代表人证明或法定代表人授权委托书</w:t>
            </w:r>
          </w:p>
        </w:tc>
        <w:tc>
          <w:tcPr>
            <w:tcW w:w="4994" w:type="dxa"/>
            <w:vAlign w:val="center"/>
          </w:tcPr>
          <w:p w14:paraId="71934416">
            <w:pPr>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法定代表人（负责人）证明或法定代表人授权委托书</w:t>
            </w:r>
          </w:p>
        </w:tc>
      </w:tr>
      <w:tr w14:paraId="7C13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153" w:type="dxa"/>
            <w:vMerge w:val="continue"/>
            <w:vAlign w:val="center"/>
          </w:tcPr>
          <w:p w14:paraId="3419B40F">
            <w:pPr>
              <w:spacing w:line="440" w:lineRule="exact"/>
              <w:ind w:firstLine="560"/>
              <w:jc w:val="center"/>
              <w:outlineLvl w:val="9"/>
              <w:rPr>
                <w:rFonts w:hint="eastAsia" w:ascii="宋体" w:hAnsi="宋体" w:eastAsia="宋体" w:cs="宋体"/>
                <w:color w:val="auto"/>
                <w:sz w:val="24"/>
                <w:highlight w:val="none"/>
              </w:rPr>
            </w:pPr>
          </w:p>
        </w:tc>
        <w:tc>
          <w:tcPr>
            <w:tcW w:w="1009" w:type="dxa"/>
            <w:vMerge w:val="continue"/>
            <w:vAlign w:val="center"/>
          </w:tcPr>
          <w:p w14:paraId="1464DE90">
            <w:pPr>
              <w:spacing w:line="440" w:lineRule="exact"/>
              <w:ind w:firstLine="560"/>
              <w:jc w:val="center"/>
              <w:outlineLvl w:val="9"/>
              <w:rPr>
                <w:rFonts w:hint="eastAsia" w:ascii="宋体" w:hAnsi="宋体" w:eastAsia="宋体" w:cs="宋体"/>
                <w:color w:val="auto"/>
                <w:sz w:val="24"/>
                <w:highlight w:val="none"/>
              </w:rPr>
            </w:pPr>
          </w:p>
        </w:tc>
        <w:tc>
          <w:tcPr>
            <w:tcW w:w="2822" w:type="dxa"/>
            <w:vAlign w:val="center"/>
          </w:tcPr>
          <w:p w14:paraId="45E6259B">
            <w:pPr>
              <w:spacing w:line="44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信誉要求</w:t>
            </w:r>
          </w:p>
        </w:tc>
        <w:tc>
          <w:tcPr>
            <w:tcW w:w="4994" w:type="dxa"/>
            <w:vAlign w:val="center"/>
          </w:tcPr>
          <w:p w14:paraId="50F17A25">
            <w:pPr>
              <w:spacing w:line="440" w:lineRule="exact"/>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符合第二章“投标人须知”第1.4.1项规定</w:t>
            </w:r>
          </w:p>
        </w:tc>
      </w:tr>
      <w:tr w14:paraId="2E3B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153" w:type="dxa"/>
            <w:vMerge w:val="continue"/>
            <w:tcBorders>
              <w:bottom w:val="single" w:color="auto" w:sz="4" w:space="0"/>
            </w:tcBorders>
            <w:vAlign w:val="center"/>
          </w:tcPr>
          <w:p w14:paraId="31D0C795">
            <w:pPr>
              <w:spacing w:line="440" w:lineRule="exact"/>
              <w:ind w:firstLine="560"/>
              <w:jc w:val="center"/>
              <w:outlineLvl w:val="9"/>
              <w:rPr>
                <w:rFonts w:hint="eastAsia" w:ascii="宋体" w:hAnsi="宋体" w:eastAsia="宋体" w:cs="宋体"/>
                <w:color w:val="auto"/>
                <w:sz w:val="24"/>
                <w:highlight w:val="none"/>
              </w:rPr>
            </w:pPr>
          </w:p>
        </w:tc>
        <w:tc>
          <w:tcPr>
            <w:tcW w:w="1009" w:type="dxa"/>
            <w:vMerge w:val="continue"/>
            <w:tcBorders>
              <w:bottom w:val="single" w:color="auto" w:sz="4" w:space="0"/>
            </w:tcBorders>
            <w:vAlign w:val="center"/>
          </w:tcPr>
          <w:p w14:paraId="31F6EE89">
            <w:pPr>
              <w:spacing w:line="440" w:lineRule="exact"/>
              <w:ind w:firstLine="560"/>
              <w:jc w:val="center"/>
              <w:outlineLvl w:val="9"/>
              <w:rPr>
                <w:rFonts w:hint="eastAsia" w:ascii="宋体" w:hAnsi="宋体" w:eastAsia="宋体" w:cs="宋体"/>
                <w:color w:val="auto"/>
                <w:sz w:val="24"/>
                <w:highlight w:val="none"/>
              </w:rPr>
            </w:pPr>
          </w:p>
        </w:tc>
        <w:tc>
          <w:tcPr>
            <w:tcW w:w="2822" w:type="dxa"/>
            <w:tcBorders>
              <w:bottom w:val="single" w:color="auto" w:sz="4" w:space="0"/>
            </w:tcBorders>
            <w:vAlign w:val="center"/>
          </w:tcPr>
          <w:p w14:paraId="246608A1">
            <w:pPr>
              <w:spacing w:line="44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其他要求</w:t>
            </w:r>
          </w:p>
        </w:tc>
        <w:tc>
          <w:tcPr>
            <w:tcW w:w="4994" w:type="dxa"/>
            <w:tcBorders>
              <w:bottom w:val="single" w:color="auto" w:sz="4" w:space="0"/>
            </w:tcBorders>
            <w:vAlign w:val="center"/>
          </w:tcPr>
          <w:p w14:paraId="5B4C04D7">
            <w:pPr>
              <w:spacing w:line="440" w:lineRule="exact"/>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符合第二章“投标人须知”第1.4.1 项规定</w:t>
            </w:r>
          </w:p>
        </w:tc>
      </w:tr>
      <w:tr w14:paraId="5967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153" w:type="dxa"/>
            <w:vMerge w:val="restart"/>
            <w:tcBorders>
              <w:top w:val="single" w:color="auto" w:sz="4" w:space="0"/>
              <w:left w:val="single" w:color="auto" w:sz="4" w:space="0"/>
              <w:bottom w:val="single" w:color="auto" w:sz="4" w:space="0"/>
              <w:right w:val="single" w:color="auto" w:sz="4" w:space="0"/>
            </w:tcBorders>
            <w:vAlign w:val="center"/>
          </w:tcPr>
          <w:p w14:paraId="3720CEBD">
            <w:pPr>
              <w:spacing w:line="44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w:t>
            </w:r>
          </w:p>
        </w:tc>
        <w:tc>
          <w:tcPr>
            <w:tcW w:w="1009" w:type="dxa"/>
            <w:vMerge w:val="restart"/>
            <w:tcBorders>
              <w:top w:val="single" w:color="auto" w:sz="4" w:space="0"/>
              <w:left w:val="single" w:color="auto" w:sz="4" w:space="0"/>
              <w:bottom w:val="single" w:color="auto" w:sz="4" w:space="0"/>
              <w:right w:val="single" w:color="auto" w:sz="4" w:space="0"/>
            </w:tcBorders>
            <w:vAlign w:val="center"/>
          </w:tcPr>
          <w:p w14:paraId="65B1518F">
            <w:pPr>
              <w:spacing w:line="44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二、形式评审标准</w:t>
            </w:r>
          </w:p>
        </w:tc>
        <w:tc>
          <w:tcPr>
            <w:tcW w:w="2822" w:type="dxa"/>
            <w:tcBorders>
              <w:top w:val="single" w:color="auto" w:sz="4" w:space="0"/>
              <w:left w:val="single" w:color="auto" w:sz="4" w:space="0"/>
              <w:bottom w:val="single" w:color="auto" w:sz="4" w:space="0"/>
              <w:right w:val="single" w:color="auto" w:sz="4" w:space="0"/>
            </w:tcBorders>
            <w:vAlign w:val="center"/>
          </w:tcPr>
          <w:p w14:paraId="21F6ACB2">
            <w:pPr>
              <w:spacing w:line="44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4994" w:type="dxa"/>
            <w:tcBorders>
              <w:top w:val="single" w:color="auto" w:sz="4" w:space="0"/>
              <w:left w:val="single" w:color="auto" w:sz="4" w:space="0"/>
              <w:bottom w:val="single" w:color="auto" w:sz="4" w:space="0"/>
              <w:right w:val="single" w:color="auto" w:sz="4" w:space="0"/>
            </w:tcBorders>
            <w:vAlign w:val="center"/>
          </w:tcPr>
          <w:p w14:paraId="16B919F2">
            <w:pPr>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与营业执照等证件一致</w:t>
            </w:r>
          </w:p>
        </w:tc>
      </w:tr>
      <w:tr w14:paraId="1952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153" w:type="dxa"/>
            <w:vMerge w:val="continue"/>
            <w:tcBorders>
              <w:top w:val="single" w:color="auto" w:sz="4" w:space="0"/>
              <w:left w:val="single" w:color="auto" w:sz="4" w:space="0"/>
              <w:bottom w:val="single" w:color="auto" w:sz="4" w:space="0"/>
              <w:right w:val="single" w:color="auto" w:sz="4" w:space="0"/>
            </w:tcBorders>
            <w:vAlign w:val="center"/>
          </w:tcPr>
          <w:p w14:paraId="532DD499">
            <w:pPr>
              <w:spacing w:line="440" w:lineRule="exact"/>
              <w:ind w:firstLine="560"/>
              <w:jc w:val="center"/>
              <w:outlineLvl w:val="9"/>
              <w:rPr>
                <w:rFonts w:hint="eastAsia" w:ascii="宋体" w:hAnsi="宋体" w:eastAsia="宋体" w:cs="宋体"/>
                <w:color w:val="auto"/>
                <w:sz w:val="24"/>
                <w:highlight w:val="none"/>
              </w:rPr>
            </w:pPr>
          </w:p>
        </w:tc>
        <w:tc>
          <w:tcPr>
            <w:tcW w:w="1009" w:type="dxa"/>
            <w:vMerge w:val="continue"/>
            <w:tcBorders>
              <w:top w:val="single" w:color="auto" w:sz="4" w:space="0"/>
              <w:left w:val="single" w:color="auto" w:sz="4" w:space="0"/>
              <w:bottom w:val="single" w:color="auto" w:sz="4" w:space="0"/>
              <w:right w:val="single" w:color="auto" w:sz="4" w:space="0"/>
            </w:tcBorders>
            <w:vAlign w:val="center"/>
          </w:tcPr>
          <w:p w14:paraId="7AA0E2AD">
            <w:pPr>
              <w:spacing w:line="440" w:lineRule="exact"/>
              <w:ind w:firstLine="560"/>
              <w:jc w:val="center"/>
              <w:outlineLvl w:val="9"/>
              <w:rPr>
                <w:rFonts w:hint="eastAsia" w:ascii="宋体" w:hAnsi="宋体" w:eastAsia="宋体" w:cs="宋体"/>
                <w:color w:val="auto"/>
                <w:sz w:val="24"/>
                <w:highlight w:val="none"/>
              </w:rPr>
            </w:pPr>
          </w:p>
        </w:tc>
        <w:tc>
          <w:tcPr>
            <w:tcW w:w="2822" w:type="dxa"/>
            <w:tcBorders>
              <w:top w:val="single" w:color="auto" w:sz="4" w:space="0"/>
              <w:left w:val="single" w:color="auto" w:sz="4" w:space="0"/>
              <w:bottom w:val="single" w:color="auto" w:sz="4" w:space="0"/>
              <w:right w:val="single" w:color="auto" w:sz="4" w:space="0"/>
            </w:tcBorders>
            <w:vAlign w:val="center"/>
          </w:tcPr>
          <w:p w14:paraId="655260E3">
            <w:pPr>
              <w:spacing w:line="44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投标函签字盖章</w:t>
            </w:r>
          </w:p>
        </w:tc>
        <w:tc>
          <w:tcPr>
            <w:tcW w:w="4994" w:type="dxa"/>
            <w:tcBorders>
              <w:top w:val="single" w:color="auto" w:sz="4" w:space="0"/>
              <w:left w:val="single" w:color="auto" w:sz="4" w:space="0"/>
              <w:bottom w:val="single" w:color="auto" w:sz="4" w:space="0"/>
              <w:right w:val="single" w:color="auto" w:sz="4" w:space="0"/>
            </w:tcBorders>
            <w:vAlign w:val="center"/>
          </w:tcPr>
          <w:p w14:paraId="167260DC">
            <w:pPr>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加盖单位公章并有法定代表人或其委托代理人签字或盖章</w:t>
            </w:r>
          </w:p>
        </w:tc>
      </w:tr>
      <w:tr w14:paraId="2FA84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153" w:type="dxa"/>
            <w:vMerge w:val="continue"/>
            <w:tcBorders>
              <w:top w:val="single" w:color="auto" w:sz="4" w:space="0"/>
              <w:left w:val="single" w:color="auto" w:sz="4" w:space="0"/>
              <w:bottom w:val="single" w:color="auto" w:sz="4" w:space="0"/>
              <w:right w:val="single" w:color="auto" w:sz="4" w:space="0"/>
            </w:tcBorders>
            <w:vAlign w:val="center"/>
          </w:tcPr>
          <w:p w14:paraId="1EB8B066">
            <w:pPr>
              <w:spacing w:line="440" w:lineRule="exact"/>
              <w:ind w:firstLine="560"/>
              <w:jc w:val="center"/>
              <w:outlineLvl w:val="9"/>
              <w:rPr>
                <w:rFonts w:hint="eastAsia" w:ascii="宋体" w:hAnsi="宋体" w:eastAsia="宋体" w:cs="宋体"/>
                <w:color w:val="auto"/>
                <w:sz w:val="24"/>
                <w:highlight w:val="none"/>
              </w:rPr>
            </w:pPr>
          </w:p>
        </w:tc>
        <w:tc>
          <w:tcPr>
            <w:tcW w:w="1009" w:type="dxa"/>
            <w:vMerge w:val="continue"/>
            <w:tcBorders>
              <w:top w:val="single" w:color="auto" w:sz="4" w:space="0"/>
              <w:left w:val="single" w:color="auto" w:sz="4" w:space="0"/>
              <w:bottom w:val="single" w:color="auto" w:sz="4" w:space="0"/>
              <w:right w:val="single" w:color="auto" w:sz="4" w:space="0"/>
            </w:tcBorders>
            <w:vAlign w:val="center"/>
          </w:tcPr>
          <w:p w14:paraId="5BA80C35">
            <w:pPr>
              <w:spacing w:line="440" w:lineRule="exact"/>
              <w:ind w:firstLine="560"/>
              <w:jc w:val="center"/>
              <w:outlineLvl w:val="9"/>
              <w:rPr>
                <w:rFonts w:hint="eastAsia" w:ascii="宋体" w:hAnsi="宋体" w:eastAsia="宋体" w:cs="宋体"/>
                <w:color w:val="auto"/>
                <w:sz w:val="24"/>
                <w:highlight w:val="none"/>
              </w:rPr>
            </w:pPr>
          </w:p>
        </w:tc>
        <w:tc>
          <w:tcPr>
            <w:tcW w:w="2822" w:type="dxa"/>
            <w:tcBorders>
              <w:top w:val="single" w:color="auto" w:sz="4" w:space="0"/>
              <w:left w:val="single" w:color="auto" w:sz="4" w:space="0"/>
              <w:bottom w:val="single" w:color="auto" w:sz="4" w:space="0"/>
              <w:right w:val="single" w:color="auto" w:sz="4" w:space="0"/>
            </w:tcBorders>
            <w:vAlign w:val="center"/>
          </w:tcPr>
          <w:p w14:paraId="59955CEC">
            <w:pPr>
              <w:spacing w:line="44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投标文件格式</w:t>
            </w:r>
          </w:p>
        </w:tc>
        <w:tc>
          <w:tcPr>
            <w:tcW w:w="4994" w:type="dxa"/>
            <w:tcBorders>
              <w:top w:val="single" w:color="auto" w:sz="4" w:space="0"/>
              <w:left w:val="single" w:color="auto" w:sz="4" w:space="0"/>
              <w:bottom w:val="single" w:color="auto" w:sz="4" w:space="0"/>
              <w:right w:val="single" w:color="auto" w:sz="4" w:space="0"/>
            </w:tcBorders>
            <w:vAlign w:val="center"/>
          </w:tcPr>
          <w:p w14:paraId="04C7F925">
            <w:pPr>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符合招标文件格式要求</w:t>
            </w:r>
          </w:p>
        </w:tc>
      </w:tr>
      <w:tr w14:paraId="26028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153" w:type="dxa"/>
            <w:vMerge w:val="continue"/>
            <w:tcBorders>
              <w:top w:val="single" w:color="auto" w:sz="4" w:space="0"/>
              <w:left w:val="single" w:color="auto" w:sz="4" w:space="0"/>
              <w:bottom w:val="single" w:color="auto" w:sz="4" w:space="0"/>
              <w:right w:val="single" w:color="auto" w:sz="4" w:space="0"/>
            </w:tcBorders>
            <w:vAlign w:val="center"/>
          </w:tcPr>
          <w:p w14:paraId="67ACB997">
            <w:pPr>
              <w:spacing w:line="440" w:lineRule="exact"/>
              <w:ind w:firstLine="560"/>
              <w:jc w:val="center"/>
              <w:outlineLvl w:val="9"/>
              <w:rPr>
                <w:rFonts w:hint="eastAsia" w:ascii="宋体" w:hAnsi="宋体" w:eastAsia="宋体" w:cs="宋体"/>
                <w:color w:val="auto"/>
                <w:sz w:val="24"/>
                <w:highlight w:val="none"/>
              </w:rPr>
            </w:pPr>
          </w:p>
        </w:tc>
        <w:tc>
          <w:tcPr>
            <w:tcW w:w="1009" w:type="dxa"/>
            <w:vMerge w:val="continue"/>
            <w:tcBorders>
              <w:top w:val="single" w:color="auto" w:sz="4" w:space="0"/>
              <w:left w:val="single" w:color="auto" w:sz="4" w:space="0"/>
              <w:bottom w:val="single" w:color="auto" w:sz="4" w:space="0"/>
              <w:right w:val="single" w:color="auto" w:sz="4" w:space="0"/>
            </w:tcBorders>
            <w:vAlign w:val="center"/>
          </w:tcPr>
          <w:p w14:paraId="6739D430">
            <w:pPr>
              <w:spacing w:line="440" w:lineRule="exact"/>
              <w:ind w:firstLine="560"/>
              <w:jc w:val="center"/>
              <w:outlineLvl w:val="9"/>
              <w:rPr>
                <w:rFonts w:hint="eastAsia" w:ascii="宋体" w:hAnsi="宋体" w:eastAsia="宋体" w:cs="宋体"/>
                <w:color w:val="auto"/>
                <w:sz w:val="24"/>
                <w:highlight w:val="none"/>
              </w:rPr>
            </w:pPr>
          </w:p>
        </w:tc>
        <w:tc>
          <w:tcPr>
            <w:tcW w:w="2822" w:type="dxa"/>
            <w:tcBorders>
              <w:top w:val="single" w:color="auto" w:sz="4" w:space="0"/>
              <w:left w:val="single" w:color="auto" w:sz="4" w:space="0"/>
              <w:bottom w:val="single" w:color="auto" w:sz="4" w:space="0"/>
              <w:right w:val="single" w:color="auto" w:sz="4" w:space="0"/>
            </w:tcBorders>
            <w:vAlign w:val="center"/>
          </w:tcPr>
          <w:p w14:paraId="635DABC0">
            <w:pPr>
              <w:spacing w:line="44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报价唯一</w:t>
            </w:r>
          </w:p>
        </w:tc>
        <w:tc>
          <w:tcPr>
            <w:tcW w:w="4994" w:type="dxa"/>
            <w:tcBorders>
              <w:top w:val="single" w:color="auto" w:sz="4" w:space="0"/>
              <w:left w:val="single" w:color="auto" w:sz="4" w:space="0"/>
              <w:bottom w:val="single" w:color="auto" w:sz="4" w:space="0"/>
              <w:right w:val="single" w:color="auto" w:sz="4" w:space="0"/>
            </w:tcBorders>
            <w:vAlign w:val="center"/>
          </w:tcPr>
          <w:p w14:paraId="52A64437">
            <w:pPr>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只能有一个有效报价</w:t>
            </w:r>
          </w:p>
        </w:tc>
      </w:tr>
      <w:tr w14:paraId="22B3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153" w:type="dxa"/>
            <w:vMerge w:val="continue"/>
            <w:tcBorders>
              <w:top w:val="single" w:color="auto" w:sz="4" w:space="0"/>
              <w:left w:val="single" w:color="auto" w:sz="4" w:space="0"/>
              <w:bottom w:val="single" w:color="auto" w:sz="4" w:space="0"/>
              <w:right w:val="single" w:color="auto" w:sz="4" w:space="0"/>
            </w:tcBorders>
            <w:vAlign w:val="center"/>
          </w:tcPr>
          <w:p w14:paraId="60465309">
            <w:pPr>
              <w:spacing w:line="440" w:lineRule="exact"/>
              <w:ind w:firstLine="560"/>
              <w:jc w:val="center"/>
              <w:outlineLvl w:val="9"/>
              <w:rPr>
                <w:rFonts w:hint="eastAsia" w:ascii="宋体" w:hAnsi="宋体" w:eastAsia="宋体" w:cs="宋体"/>
                <w:color w:val="auto"/>
                <w:sz w:val="24"/>
                <w:highlight w:val="none"/>
              </w:rPr>
            </w:pPr>
          </w:p>
        </w:tc>
        <w:tc>
          <w:tcPr>
            <w:tcW w:w="1009" w:type="dxa"/>
            <w:vMerge w:val="restart"/>
            <w:tcBorders>
              <w:top w:val="single" w:color="auto" w:sz="4" w:space="0"/>
              <w:left w:val="single" w:color="auto" w:sz="4" w:space="0"/>
              <w:bottom w:val="single" w:color="auto" w:sz="4" w:space="0"/>
              <w:right w:val="single" w:color="auto" w:sz="4" w:space="0"/>
            </w:tcBorders>
            <w:vAlign w:val="center"/>
          </w:tcPr>
          <w:p w14:paraId="1062DAFC">
            <w:pPr>
              <w:spacing w:line="44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三、响应性评审标准</w:t>
            </w:r>
          </w:p>
        </w:tc>
        <w:tc>
          <w:tcPr>
            <w:tcW w:w="2822" w:type="dxa"/>
            <w:tcBorders>
              <w:top w:val="single" w:color="auto" w:sz="4" w:space="0"/>
              <w:left w:val="single" w:color="auto" w:sz="4" w:space="0"/>
              <w:bottom w:val="single" w:color="auto" w:sz="4" w:space="0"/>
              <w:right w:val="single" w:color="auto" w:sz="4" w:space="0"/>
            </w:tcBorders>
            <w:vAlign w:val="center"/>
          </w:tcPr>
          <w:p w14:paraId="712AA182">
            <w:pPr>
              <w:widowControl/>
              <w:kinsoku w:val="0"/>
              <w:autoSpaceDE w:val="0"/>
              <w:autoSpaceDN w:val="0"/>
              <w:adjustRightInd w:val="0"/>
              <w:snapToGrid w:val="0"/>
              <w:spacing w:line="360" w:lineRule="exact"/>
              <w:jc w:val="center"/>
              <w:textAlignment w:val="baseline"/>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合同履行期限</w:t>
            </w:r>
          </w:p>
          <w:p w14:paraId="122F9BDF">
            <w:pPr>
              <w:widowControl/>
              <w:kinsoku w:val="0"/>
              <w:autoSpaceDE w:val="0"/>
              <w:autoSpaceDN w:val="0"/>
              <w:adjustRightInd w:val="0"/>
              <w:snapToGrid w:val="0"/>
              <w:spacing w:line="360" w:lineRule="exact"/>
              <w:jc w:val="center"/>
              <w:textAlignment w:val="baseline"/>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（供货安装期）</w:t>
            </w:r>
          </w:p>
        </w:tc>
        <w:tc>
          <w:tcPr>
            <w:tcW w:w="4994" w:type="dxa"/>
            <w:tcBorders>
              <w:top w:val="single" w:color="auto" w:sz="4" w:space="0"/>
              <w:left w:val="single" w:color="auto" w:sz="4" w:space="0"/>
              <w:bottom w:val="single" w:color="auto" w:sz="4" w:space="0"/>
              <w:right w:val="single" w:color="auto" w:sz="4" w:space="0"/>
            </w:tcBorders>
            <w:vAlign w:val="center"/>
          </w:tcPr>
          <w:p w14:paraId="07518D90">
            <w:pPr>
              <w:widowControl/>
              <w:kinsoku w:val="0"/>
              <w:autoSpaceDE w:val="0"/>
              <w:autoSpaceDN w:val="0"/>
              <w:adjustRightInd w:val="0"/>
              <w:snapToGrid w:val="0"/>
              <w:spacing w:line="360" w:lineRule="exact"/>
              <w:textAlignment w:val="baseline"/>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60</w:t>
            </w:r>
            <w:r>
              <w:rPr>
                <w:rFonts w:hint="eastAsia" w:ascii="宋体" w:hAnsi="宋体" w:eastAsia="宋体" w:cs="宋体"/>
                <w:color w:val="auto"/>
                <w:sz w:val="24"/>
                <w:highlight w:val="none"/>
              </w:rPr>
              <w:t>日历天</w:t>
            </w:r>
          </w:p>
        </w:tc>
      </w:tr>
      <w:tr w14:paraId="139D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153" w:type="dxa"/>
            <w:vMerge w:val="continue"/>
            <w:tcBorders>
              <w:top w:val="single" w:color="auto" w:sz="4" w:space="0"/>
              <w:left w:val="single" w:color="auto" w:sz="4" w:space="0"/>
              <w:bottom w:val="single" w:color="auto" w:sz="4" w:space="0"/>
              <w:right w:val="single" w:color="auto" w:sz="4" w:space="0"/>
            </w:tcBorders>
          </w:tcPr>
          <w:p w14:paraId="784DAE22">
            <w:pPr>
              <w:spacing w:line="440" w:lineRule="exact"/>
              <w:ind w:firstLine="560"/>
              <w:outlineLvl w:val="9"/>
              <w:rPr>
                <w:rFonts w:hint="eastAsia" w:ascii="宋体" w:hAnsi="宋体" w:eastAsia="宋体" w:cs="宋体"/>
                <w:color w:val="auto"/>
                <w:sz w:val="24"/>
                <w:highlight w:val="none"/>
              </w:rPr>
            </w:pPr>
          </w:p>
        </w:tc>
        <w:tc>
          <w:tcPr>
            <w:tcW w:w="1009" w:type="dxa"/>
            <w:vMerge w:val="continue"/>
            <w:tcBorders>
              <w:top w:val="single" w:color="auto" w:sz="4" w:space="0"/>
              <w:left w:val="single" w:color="auto" w:sz="4" w:space="0"/>
              <w:bottom w:val="single" w:color="auto" w:sz="4" w:space="0"/>
              <w:right w:val="single" w:color="auto" w:sz="4" w:space="0"/>
            </w:tcBorders>
          </w:tcPr>
          <w:p w14:paraId="2B2B7F26">
            <w:pPr>
              <w:spacing w:line="440" w:lineRule="exact"/>
              <w:ind w:firstLine="560"/>
              <w:outlineLvl w:val="9"/>
              <w:rPr>
                <w:rFonts w:hint="eastAsia" w:ascii="宋体" w:hAnsi="宋体" w:eastAsia="宋体" w:cs="宋体"/>
                <w:color w:val="auto"/>
                <w:sz w:val="24"/>
                <w:highlight w:val="none"/>
              </w:rPr>
            </w:pPr>
          </w:p>
        </w:tc>
        <w:tc>
          <w:tcPr>
            <w:tcW w:w="2822" w:type="dxa"/>
            <w:tcBorders>
              <w:top w:val="single" w:color="auto" w:sz="4" w:space="0"/>
              <w:left w:val="single" w:color="auto" w:sz="4" w:space="0"/>
              <w:bottom w:val="single" w:color="auto" w:sz="4" w:space="0"/>
              <w:right w:val="single" w:color="auto" w:sz="4" w:space="0"/>
            </w:tcBorders>
            <w:vAlign w:val="center"/>
          </w:tcPr>
          <w:p w14:paraId="4D88634E">
            <w:pPr>
              <w:widowControl/>
              <w:kinsoku w:val="0"/>
              <w:autoSpaceDE w:val="0"/>
              <w:autoSpaceDN w:val="0"/>
              <w:adjustRightInd w:val="0"/>
              <w:snapToGrid w:val="0"/>
              <w:spacing w:line="360" w:lineRule="exact"/>
              <w:jc w:val="center"/>
              <w:textAlignment w:val="baseline"/>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质量标准</w:t>
            </w:r>
          </w:p>
        </w:tc>
        <w:tc>
          <w:tcPr>
            <w:tcW w:w="4994" w:type="dxa"/>
            <w:tcBorders>
              <w:top w:val="single" w:color="auto" w:sz="4" w:space="0"/>
              <w:left w:val="single" w:color="auto" w:sz="4" w:space="0"/>
              <w:bottom w:val="single" w:color="auto" w:sz="4" w:space="0"/>
              <w:right w:val="single" w:color="auto" w:sz="4" w:space="0"/>
            </w:tcBorders>
            <w:vAlign w:val="center"/>
          </w:tcPr>
          <w:p w14:paraId="7D92733D">
            <w:pPr>
              <w:widowControl/>
              <w:kinsoku w:val="0"/>
              <w:autoSpaceDE w:val="0"/>
              <w:autoSpaceDN w:val="0"/>
              <w:adjustRightInd w:val="0"/>
              <w:snapToGrid w:val="0"/>
              <w:spacing w:line="360" w:lineRule="exact"/>
              <w:textAlignment w:val="baseline"/>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合格，符合国家及行业规范标准</w:t>
            </w:r>
          </w:p>
        </w:tc>
      </w:tr>
      <w:tr w14:paraId="0CB7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153" w:type="dxa"/>
            <w:vMerge w:val="continue"/>
            <w:tcBorders>
              <w:top w:val="single" w:color="auto" w:sz="4" w:space="0"/>
              <w:left w:val="single" w:color="auto" w:sz="4" w:space="0"/>
              <w:bottom w:val="single" w:color="auto" w:sz="4" w:space="0"/>
              <w:right w:val="single" w:color="auto" w:sz="4" w:space="0"/>
            </w:tcBorders>
          </w:tcPr>
          <w:p w14:paraId="64712613">
            <w:pPr>
              <w:spacing w:line="440" w:lineRule="exact"/>
              <w:ind w:firstLine="560"/>
              <w:outlineLvl w:val="9"/>
              <w:rPr>
                <w:rFonts w:hint="eastAsia" w:ascii="宋体" w:hAnsi="宋体" w:eastAsia="宋体" w:cs="宋体"/>
                <w:color w:val="auto"/>
                <w:sz w:val="24"/>
                <w:highlight w:val="none"/>
              </w:rPr>
            </w:pPr>
          </w:p>
        </w:tc>
        <w:tc>
          <w:tcPr>
            <w:tcW w:w="1009" w:type="dxa"/>
            <w:vMerge w:val="continue"/>
            <w:tcBorders>
              <w:top w:val="single" w:color="auto" w:sz="4" w:space="0"/>
              <w:left w:val="single" w:color="auto" w:sz="4" w:space="0"/>
              <w:bottom w:val="single" w:color="auto" w:sz="4" w:space="0"/>
              <w:right w:val="single" w:color="auto" w:sz="4" w:space="0"/>
            </w:tcBorders>
          </w:tcPr>
          <w:p w14:paraId="687A3099">
            <w:pPr>
              <w:spacing w:line="440" w:lineRule="exact"/>
              <w:ind w:firstLine="560"/>
              <w:outlineLvl w:val="9"/>
              <w:rPr>
                <w:rFonts w:hint="eastAsia" w:ascii="宋体" w:hAnsi="宋体" w:eastAsia="宋体" w:cs="宋体"/>
                <w:color w:val="auto"/>
                <w:sz w:val="24"/>
                <w:highlight w:val="none"/>
              </w:rPr>
            </w:pPr>
          </w:p>
        </w:tc>
        <w:tc>
          <w:tcPr>
            <w:tcW w:w="2822" w:type="dxa"/>
            <w:tcBorders>
              <w:top w:val="single" w:color="auto" w:sz="4" w:space="0"/>
              <w:left w:val="single" w:color="auto" w:sz="4" w:space="0"/>
              <w:bottom w:val="single" w:color="auto" w:sz="4" w:space="0"/>
              <w:right w:val="single" w:color="auto" w:sz="4" w:space="0"/>
            </w:tcBorders>
            <w:vAlign w:val="center"/>
          </w:tcPr>
          <w:p w14:paraId="1F3DA1E4">
            <w:pPr>
              <w:widowControl/>
              <w:kinsoku w:val="0"/>
              <w:autoSpaceDE w:val="0"/>
              <w:autoSpaceDN w:val="0"/>
              <w:adjustRightInd w:val="0"/>
              <w:snapToGrid w:val="0"/>
              <w:spacing w:line="360" w:lineRule="exact"/>
              <w:jc w:val="center"/>
              <w:textAlignment w:val="baseline"/>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质保期</w:t>
            </w:r>
          </w:p>
        </w:tc>
        <w:tc>
          <w:tcPr>
            <w:tcW w:w="4994" w:type="dxa"/>
            <w:tcBorders>
              <w:top w:val="single" w:color="auto" w:sz="4" w:space="0"/>
              <w:left w:val="single" w:color="auto" w:sz="4" w:space="0"/>
              <w:bottom w:val="single" w:color="auto" w:sz="4" w:space="0"/>
              <w:right w:val="single" w:color="auto" w:sz="4" w:space="0"/>
            </w:tcBorders>
            <w:vAlign w:val="center"/>
          </w:tcPr>
          <w:p w14:paraId="190BA23C">
            <w:pPr>
              <w:widowControl/>
              <w:kinsoku w:val="0"/>
              <w:autoSpaceDE w:val="0"/>
              <w:autoSpaceDN w:val="0"/>
              <w:adjustRightInd w:val="0"/>
              <w:snapToGrid w:val="0"/>
              <w:spacing w:line="360" w:lineRule="exact"/>
              <w:textAlignment w:val="baseline"/>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年</w:t>
            </w:r>
          </w:p>
        </w:tc>
      </w:tr>
      <w:tr w14:paraId="495E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153" w:type="dxa"/>
            <w:vMerge w:val="continue"/>
            <w:tcBorders>
              <w:top w:val="single" w:color="auto" w:sz="4" w:space="0"/>
              <w:left w:val="single" w:color="auto" w:sz="4" w:space="0"/>
              <w:bottom w:val="single" w:color="auto" w:sz="4" w:space="0"/>
              <w:right w:val="single" w:color="auto" w:sz="4" w:space="0"/>
            </w:tcBorders>
          </w:tcPr>
          <w:p w14:paraId="19BAD46A">
            <w:pPr>
              <w:spacing w:line="440" w:lineRule="exact"/>
              <w:ind w:firstLine="560"/>
              <w:outlineLvl w:val="9"/>
              <w:rPr>
                <w:rFonts w:hint="eastAsia" w:ascii="宋体" w:hAnsi="宋体" w:eastAsia="宋体" w:cs="宋体"/>
                <w:color w:val="auto"/>
                <w:sz w:val="24"/>
                <w:highlight w:val="none"/>
              </w:rPr>
            </w:pPr>
          </w:p>
        </w:tc>
        <w:tc>
          <w:tcPr>
            <w:tcW w:w="1009" w:type="dxa"/>
            <w:vMerge w:val="continue"/>
            <w:tcBorders>
              <w:top w:val="single" w:color="auto" w:sz="4" w:space="0"/>
              <w:left w:val="single" w:color="auto" w:sz="4" w:space="0"/>
              <w:bottom w:val="single" w:color="auto" w:sz="4" w:space="0"/>
              <w:right w:val="single" w:color="auto" w:sz="4" w:space="0"/>
            </w:tcBorders>
          </w:tcPr>
          <w:p w14:paraId="1C2CE58F">
            <w:pPr>
              <w:spacing w:line="440" w:lineRule="exact"/>
              <w:ind w:firstLine="560"/>
              <w:outlineLvl w:val="9"/>
              <w:rPr>
                <w:rFonts w:hint="eastAsia" w:ascii="宋体" w:hAnsi="宋体" w:eastAsia="宋体" w:cs="宋体"/>
                <w:color w:val="auto"/>
                <w:sz w:val="24"/>
                <w:highlight w:val="none"/>
              </w:rPr>
            </w:pPr>
          </w:p>
        </w:tc>
        <w:tc>
          <w:tcPr>
            <w:tcW w:w="2822" w:type="dxa"/>
            <w:tcBorders>
              <w:top w:val="single" w:color="auto" w:sz="4" w:space="0"/>
              <w:left w:val="single" w:color="auto" w:sz="4" w:space="0"/>
              <w:bottom w:val="single" w:color="auto" w:sz="4" w:space="0"/>
              <w:right w:val="single" w:color="auto" w:sz="4" w:space="0"/>
            </w:tcBorders>
            <w:vAlign w:val="center"/>
          </w:tcPr>
          <w:p w14:paraId="32EDA6E0">
            <w:pPr>
              <w:widowControl/>
              <w:kinsoku w:val="0"/>
              <w:autoSpaceDE w:val="0"/>
              <w:autoSpaceDN w:val="0"/>
              <w:adjustRightInd w:val="0"/>
              <w:snapToGrid w:val="0"/>
              <w:spacing w:line="360" w:lineRule="exact"/>
              <w:jc w:val="center"/>
              <w:textAlignment w:val="baseline"/>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商务报价</w:t>
            </w:r>
          </w:p>
        </w:tc>
        <w:tc>
          <w:tcPr>
            <w:tcW w:w="4994" w:type="dxa"/>
            <w:tcBorders>
              <w:top w:val="single" w:color="auto" w:sz="4" w:space="0"/>
              <w:left w:val="single" w:color="auto" w:sz="4" w:space="0"/>
              <w:bottom w:val="single" w:color="auto" w:sz="4" w:space="0"/>
              <w:right w:val="single" w:color="auto" w:sz="4" w:space="0"/>
            </w:tcBorders>
            <w:vAlign w:val="center"/>
          </w:tcPr>
          <w:p w14:paraId="1950C6B1">
            <w:pPr>
              <w:widowControl/>
              <w:kinsoku w:val="0"/>
              <w:autoSpaceDE w:val="0"/>
              <w:autoSpaceDN w:val="0"/>
              <w:adjustRightInd w:val="0"/>
              <w:snapToGrid w:val="0"/>
              <w:spacing w:line="360" w:lineRule="exact"/>
              <w:textAlignment w:val="baseline"/>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只能有一个有效报价，且不能超过招标控制价</w:t>
            </w:r>
          </w:p>
        </w:tc>
      </w:tr>
      <w:tr w14:paraId="2D3B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153" w:type="dxa"/>
            <w:vMerge w:val="continue"/>
            <w:tcBorders>
              <w:top w:val="single" w:color="auto" w:sz="4" w:space="0"/>
              <w:left w:val="single" w:color="auto" w:sz="4" w:space="0"/>
              <w:bottom w:val="single" w:color="auto" w:sz="4" w:space="0"/>
              <w:right w:val="single" w:color="auto" w:sz="4" w:space="0"/>
            </w:tcBorders>
          </w:tcPr>
          <w:p w14:paraId="4534DC8A">
            <w:pPr>
              <w:spacing w:line="440" w:lineRule="exact"/>
              <w:ind w:firstLine="560"/>
              <w:outlineLvl w:val="9"/>
              <w:rPr>
                <w:rFonts w:hint="eastAsia" w:ascii="宋体" w:hAnsi="宋体" w:eastAsia="宋体" w:cs="宋体"/>
                <w:color w:val="auto"/>
                <w:sz w:val="24"/>
                <w:highlight w:val="none"/>
              </w:rPr>
            </w:pPr>
          </w:p>
        </w:tc>
        <w:tc>
          <w:tcPr>
            <w:tcW w:w="1009" w:type="dxa"/>
            <w:vMerge w:val="continue"/>
            <w:tcBorders>
              <w:top w:val="single" w:color="auto" w:sz="4" w:space="0"/>
              <w:left w:val="single" w:color="auto" w:sz="4" w:space="0"/>
              <w:bottom w:val="single" w:color="auto" w:sz="4" w:space="0"/>
              <w:right w:val="single" w:color="auto" w:sz="4" w:space="0"/>
            </w:tcBorders>
          </w:tcPr>
          <w:p w14:paraId="7AFF7B97">
            <w:pPr>
              <w:spacing w:line="440" w:lineRule="exact"/>
              <w:ind w:firstLine="560"/>
              <w:outlineLvl w:val="9"/>
              <w:rPr>
                <w:rFonts w:hint="eastAsia" w:ascii="宋体" w:hAnsi="宋体" w:eastAsia="宋体" w:cs="宋体"/>
                <w:color w:val="auto"/>
                <w:sz w:val="24"/>
                <w:highlight w:val="none"/>
              </w:rPr>
            </w:pPr>
          </w:p>
        </w:tc>
        <w:tc>
          <w:tcPr>
            <w:tcW w:w="2822" w:type="dxa"/>
            <w:tcBorders>
              <w:top w:val="single" w:color="auto" w:sz="4" w:space="0"/>
              <w:left w:val="single" w:color="auto" w:sz="4" w:space="0"/>
              <w:bottom w:val="single" w:color="auto" w:sz="4" w:space="0"/>
              <w:right w:val="single" w:color="auto" w:sz="4" w:space="0"/>
            </w:tcBorders>
            <w:vAlign w:val="center"/>
          </w:tcPr>
          <w:p w14:paraId="672CB68E">
            <w:pPr>
              <w:widowControl/>
              <w:kinsoku w:val="0"/>
              <w:autoSpaceDE w:val="0"/>
              <w:autoSpaceDN w:val="0"/>
              <w:adjustRightInd w:val="0"/>
              <w:snapToGrid w:val="0"/>
              <w:spacing w:line="360" w:lineRule="exact"/>
              <w:jc w:val="center"/>
              <w:textAlignment w:val="baseline"/>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4994" w:type="dxa"/>
            <w:tcBorders>
              <w:top w:val="single" w:color="auto" w:sz="4" w:space="0"/>
              <w:left w:val="single" w:color="auto" w:sz="4" w:space="0"/>
              <w:bottom w:val="single" w:color="auto" w:sz="4" w:space="0"/>
              <w:right w:val="single" w:color="auto" w:sz="4" w:space="0"/>
            </w:tcBorders>
            <w:vAlign w:val="center"/>
          </w:tcPr>
          <w:p w14:paraId="1FD6C014">
            <w:pPr>
              <w:widowControl/>
              <w:kinsoku w:val="0"/>
              <w:autoSpaceDE w:val="0"/>
              <w:autoSpaceDN w:val="0"/>
              <w:adjustRightInd w:val="0"/>
              <w:snapToGrid w:val="0"/>
              <w:spacing w:line="360" w:lineRule="exact"/>
              <w:textAlignment w:val="baseline"/>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60日历天（从投标截止之日起算）</w:t>
            </w:r>
          </w:p>
        </w:tc>
      </w:tr>
      <w:tr w14:paraId="22B8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153" w:type="dxa"/>
            <w:vMerge w:val="continue"/>
            <w:tcBorders>
              <w:top w:val="single" w:color="auto" w:sz="4" w:space="0"/>
              <w:left w:val="single" w:color="auto" w:sz="4" w:space="0"/>
              <w:bottom w:val="single" w:color="auto" w:sz="4" w:space="0"/>
              <w:right w:val="single" w:color="auto" w:sz="4" w:space="0"/>
            </w:tcBorders>
          </w:tcPr>
          <w:p w14:paraId="7ECD9528">
            <w:pPr>
              <w:spacing w:line="440" w:lineRule="exact"/>
              <w:ind w:firstLine="560"/>
              <w:outlineLvl w:val="9"/>
              <w:rPr>
                <w:rFonts w:hint="eastAsia" w:ascii="宋体" w:hAnsi="宋体" w:eastAsia="宋体" w:cs="宋体"/>
                <w:color w:val="auto"/>
                <w:sz w:val="24"/>
                <w:highlight w:val="none"/>
              </w:rPr>
            </w:pPr>
          </w:p>
        </w:tc>
        <w:tc>
          <w:tcPr>
            <w:tcW w:w="1009" w:type="dxa"/>
            <w:vMerge w:val="continue"/>
            <w:tcBorders>
              <w:top w:val="single" w:color="auto" w:sz="4" w:space="0"/>
              <w:left w:val="single" w:color="auto" w:sz="4" w:space="0"/>
              <w:bottom w:val="single" w:color="auto" w:sz="4" w:space="0"/>
              <w:right w:val="single" w:color="auto" w:sz="4" w:space="0"/>
            </w:tcBorders>
          </w:tcPr>
          <w:p w14:paraId="699A8DEF">
            <w:pPr>
              <w:spacing w:line="440" w:lineRule="exact"/>
              <w:ind w:firstLine="560"/>
              <w:outlineLvl w:val="9"/>
              <w:rPr>
                <w:rFonts w:hint="eastAsia" w:ascii="宋体" w:hAnsi="宋体" w:eastAsia="宋体" w:cs="宋体"/>
                <w:color w:val="auto"/>
                <w:sz w:val="24"/>
                <w:highlight w:val="none"/>
              </w:rPr>
            </w:pPr>
          </w:p>
        </w:tc>
        <w:tc>
          <w:tcPr>
            <w:tcW w:w="2822" w:type="dxa"/>
            <w:tcBorders>
              <w:top w:val="single" w:color="auto" w:sz="4" w:space="0"/>
              <w:left w:val="single" w:color="auto" w:sz="4" w:space="0"/>
              <w:bottom w:val="single" w:color="auto" w:sz="4" w:space="0"/>
              <w:right w:val="single" w:color="auto" w:sz="4" w:space="0"/>
            </w:tcBorders>
            <w:vAlign w:val="center"/>
          </w:tcPr>
          <w:p w14:paraId="05677A4E">
            <w:pPr>
              <w:widowControl/>
              <w:kinsoku w:val="0"/>
              <w:autoSpaceDE w:val="0"/>
              <w:autoSpaceDN w:val="0"/>
              <w:adjustRightInd w:val="0"/>
              <w:snapToGrid w:val="0"/>
              <w:spacing w:line="360" w:lineRule="exact"/>
              <w:jc w:val="center"/>
              <w:textAlignment w:val="baseline"/>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权利义务</w:t>
            </w:r>
          </w:p>
        </w:tc>
        <w:tc>
          <w:tcPr>
            <w:tcW w:w="4994" w:type="dxa"/>
            <w:tcBorders>
              <w:top w:val="single" w:color="auto" w:sz="4" w:space="0"/>
              <w:left w:val="single" w:color="auto" w:sz="4" w:space="0"/>
              <w:bottom w:val="single" w:color="auto" w:sz="4" w:space="0"/>
              <w:right w:val="single" w:color="auto" w:sz="4" w:space="0"/>
            </w:tcBorders>
            <w:vAlign w:val="center"/>
          </w:tcPr>
          <w:p w14:paraId="2101AA35">
            <w:pPr>
              <w:widowControl/>
              <w:kinsoku w:val="0"/>
              <w:autoSpaceDE w:val="0"/>
              <w:autoSpaceDN w:val="0"/>
              <w:adjustRightInd w:val="0"/>
              <w:snapToGrid w:val="0"/>
              <w:spacing w:line="360" w:lineRule="exact"/>
              <w:textAlignment w:val="baseline"/>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符合招标文件第四章“合同条款及格式”规定</w:t>
            </w:r>
          </w:p>
        </w:tc>
      </w:tr>
      <w:tr w14:paraId="72F2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153" w:type="dxa"/>
            <w:vMerge w:val="continue"/>
            <w:tcBorders>
              <w:top w:val="single" w:color="auto" w:sz="4" w:space="0"/>
              <w:left w:val="single" w:color="auto" w:sz="4" w:space="0"/>
              <w:bottom w:val="single" w:color="auto" w:sz="4" w:space="0"/>
              <w:right w:val="single" w:color="auto" w:sz="4" w:space="0"/>
            </w:tcBorders>
          </w:tcPr>
          <w:p w14:paraId="08BC5812">
            <w:pPr>
              <w:spacing w:line="440" w:lineRule="exact"/>
              <w:ind w:firstLine="560"/>
              <w:outlineLvl w:val="9"/>
              <w:rPr>
                <w:rFonts w:hint="eastAsia" w:ascii="宋体" w:hAnsi="宋体" w:eastAsia="宋体" w:cs="宋体"/>
                <w:color w:val="auto"/>
                <w:sz w:val="24"/>
                <w:highlight w:val="none"/>
              </w:rPr>
            </w:pPr>
          </w:p>
        </w:tc>
        <w:tc>
          <w:tcPr>
            <w:tcW w:w="1009" w:type="dxa"/>
            <w:vMerge w:val="continue"/>
            <w:tcBorders>
              <w:top w:val="single" w:color="auto" w:sz="4" w:space="0"/>
              <w:left w:val="single" w:color="auto" w:sz="4" w:space="0"/>
              <w:bottom w:val="single" w:color="auto" w:sz="4" w:space="0"/>
              <w:right w:val="single" w:color="auto" w:sz="4" w:space="0"/>
            </w:tcBorders>
          </w:tcPr>
          <w:p w14:paraId="652F0787">
            <w:pPr>
              <w:spacing w:line="440" w:lineRule="exact"/>
              <w:ind w:firstLine="560"/>
              <w:outlineLvl w:val="9"/>
              <w:rPr>
                <w:rFonts w:hint="eastAsia" w:ascii="宋体" w:hAnsi="宋体" w:eastAsia="宋体" w:cs="宋体"/>
                <w:color w:val="auto"/>
                <w:sz w:val="24"/>
                <w:highlight w:val="none"/>
              </w:rPr>
            </w:pPr>
          </w:p>
        </w:tc>
        <w:tc>
          <w:tcPr>
            <w:tcW w:w="2822" w:type="dxa"/>
            <w:tcBorders>
              <w:top w:val="single" w:color="auto" w:sz="4" w:space="0"/>
              <w:left w:val="single" w:color="auto" w:sz="4" w:space="0"/>
              <w:bottom w:val="single" w:color="auto" w:sz="4" w:space="0"/>
              <w:right w:val="single" w:color="auto" w:sz="4" w:space="0"/>
            </w:tcBorders>
            <w:vAlign w:val="center"/>
          </w:tcPr>
          <w:p w14:paraId="624EC79F">
            <w:pPr>
              <w:widowControl/>
              <w:kinsoku w:val="0"/>
              <w:autoSpaceDE w:val="0"/>
              <w:autoSpaceDN w:val="0"/>
              <w:adjustRightInd w:val="0"/>
              <w:snapToGrid w:val="0"/>
              <w:spacing w:line="360" w:lineRule="exact"/>
              <w:jc w:val="center"/>
              <w:textAlignment w:val="baseline"/>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采购内容及要求</w:t>
            </w:r>
          </w:p>
        </w:tc>
        <w:tc>
          <w:tcPr>
            <w:tcW w:w="4994" w:type="dxa"/>
            <w:tcBorders>
              <w:top w:val="single" w:color="auto" w:sz="4" w:space="0"/>
              <w:left w:val="single" w:color="auto" w:sz="4" w:space="0"/>
              <w:bottom w:val="single" w:color="auto" w:sz="4" w:space="0"/>
              <w:right w:val="single" w:color="auto" w:sz="4" w:space="0"/>
            </w:tcBorders>
            <w:vAlign w:val="center"/>
          </w:tcPr>
          <w:p w14:paraId="7916533B">
            <w:pPr>
              <w:widowControl/>
              <w:kinsoku w:val="0"/>
              <w:autoSpaceDE w:val="0"/>
              <w:autoSpaceDN w:val="0"/>
              <w:adjustRightInd w:val="0"/>
              <w:snapToGrid w:val="0"/>
              <w:spacing w:line="360" w:lineRule="exact"/>
              <w:textAlignment w:val="baseline"/>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符合第五章“采购内容及要求”规定，若不符合采购内容及技术要求规定，将不再进行评审</w:t>
            </w:r>
          </w:p>
        </w:tc>
      </w:tr>
      <w:tr w14:paraId="24A9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153" w:type="dxa"/>
            <w:vMerge w:val="continue"/>
            <w:tcBorders>
              <w:top w:val="single" w:color="auto" w:sz="4" w:space="0"/>
              <w:left w:val="single" w:color="auto" w:sz="4" w:space="0"/>
              <w:bottom w:val="single" w:color="auto" w:sz="4" w:space="0"/>
              <w:right w:val="single" w:color="auto" w:sz="4" w:space="0"/>
            </w:tcBorders>
          </w:tcPr>
          <w:p w14:paraId="48026C9F">
            <w:pPr>
              <w:spacing w:line="440" w:lineRule="exact"/>
              <w:ind w:firstLine="560"/>
              <w:outlineLvl w:val="9"/>
              <w:rPr>
                <w:rFonts w:hint="eastAsia" w:ascii="宋体" w:hAnsi="宋体" w:eastAsia="宋体" w:cs="宋体"/>
                <w:color w:val="auto"/>
                <w:sz w:val="24"/>
                <w:highlight w:val="none"/>
              </w:rPr>
            </w:pPr>
          </w:p>
        </w:tc>
        <w:tc>
          <w:tcPr>
            <w:tcW w:w="1009" w:type="dxa"/>
            <w:vMerge w:val="continue"/>
            <w:tcBorders>
              <w:top w:val="single" w:color="auto" w:sz="4" w:space="0"/>
              <w:left w:val="single" w:color="auto" w:sz="4" w:space="0"/>
              <w:bottom w:val="single" w:color="auto" w:sz="4" w:space="0"/>
              <w:right w:val="single" w:color="auto" w:sz="4" w:space="0"/>
            </w:tcBorders>
          </w:tcPr>
          <w:p w14:paraId="3FD73CFA">
            <w:pPr>
              <w:spacing w:line="440" w:lineRule="exact"/>
              <w:ind w:firstLine="560"/>
              <w:outlineLvl w:val="9"/>
              <w:rPr>
                <w:rFonts w:hint="eastAsia" w:ascii="宋体" w:hAnsi="宋体" w:eastAsia="宋体" w:cs="宋体"/>
                <w:color w:val="auto"/>
                <w:sz w:val="24"/>
                <w:highlight w:val="none"/>
              </w:rPr>
            </w:pPr>
          </w:p>
        </w:tc>
        <w:tc>
          <w:tcPr>
            <w:tcW w:w="2822" w:type="dxa"/>
            <w:tcBorders>
              <w:top w:val="single" w:color="auto" w:sz="4" w:space="0"/>
              <w:left w:val="single" w:color="auto" w:sz="4" w:space="0"/>
              <w:bottom w:val="single" w:color="auto" w:sz="4" w:space="0"/>
              <w:right w:val="single" w:color="auto" w:sz="4" w:space="0"/>
            </w:tcBorders>
            <w:vAlign w:val="center"/>
          </w:tcPr>
          <w:p w14:paraId="083A263E">
            <w:pPr>
              <w:widowControl/>
              <w:kinsoku w:val="0"/>
              <w:autoSpaceDE w:val="0"/>
              <w:autoSpaceDN w:val="0"/>
              <w:adjustRightInd w:val="0"/>
              <w:snapToGrid w:val="0"/>
              <w:spacing w:line="360" w:lineRule="exact"/>
              <w:jc w:val="center"/>
              <w:textAlignment w:val="baseline"/>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投标文件的其他响应</w:t>
            </w:r>
          </w:p>
        </w:tc>
        <w:tc>
          <w:tcPr>
            <w:tcW w:w="4994" w:type="dxa"/>
            <w:tcBorders>
              <w:top w:val="single" w:color="auto" w:sz="4" w:space="0"/>
              <w:left w:val="single" w:color="auto" w:sz="4" w:space="0"/>
              <w:bottom w:val="single" w:color="auto" w:sz="4" w:space="0"/>
              <w:right w:val="single" w:color="auto" w:sz="4" w:space="0"/>
            </w:tcBorders>
            <w:vAlign w:val="center"/>
          </w:tcPr>
          <w:p w14:paraId="61AA20B3">
            <w:pPr>
              <w:widowControl/>
              <w:kinsoku w:val="0"/>
              <w:autoSpaceDE w:val="0"/>
              <w:autoSpaceDN w:val="0"/>
              <w:adjustRightInd w:val="0"/>
              <w:snapToGrid w:val="0"/>
              <w:spacing w:line="360" w:lineRule="exact"/>
              <w:textAlignment w:val="baseline"/>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符合法律、法规和招标文件中规定的其他实质性要求的</w:t>
            </w:r>
          </w:p>
        </w:tc>
      </w:tr>
    </w:tbl>
    <w:p w14:paraId="6EB73A6F">
      <w:pPr>
        <w:pStyle w:val="56"/>
        <w:spacing w:line="500" w:lineRule="exact"/>
        <w:jc w:val="center"/>
        <w:outlineLvl w:val="1"/>
        <w:rPr>
          <w:rFonts w:hint="eastAsia" w:ascii="宋体" w:hAnsi="宋体" w:eastAsia="宋体" w:cs="宋体"/>
          <w:b/>
          <w:bCs/>
          <w:color w:val="auto"/>
          <w:sz w:val="28"/>
          <w:szCs w:val="28"/>
          <w:highlight w:val="none"/>
        </w:rPr>
      </w:pPr>
      <w:bookmarkStart w:id="264" w:name="_Toc17961"/>
      <w:r>
        <w:rPr>
          <w:rFonts w:hint="eastAsia" w:ascii="宋体" w:hAnsi="宋体" w:eastAsia="宋体" w:cs="宋体"/>
          <w:b/>
          <w:bCs/>
          <w:color w:val="auto"/>
          <w:sz w:val="28"/>
          <w:szCs w:val="28"/>
          <w:highlight w:val="none"/>
        </w:rPr>
        <w:t>评分办法前附表</w:t>
      </w:r>
      <w:bookmarkEnd w:id="257"/>
      <w:bookmarkEnd w:id="258"/>
      <w:bookmarkEnd w:id="259"/>
      <w:bookmarkEnd w:id="260"/>
      <w:bookmarkEnd w:id="261"/>
      <w:bookmarkEnd w:id="264"/>
    </w:p>
    <w:bookmarkEnd w:id="262"/>
    <w:tbl>
      <w:tblPr>
        <w:tblStyle w:val="77"/>
        <w:tblpPr w:leftFromText="180" w:rightFromText="180" w:vertAnchor="text" w:horzAnchor="page" w:tblpXSpec="center" w:tblpYSpec="center"/>
        <w:tblOverlap w:val="never"/>
        <w:tblW w:w="102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211"/>
        <w:gridCol w:w="1667"/>
        <w:gridCol w:w="6691"/>
      </w:tblGrid>
      <w:tr w14:paraId="07DD4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jc w:val="center"/>
        </w:trPr>
        <w:tc>
          <w:tcPr>
            <w:tcW w:w="685" w:type="dxa"/>
          </w:tcPr>
          <w:p w14:paraId="0EB85389">
            <w:pPr>
              <w:kinsoku w:val="0"/>
              <w:autoSpaceDE w:val="0"/>
              <w:autoSpaceDN w:val="0"/>
              <w:adjustRightInd w:val="0"/>
              <w:snapToGrid w:val="0"/>
              <w:spacing w:before="184" w:line="229" w:lineRule="auto"/>
              <w:ind w:left="0" w:leftChars="0" w:firstLine="0" w:firstLineChars="0"/>
              <w:jc w:val="center"/>
              <w:textAlignment w:val="baseline"/>
              <w:outlineLvl w:val="9"/>
              <w:rPr>
                <w:rFonts w:hint="eastAsia" w:ascii="宋体" w:hAnsi="宋体" w:eastAsia="宋体" w:cs="宋体"/>
                <w:snapToGrid w:val="0"/>
                <w:color w:val="auto"/>
                <w:kern w:val="0"/>
                <w:sz w:val="24"/>
                <w:szCs w:val="24"/>
                <w:highlight w:val="none"/>
                <w:lang w:val="en-US" w:eastAsia="en-US" w:bidi="ar-SA"/>
              </w:rPr>
            </w:pPr>
            <w:bookmarkStart w:id="265" w:name="_Toc426369531"/>
            <w:bookmarkStart w:id="266" w:name="_Toc403122541"/>
            <w:bookmarkStart w:id="267" w:name="_Toc7325"/>
            <w:bookmarkStart w:id="268" w:name="_Toc31084"/>
            <w:bookmarkStart w:id="269" w:name="_Toc25544"/>
            <w:r>
              <w:rPr>
                <w:rFonts w:hint="eastAsia" w:ascii="宋体" w:hAnsi="宋体" w:eastAsia="宋体" w:cs="宋体"/>
                <w:b/>
                <w:bCs/>
                <w:snapToGrid w:val="0"/>
                <w:color w:val="auto"/>
                <w:spacing w:val="7"/>
                <w:kern w:val="0"/>
                <w:sz w:val="24"/>
                <w:szCs w:val="24"/>
                <w:highlight w:val="none"/>
                <w:lang w:val="en-US" w:eastAsia="en-US" w:bidi="ar-SA"/>
              </w:rPr>
              <w:t>序号</w:t>
            </w:r>
          </w:p>
        </w:tc>
        <w:tc>
          <w:tcPr>
            <w:tcW w:w="1211" w:type="dxa"/>
          </w:tcPr>
          <w:p w14:paraId="508EB342">
            <w:pPr>
              <w:kinsoku w:val="0"/>
              <w:autoSpaceDE w:val="0"/>
              <w:autoSpaceDN w:val="0"/>
              <w:adjustRightInd w:val="0"/>
              <w:snapToGrid w:val="0"/>
              <w:spacing w:before="184" w:line="228" w:lineRule="auto"/>
              <w:ind w:left="0" w:leftChars="0" w:firstLine="0" w:firstLineChars="0"/>
              <w:jc w:val="center"/>
              <w:textAlignment w:val="baseline"/>
              <w:outlineLvl w:val="9"/>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7"/>
                <w:kern w:val="0"/>
                <w:sz w:val="24"/>
                <w:szCs w:val="24"/>
                <w:highlight w:val="none"/>
                <w:lang w:val="en-US" w:eastAsia="en-US" w:bidi="ar-SA"/>
              </w:rPr>
              <w:t>评分因素及权重</w:t>
            </w:r>
          </w:p>
        </w:tc>
        <w:tc>
          <w:tcPr>
            <w:tcW w:w="1667" w:type="dxa"/>
            <w:vAlign w:val="center"/>
          </w:tcPr>
          <w:p w14:paraId="42714B63">
            <w:pPr>
              <w:kinsoku w:val="0"/>
              <w:autoSpaceDE w:val="0"/>
              <w:autoSpaceDN w:val="0"/>
              <w:adjustRightInd w:val="0"/>
              <w:snapToGrid w:val="0"/>
              <w:spacing w:before="184" w:line="229" w:lineRule="auto"/>
              <w:ind w:left="0" w:leftChars="0" w:firstLine="0" w:firstLineChars="0"/>
              <w:jc w:val="center"/>
              <w:textAlignment w:val="baseline"/>
              <w:outlineLvl w:val="9"/>
              <w:rPr>
                <w:rFonts w:hint="eastAsia" w:ascii="宋体" w:hAnsi="宋体" w:eastAsia="宋体" w:cs="宋体"/>
                <w:b/>
                <w:bCs/>
                <w:snapToGrid w:val="0"/>
                <w:color w:val="auto"/>
                <w:spacing w:val="7"/>
                <w:kern w:val="0"/>
                <w:sz w:val="24"/>
                <w:szCs w:val="24"/>
                <w:highlight w:val="none"/>
                <w:lang w:val="en-US" w:eastAsia="en-US" w:bidi="ar-SA"/>
              </w:rPr>
            </w:pPr>
            <w:r>
              <w:rPr>
                <w:rFonts w:hint="eastAsia" w:ascii="宋体" w:hAnsi="宋体" w:eastAsia="宋体" w:cs="宋体"/>
                <w:b/>
                <w:bCs/>
                <w:snapToGrid w:val="0"/>
                <w:color w:val="auto"/>
                <w:spacing w:val="7"/>
                <w:kern w:val="0"/>
                <w:sz w:val="24"/>
                <w:szCs w:val="24"/>
                <w:highlight w:val="none"/>
                <w:lang w:val="en-US" w:eastAsia="en-US" w:bidi="ar-SA"/>
              </w:rPr>
              <w:t>分值</w:t>
            </w:r>
          </w:p>
        </w:tc>
        <w:tc>
          <w:tcPr>
            <w:tcW w:w="6691" w:type="dxa"/>
            <w:vAlign w:val="center"/>
          </w:tcPr>
          <w:p w14:paraId="4EB9A75C">
            <w:pPr>
              <w:kinsoku w:val="0"/>
              <w:autoSpaceDE w:val="0"/>
              <w:autoSpaceDN w:val="0"/>
              <w:adjustRightInd w:val="0"/>
              <w:snapToGrid w:val="0"/>
              <w:spacing w:before="184" w:line="229" w:lineRule="auto"/>
              <w:ind w:left="0" w:leftChars="0" w:firstLine="0" w:firstLineChars="0"/>
              <w:jc w:val="center"/>
              <w:textAlignment w:val="baseline"/>
              <w:outlineLvl w:val="9"/>
              <w:rPr>
                <w:rFonts w:hint="eastAsia" w:ascii="宋体" w:hAnsi="宋体" w:eastAsia="宋体" w:cs="宋体"/>
                <w:b/>
                <w:bCs/>
                <w:snapToGrid w:val="0"/>
                <w:color w:val="auto"/>
                <w:spacing w:val="7"/>
                <w:kern w:val="0"/>
                <w:sz w:val="24"/>
                <w:szCs w:val="24"/>
                <w:highlight w:val="none"/>
                <w:lang w:val="en-US" w:eastAsia="en-US" w:bidi="ar-SA"/>
              </w:rPr>
            </w:pPr>
            <w:r>
              <w:rPr>
                <w:rFonts w:hint="eastAsia" w:ascii="宋体" w:hAnsi="宋体" w:eastAsia="宋体" w:cs="宋体"/>
                <w:b/>
                <w:bCs/>
                <w:snapToGrid w:val="0"/>
                <w:color w:val="auto"/>
                <w:spacing w:val="7"/>
                <w:kern w:val="0"/>
                <w:sz w:val="24"/>
                <w:szCs w:val="24"/>
                <w:highlight w:val="none"/>
                <w:lang w:val="en-US" w:eastAsia="en-US" w:bidi="ar-SA"/>
              </w:rPr>
              <w:t>评分标准</w:t>
            </w:r>
          </w:p>
        </w:tc>
      </w:tr>
      <w:tr w14:paraId="6B026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1" w:hRule="atLeast"/>
          <w:jc w:val="center"/>
        </w:trPr>
        <w:tc>
          <w:tcPr>
            <w:tcW w:w="685" w:type="dxa"/>
            <w:vAlign w:val="center"/>
          </w:tcPr>
          <w:p w14:paraId="204957C3">
            <w:pPr>
              <w:widowControl/>
              <w:autoSpaceDE w:val="0"/>
              <w:autoSpaceDN w:val="0"/>
              <w:spacing w:line="400" w:lineRule="exact"/>
              <w:ind w:left="0" w:leftChars="0" w:firstLine="0" w:firstLineChars="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p w14:paraId="635593FD">
            <w:pPr>
              <w:widowControl/>
              <w:kinsoku w:val="0"/>
              <w:autoSpaceDE w:val="0"/>
              <w:autoSpaceDN w:val="0"/>
              <w:adjustRightInd w:val="0"/>
              <w:snapToGrid w:val="0"/>
              <w:spacing w:before="78" w:line="400" w:lineRule="exact"/>
              <w:ind w:left="313" w:firstLine="480" w:firstLineChars="200"/>
              <w:jc w:val="center"/>
              <w:textAlignment w:val="baseline"/>
              <w:outlineLvl w:val="9"/>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1</w:t>
            </w:r>
          </w:p>
        </w:tc>
        <w:tc>
          <w:tcPr>
            <w:tcW w:w="1211" w:type="dxa"/>
            <w:vAlign w:val="center"/>
          </w:tcPr>
          <w:p w14:paraId="7D722135">
            <w:pPr>
              <w:widowControl/>
              <w:kinsoku w:val="0"/>
              <w:autoSpaceDE w:val="0"/>
              <w:autoSpaceDN w:val="0"/>
              <w:adjustRightInd w:val="0"/>
              <w:snapToGrid w:val="0"/>
              <w:spacing w:before="78" w:line="400" w:lineRule="exact"/>
              <w:ind w:left="0" w:leftChars="0" w:firstLine="0" w:firstLineChars="0"/>
              <w:jc w:val="both"/>
              <w:textAlignment w:val="baseline"/>
              <w:outlineLvl w:val="9"/>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报价部分</w:t>
            </w:r>
          </w:p>
          <w:p w14:paraId="5128F4A9">
            <w:pPr>
              <w:widowControl/>
              <w:kinsoku w:val="0"/>
              <w:autoSpaceDE w:val="0"/>
              <w:autoSpaceDN w:val="0"/>
              <w:adjustRightInd w:val="0"/>
              <w:snapToGrid w:val="0"/>
              <w:spacing w:before="78" w:line="400" w:lineRule="exact"/>
              <w:ind w:left="0" w:leftChars="0" w:firstLine="0" w:firstLineChars="0"/>
              <w:jc w:val="both"/>
              <w:textAlignment w:val="baseline"/>
              <w:outlineLvl w:val="9"/>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（30分）</w:t>
            </w:r>
          </w:p>
        </w:tc>
        <w:tc>
          <w:tcPr>
            <w:tcW w:w="1667" w:type="dxa"/>
            <w:vAlign w:val="center"/>
          </w:tcPr>
          <w:p w14:paraId="3888EDA8">
            <w:pPr>
              <w:widowControl/>
              <w:kinsoku w:val="0"/>
              <w:autoSpaceDE w:val="0"/>
              <w:autoSpaceDN w:val="0"/>
              <w:adjustRightInd w:val="0"/>
              <w:snapToGrid w:val="0"/>
              <w:spacing w:before="78" w:line="400" w:lineRule="exact"/>
              <w:ind w:left="0" w:leftChars="0" w:firstLine="0" w:firstLineChars="0"/>
              <w:jc w:val="center"/>
              <w:textAlignment w:val="baseline"/>
              <w:outlineLvl w:val="9"/>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投标报价</w:t>
            </w:r>
          </w:p>
          <w:p w14:paraId="2A3583CA">
            <w:pPr>
              <w:widowControl/>
              <w:kinsoku w:val="0"/>
              <w:autoSpaceDE w:val="0"/>
              <w:autoSpaceDN w:val="0"/>
              <w:adjustRightInd w:val="0"/>
              <w:snapToGrid w:val="0"/>
              <w:spacing w:before="78" w:line="400" w:lineRule="exact"/>
              <w:ind w:left="0" w:leftChars="0" w:firstLine="0" w:firstLineChars="0"/>
              <w:jc w:val="center"/>
              <w:textAlignment w:val="baseline"/>
              <w:outlineLvl w:val="9"/>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（30分）</w:t>
            </w:r>
          </w:p>
        </w:tc>
        <w:tc>
          <w:tcPr>
            <w:tcW w:w="6691" w:type="dxa"/>
          </w:tcPr>
          <w:p w14:paraId="0A6C3F90">
            <w:pPr>
              <w:widowControl/>
              <w:kinsoku w:val="0"/>
              <w:autoSpaceDE w:val="0"/>
              <w:autoSpaceDN w:val="0"/>
              <w:adjustRightInd w:val="0"/>
              <w:snapToGrid w:val="0"/>
              <w:spacing w:before="193" w:line="240" w:lineRule="auto"/>
              <w:ind w:left="85" w:firstLine="464" w:firstLineChars="200"/>
              <w:jc w:val="left"/>
              <w:textAlignment w:val="baseline"/>
              <w:outlineLvl w:val="9"/>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投标报价分统一采用低价优先法计算，即满足招标文件要求且投标价格最低的投标报价为评标基准价，其价格分为满分。其他投标人的价格分统一按照下列公式计算：</w:t>
            </w:r>
          </w:p>
          <w:p w14:paraId="616CD1E8">
            <w:pPr>
              <w:widowControl/>
              <w:kinsoku w:val="0"/>
              <w:autoSpaceDE w:val="0"/>
              <w:autoSpaceDN w:val="0"/>
              <w:adjustRightInd w:val="0"/>
              <w:snapToGrid w:val="0"/>
              <w:spacing w:before="193" w:line="240" w:lineRule="auto"/>
              <w:ind w:left="85" w:firstLine="464" w:firstLineChars="200"/>
              <w:jc w:val="left"/>
              <w:textAlignment w:val="baseline"/>
              <w:outlineLvl w:val="9"/>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投标报价得分=（评标基准价/投标报价）×30，计算过程按四舍五入，保留两位小数。</w:t>
            </w:r>
          </w:p>
          <w:p w14:paraId="794CCE46">
            <w:pPr>
              <w:widowControl/>
              <w:kinsoku w:val="0"/>
              <w:autoSpaceDE w:val="0"/>
              <w:autoSpaceDN w:val="0"/>
              <w:adjustRightInd w:val="0"/>
              <w:snapToGrid w:val="0"/>
              <w:spacing w:before="193" w:line="240" w:lineRule="auto"/>
              <w:ind w:left="85" w:firstLine="482" w:firstLineChars="200"/>
              <w:jc w:val="left"/>
              <w:textAlignment w:val="baseline"/>
              <w:outlineLvl w:val="9"/>
              <w:rPr>
                <w:rFonts w:hint="eastAsia" w:ascii="宋体" w:hAnsi="宋体" w:eastAsia="宋体" w:cs="宋体"/>
                <w:b/>
                <w:snapToGrid w:val="0"/>
                <w:color w:val="auto"/>
                <w:kern w:val="0"/>
                <w:sz w:val="24"/>
                <w:szCs w:val="24"/>
                <w:highlight w:val="none"/>
                <w:lang w:val="en-US" w:eastAsia="en-US" w:bidi="ar-SA"/>
              </w:rPr>
            </w:pPr>
            <w:r>
              <w:rPr>
                <w:rFonts w:hint="eastAsia" w:ascii="宋体" w:hAnsi="宋体" w:eastAsia="宋体" w:cs="宋体"/>
                <w:b/>
                <w:snapToGrid w:val="0"/>
                <w:color w:val="auto"/>
                <w:kern w:val="0"/>
                <w:sz w:val="24"/>
                <w:szCs w:val="24"/>
                <w:highlight w:val="none"/>
                <w:lang w:val="en-US" w:eastAsia="en-US" w:bidi="ar-SA"/>
              </w:rPr>
              <w:t>若投标人提供的货物生产商或制造商为小型或微型企业时，报价给予C1的价格扣除（C1的取值为20%），即：评标价＝投标报价（最后报价）×(1－C1）；小微企业应当提供《中小企业声明函》（见格式）</w:t>
            </w:r>
          </w:p>
          <w:p w14:paraId="2CD7B4C4">
            <w:pPr>
              <w:widowControl/>
              <w:kinsoku w:val="0"/>
              <w:autoSpaceDE w:val="0"/>
              <w:autoSpaceDN w:val="0"/>
              <w:adjustRightInd w:val="0"/>
              <w:snapToGrid w:val="0"/>
              <w:spacing w:before="193" w:line="240" w:lineRule="auto"/>
              <w:ind w:left="85" w:firstLine="464" w:firstLineChars="200"/>
              <w:jc w:val="left"/>
              <w:textAlignment w:val="baseline"/>
              <w:outlineLvl w:val="9"/>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注：评标委员会认为投标人的报价明显低于其他通过符合性审查投标人的报价，有可能影响产品质量或者不能诚信履约的，应当要求其在合理的时间内提供书面说明，并提交相关证明材料；投标人不能证明其报价合理性的，评标委员会应当将其作为无效投标处理。</w:t>
            </w:r>
          </w:p>
        </w:tc>
      </w:tr>
      <w:tr w14:paraId="3C909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jc w:val="center"/>
        </w:trPr>
        <w:tc>
          <w:tcPr>
            <w:tcW w:w="685" w:type="dxa"/>
            <w:vMerge w:val="restart"/>
            <w:vAlign w:val="center"/>
          </w:tcPr>
          <w:p w14:paraId="3E578090">
            <w:pPr>
              <w:widowControl/>
              <w:kinsoku w:val="0"/>
              <w:autoSpaceDE w:val="0"/>
              <w:autoSpaceDN w:val="0"/>
              <w:adjustRightInd w:val="0"/>
              <w:snapToGrid w:val="0"/>
              <w:spacing w:before="78" w:line="400" w:lineRule="exact"/>
              <w:ind w:firstLine="240" w:firstLineChars="100"/>
              <w:jc w:val="both"/>
              <w:textAlignment w:val="baseline"/>
              <w:outlineLvl w:val="9"/>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2</w:t>
            </w:r>
          </w:p>
        </w:tc>
        <w:tc>
          <w:tcPr>
            <w:tcW w:w="1211" w:type="dxa"/>
            <w:vMerge w:val="restart"/>
            <w:vAlign w:val="center"/>
          </w:tcPr>
          <w:p w14:paraId="31A67E65">
            <w:pPr>
              <w:widowControl/>
              <w:kinsoku w:val="0"/>
              <w:autoSpaceDE w:val="0"/>
              <w:autoSpaceDN w:val="0"/>
              <w:adjustRightInd w:val="0"/>
              <w:snapToGrid w:val="0"/>
              <w:spacing w:before="78" w:line="400" w:lineRule="exact"/>
              <w:ind w:left="0" w:leftChars="0" w:firstLine="0" w:firstLineChars="0"/>
              <w:jc w:val="both"/>
              <w:textAlignment w:val="baseline"/>
              <w:outlineLvl w:val="9"/>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技术部分</w:t>
            </w:r>
          </w:p>
          <w:p w14:paraId="5017C74C">
            <w:pPr>
              <w:widowControl/>
              <w:kinsoku w:val="0"/>
              <w:autoSpaceDE w:val="0"/>
              <w:autoSpaceDN w:val="0"/>
              <w:adjustRightInd w:val="0"/>
              <w:snapToGrid w:val="0"/>
              <w:spacing w:before="78" w:line="400" w:lineRule="exact"/>
              <w:ind w:left="0" w:leftChars="0" w:firstLine="0" w:firstLineChars="0"/>
              <w:jc w:val="both"/>
              <w:textAlignment w:val="baseline"/>
              <w:outlineLvl w:val="9"/>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w:t>
            </w:r>
            <w:r>
              <w:rPr>
                <w:rFonts w:hint="eastAsia" w:ascii="宋体" w:hAnsi="宋体" w:cs="宋体"/>
                <w:snapToGrid w:val="0"/>
                <w:color w:val="auto"/>
                <w:spacing w:val="-4"/>
                <w:kern w:val="0"/>
                <w:sz w:val="24"/>
                <w:szCs w:val="24"/>
                <w:highlight w:val="none"/>
                <w:lang w:val="en-US" w:eastAsia="zh-CN" w:bidi="ar-SA"/>
              </w:rPr>
              <w:t>50</w:t>
            </w:r>
            <w:r>
              <w:rPr>
                <w:rFonts w:hint="eastAsia" w:ascii="宋体" w:hAnsi="宋体" w:eastAsia="宋体" w:cs="宋体"/>
                <w:snapToGrid w:val="0"/>
                <w:color w:val="auto"/>
                <w:spacing w:val="-4"/>
                <w:kern w:val="0"/>
                <w:sz w:val="24"/>
                <w:szCs w:val="24"/>
                <w:highlight w:val="none"/>
                <w:lang w:val="en-US" w:eastAsia="en-US" w:bidi="ar-SA"/>
              </w:rPr>
              <w:t>分）</w:t>
            </w:r>
          </w:p>
        </w:tc>
        <w:tc>
          <w:tcPr>
            <w:tcW w:w="1667" w:type="dxa"/>
            <w:vAlign w:val="center"/>
          </w:tcPr>
          <w:p w14:paraId="4A0401E7">
            <w:pPr>
              <w:widowControl/>
              <w:kinsoku w:val="0"/>
              <w:autoSpaceDE w:val="0"/>
              <w:autoSpaceDN w:val="0"/>
              <w:adjustRightInd w:val="0"/>
              <w:snapToGrid w:val="0"/>
              <w:spacing w:before="78" w:line="400" w:lineRule="exact"/>
              <w:ind w:left="0" w:leftChars="0" w:firstLine="0" w:firstLineChars="0"/>
              <w:jc w:val="center"/>
              <w:textAlignment w:val="baseline"/>
              <w:outlineLvl w:val="9"/>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技术参数</w:t>
            </w:r>
          </w:p>
          <w:p w14:paraId="668BFA19">
            <w:pPr>
              <w:widowControl/>
              <w:kinsoku w:val="0"/>
              <w:autoSpaceDE w:val="0"/>
              <w:autoSpaceDN w:val="0"/>
              <w:adjustRightInd w:val="0"/>
              <w:snapToGrid w:val="0"/>
              <w:spacing w:before="78" w:line="400" w:lineRule="exact"/>
              <w:ind w:left="0" w:leftChars="0" w:firstLine="0" w:firstLineChars="0"/>
              <w:jc w:val="center"/>
              <w:textAlignment w:val="baseline"/>
              <w:outlineLvl w:val="9"/>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w:t>
            </w:r>
            <w:r>
              <w:rPr>
                <w:rFonts w:hint="eastAsia" w:ascii="宋体" w:hAnsi="宋体" w:cs="宋体"/>
                <w:snapToGrid w:val="0"/>
                <w:color w:val="auto"/>
                <w:spacing w:val="-4"/>
                <w:kern w:val="0"/>
                <w:sz w:val="24"/>
                <w:szCs w:val="24"/>
                <w:highlight w:val="none"/>
                <w:lang w:val="en-US" w:eastAsia="zh-CN" w:bidi="ar-SA"/>
              </w:rPr>
              <w:t>30</w:t>
            </w:r>
            <w:r>
              <w:rPr>
                <w:rFonts w:hint="eastAsia" w:ascii="宋体" w:hAnsi="宋体" w:eastAsia="宋体" w:cs="宋体"/>
                <w:snapToGrid w:val="0"/>
                <w:color w:val="auto"/>
                <w:spacing w:val="-4"/>
                <w:kern w:val="0"/>
                <w:sz w:val="24"/>
                <w:szCs w:val="24"/>
                <w:highlight w:val="none"/>
                <w:lang w:val="en-US" w:eastAsia="en-US" w:bidi="ar-SA"/>
              </w:rPr>
              <w:t>分）</w:t>
            </w:r>
          </w:p>
        </w:tc>
        <w:tc>
          <w:tcPr>
            <w:tcW w:w="6691" w:type="dxa"/>
            <w:shd w:val="clear" w:color="auto" w:fill="auto"/>
            <w:vAlign w:val="center"/>
          </w:tcPr>
          <w:p w14:paraId="23856772">
            <w:pPr>
              <w:widowControl/>
              <w:numPr>
                <w:ilvl w:val="0"/>
                <w:numId w:val="0"/>
              </w:numPr>
              <w:kinsoku w:val="0"/>
              <w:autoSpaceDE w:val="0"/>
              <w:autoSpaceDN w:val="0"/>
              <w:adjustRightInd w:val="0"/>
              <w:snapToGrid w:val="0"/>
              <w:spacing w:before="193" w:line="240" w:lineRule="auto"/>
              <w:jc w:val="left"/>
              <w:textAlignment w:val="baseline"/>
              <w:outlineLvl w:val="9"/>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en-US" w:bidi="ar-SA"/>
              </w:rPr>
              <w:t>投标产品参数根据所投设备技术指标完全满足招标文件参数,得</w:t>
            </w:r>
            <w:r>
              <w:rPr>
                <w:rFonts w:hint="eastAsia" w:ascii="宋体" w:hAnsi="宋体" w:eastAsia="宋体" w:cs="宋体"/>
                <w:snapToGrid w:val="0"/>
                <w:color w:val="auto"/>
                <w:spacing w:val="-4"/>
                <w:kern w:val="0"/>
                <w:sz w:val="24"/>
                <w:szCs w:val="24"/>
                <w:highlight w:val="none"/>
                <w:lang w:val="en-US" w:eastAsia="zh-CN" w:bidi="ar-SA"/>
              </w:rPr>
              <w:t>基本分</w:t>
            </w:r>
            <w:r>
              <w:rPr>
                <w:rFonts w:hint="eastAsia" w:ascii="宋体" w:hAnsi="宋体" w:cs="宋体"/>
                <w:snapToGrid w:val="0"/>
                <w:color w:val="auto"/>
                <w:spacing w:val="-4"/>
                <w:kern w:val="0"/>
                <w:sz w:val="24"/>
                <w:szCs w:val="24"/>
                <w:highlight w:val="none"/>
                <w:lang w:val="en-US" w:eastAsia="zh-CN" w:bidi="ar-SA"/>
              </w:rPr>
              <w:t>30</w:t>
            </w:r>
            <w:r>
              <w:rPr>
                <w:rFonts w:hint="eastAsia" w:ascii="宋体" w:hAnsi="宋体" w:eastAsia="宋体" w:cs="宋体"/>
                <w:snapToGrid w:val="0"/>
                <w:color w:val="auto"/>
                <w:spacing w:val="-4"/>
                <w:kern w:val="0"/>
                <w:sz w:val="24"/>
                <w:szCs w:val="24"/>
                <w:highlight w:val="none"/>
                <w:lang w:val="en-US" w:eastAsia="en-US" w:bidi="ar-SA"/>
              </w:rPr>
              <w:t>分；有一项负偏离扣除</w:t>
            </w:r>
            <w:r>
              <w:rPr>
                <w:rFonts w:hint="eastAsia" w:ascii="宋体" w:hAnsi="宋体" w:cs="宋体"/>
                <w:snapToGrid w:val="0"/>
                <w:color w:val="auto"/>
                <w:spacing w:val="-4"/>
                <w:kern w:val="0"/>
                <w:sz w:val="24"/>
                <w:szCs w:val="24"/>
                <w:highlight w:val="none"/>
                <w:lang w:val="en-US" w:eastAsia="zh-CN" w:bidi="ar-SA"/>
              </w:rPr>
              <w:t>2</w:t>
            </w:r>
            <w:r>
              <w:rPr>
                <w:rFonts w:hint="eastAsia" w:ascii="宋体" w:hAnsi="宋体" w:eastAsia="宋体" w:cs="宋体"/>
                <w:snapToGrid w:val="0"/>
                <w:color w:val="auto"/>
                <w:spacing w:val="-4"/>
                <w:kern w:val="0"/>
                <w:sz w:val="24"/>
                <w:szCs w:val="24"/>
                <w:highlight w:val="none"/>
                <w:lang w:val="en-US" w:eastAsia="en-US" w:bidi="ar-SA"/>
              </w:rPr>
              <w:t>分，扣完为</w:t>
            </w:r>
            <w:r>
              <w:rPr>
                <w:rFonts w:hint="eastAsia" w:ascii="宋体" w:hAnsi="宋体" w:eastAsia="宋体" w:cs="宋体"/>
                <w:b w:val="0"/>
                <w:bCs w:val="0"/>
                <w:snapToGrid w:val="0"/>
                <w:color w:val="auto"/>
                <w:spacing w:val="-4"/>
                <w:kern w:val="0"/>
                <w:sz w:val="24"/>
                <w:szCs w:val="24"/>
                <w:highlight w:val="none"/>
                <w:lang w:val="en-US" w:eastAsia="en-US" w:bidi="ar-SA"/>
              </w:rPr>
              <w:t>止</w:t>
            </w:r>
            <w:r>
              <w:rPr>
                <w:rFonts w:hint="eastAsia" w:ascii="宋体" w:hAnsi="宋体" w:eastAsia="宋体" w:cs="宋体"/>
                <w:b w:val="0"/>
                <w:bCs w:val="0"/>
                <w:color w:val="auto"/>
                <w:spacing w:val="-4"/>
                <w:sz w:val="24"/>
                <w:szCs w:val="24"/>
                <w:highlight w:val="none"/>
              </w:rPr>
              <w:t>。</w:t>
            </w:r>
          </w:p>
        </w:tc>
      </w:tr>
      <w:tr w14:paraId="5778A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9" w:hRule="atLeast"/>
          <w:jc w:val="center"/>
        </w:trPr>
        <w:tc>
          <w:tcPr>
            <w:tcW w:w="685" w:type="dxa"/>
            <w:vMerge w:val="continue"/>
            <w:vAlign w:val="center"/>
          </w:tcPr>
          <w:p w14:paraId="525DC10E">
            <w:pPr>
              <w:widowControl/>
              <w:autoSpaceDE w:val="0"/>
              <w:autoSpaceDN w:val="0"/>
              <w:spacing w:line="400" w:lineRule="exact"/>
              <w:ind w:firstLine="240" w:firstLineChars="100"/>
              <w:jc w:val="center"/>
              <w:outlineLvl w:val="9"/>
              <w:rPr>
                <w:rFonts w:hint="eastAsia" w:ascii="宋体" w:hAnsi="宋体" w:eastAsia="宋体" w:cs="宋体"/>
                <w:color w:val="auto"/>
                <w:sz w:val="24"/>
                <w:szCs w:val="24"/>
                <w:highlight w:val="none"/>
              </w:rPr>
            </w:pPr>
          </w:p>
        </w:tc>
        <w:tc>
          <w:tcPr>
            <w:tcW w:w="1211" w:type="dxa"/>
            <w:vMerge w:val="continue"/>
            <w:vAlign w:val="center"/>
          </w:tcPr>
          <w:p w14:paraId="5A956526">
            <w:pPr>
              <w:widowControl/>
              <w:autoSpaceDE w:val="0"/>
              <w:autoSpaceDN w:val="0"/>
              <w:spacing w:line="400" w:lineRule="exact"/>
              <w:ind w:firstLine="240" w:firstLineChars="100"/>
              <w:outlineLvl w:val="9"/>
              <w:rPr>
                <w:rFonts w:hint="eastAsia" w:ascii="宋体" w:hAnsi="宋体" w:eastAsia="宋体" w:cs="宋体"/>
                <w:color w:val="auto"/>
                <w:sz w:val="24"/>
                <w:szCs w:val="24"/>
                <w:highlight w:val="none"/>
              </w:rPr>
            </w:pPr>
          </w:p>
        </w:tc>
        <w:tc>
          <w:tcPr>
            <w:tcW w:w="1667" w:type="dxa"/>
            <w:vAlign w:val="center"/>
          </w:tcPr>
          <w:p w14:paraId="7C5081E8">
            <w:pPr>
              <w:widowControl/>
              <w:kinsoku w:val="0"/>
              <w:autoSpaceDE w:val="0"/>
              <w:autoSpaceDN w:val="0"/>
              <w:adjustRightInd w:val="0"/>
              <w:snapToGrid w:val="0"/>
              <w:spacing w:before="78" w:line="400" w:lineRule="exact"/>
              <w:ind w:left="0" w:leftChars="0" w:firstLine="0" w:firstLineChars="0"/>
              <w:jc w:val="center"/>
              <w:textAlignment w:val="baseline"/>
              <w:outlineLvl w:val="9"/>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项目实施方案</w:t>
            </w:r>
          </w:p>
          <w:p w14:paraId="23152ECF">
            <w:pPr>
              <w:widowControl/>
              <w:kinsoku w:val="0"/>
              <w:autoSpaceDE w:val="0"/>
              <w:autoSpaceDN w:val="0"/>
              <w:adjustRightInd w:val="0"/>
              <w:snapToGrid w:val="0"/>
              <w:spacing w:before="78" w:line="400" w:lineRule="exact"/>
              <w:ind w:left="0" w:leftChars="0" w:firstLine="0" w:firstLineChars="0"/>
              <w:jc w:val="center"/>
              <w:textAlignment w:val="baseline"/>
              <w:outlineLvl w:val="9"/>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w:t>
            </w:r>
            <w:r>
              <w:rPr>
                <w:rFonts w:hint="eastAsia" w:ascii="宋体" w:hAnsi="宋体" w:cs="宋体"/>
                <w:snapToGrid w:val="0"/>
                <w:color w:val="auto"/>
                <w:spacing w:val="-4"/>
                <w:kern w:val="0"/>
                <w:sz w:val="24"/>
                <w:szCs w:val="24"/>
                <w:highlight w:val="none"/>
                <w:lang w:val="en-US" w:eastAsia="zh-CN" w:bidi="ar-SA"/>
              </w:rPr>
              <w:t>5</w:t>
            </w:r>
            <w:r>
              <w:rPr>
                <w:rFonts w:hint="eastAsia" w:ascii="宋体" w:hAnsi="宋体" w:eastAsia="宋体" w:cs="宋体"/>
                <w:snapToGrid w:val="0"/>
                <w:color w:val="auto"/>
                <w:spacing w:val="-4"/>
                <w:kern w:val="0"/>
                <w:sz w:val="24"/>
                <w:szCs w:val="24"/>
                <w:highlight w:val="none"/>
                <w:lang w:val="en-US" w:eastAsia="en-US" w:bidi="ar-SA"/>
              </w:rPr>
              <w:t>分）</w:t>
            </w:r>
          </w:p>
        </w:tc>
        <w:tc>
          <w:tcPr>
            <w:tcW w:w="6691" w:type="dxa"/>
            <w:vAlign w:val="center"/>
          </w:tcPr>
          <w:p w14:paraId="4269FBFC">
            <w:pPr>
              <w:widowControl/>
              <w:kinsoku w:val="0"/>
              <w:autoSpaceDE w:val="0"/>
              <w:autoSpaceDN w:val="0"/>
              <w:adjustRightInd w:val="0"/>
              <w:snapToGrid w:val="0"/>
              <w:spacing w:line="240" w:lineRule="auto"/>
              <w:ind w:firstLine="464" w:firstLineChars="20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投标人针对本项目提供详细的实施方案，包括但不限于项目实施进度、项目人员安排、应急响应、巡检方案等。</w:t>
            </w:r>
          </w:p>
          <w:p w14:paraId="637AE0FE">
            <w:pPr>
              <w:widowControl/>
              <w:kinsoku w:val="0"/>
              <w:autoSpaceDE w:val="0"/>
              <w:autoSpaceDN w:val="0"/>
              <w:adjustRightInd w:val="0"/>
              <w:snapToGrid w:val="0"/>
              <w:spacing w:line="240" w:lineRule="auto"/>
              <w:ind w:firstLine="464" w:firstLineChars="20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1.能够完全满足需求，并且方案详尽，得</w:t>
            </w:r>
            <w:r>
              <w:rPr>
                <w:rFonts w:hint="eastAsia" w:ascii="宋体" w:hAnsi="宋体" w:cs="宋体"/>
                <w:color w:val="auto"/>
                <w:spacing w:val="-4"/>
                <w:sz w:val="24"/>
                <w:szCs w:val="24"/>
                <w:highlight w:val="none"/>
                <w:lang w:val="en-US" w:eastAsia="zh-CN"/>
              </w:rPr>
              <w:t>5</w:t>
            </w:r>
            <w:r>
              <w:rPr>
                <w:rFonts w:hint="eastAsia" w:ascii="宋体" w:hAnsi="宋体" w:eastAsia="宋体" w:cs="宋体"/>
                <w:color w:val="auto"/>
                <w:spacing w:val="-4"/>
                <w:sz w:val="24"/>
                <w:szCs w:val="24"/>
                <w:highlight w:val="none"/>
              </w:rPr>
              <w:t>分；</w:t>
            </w:r>
          </w:p>
          <w:p w14:paraId="3A992E9C">
            <w:pPr>
              <w:widowControl/>
              <w:kinsoku w:val="0"/>
              <w:autoSpaceDE w:val="0"/>
              <w:autoSpaceDN w:val="0"/>
              <w:adjustRightInd w:val="0"/>
              <w:snapToGrid w:val="0"/>
              <w:spacing w:line="240" w:lineRule="auto"/>
              <w:ind w:firstLine="464" w:firstLineChars="20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2.基本满足需求，方案基本详尽，得</w:t>
            </w:r>
            <w:r>
              <w:rPr>
                <w:rFonts w:hint="eastAsia" w:ascii="宋体" w:hAnsi="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分；</w:t>
            </w:r>
          </w:p>
          <w:p w14:paraId="622A05CC">
            <w:pPr>
              <w:widowControl/>
              <w:kinsoku w:val="0"/>
              <w:autoSpaceDE w:val="0"/>
              <w:autoSpaceDN w:val="0"/>
              <w:adjustRightInd w:val="0"/>
              <w:snapToGrid w:val="0"/>
              <w:spacing w:line="240" w:lineRule="auto"/>
              <w:ind w:firstLine="464" w:firstLineChars="20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3.基本满足需求，方案不够详尽，得1分；</w:t>
            </w:r>
          </w:p>
          <w:p w14:paraId="3FA750BA">
            <w:pPr>
              <w:widowControl/>
              <w:kinsoku w:val="0"/>
              <w:autoSpaceDE w:val="0"/>
              <w:autoSpaceDN w:val="0"/>
              <w:adjustRightInd w:val="0"/>
              <w:snapToGrid w:val="0"/>
              <w:spacing w:line="240" w:lineRule="auto"/>
              <w:ind w:firstLine="464" w:firstLineChars="20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4.未提供的不得分。</w:t>
            </w:r>
          </w:p>
        </w:tc>
      </w:tr>
      <w:tr w14:paraId="506A6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85" w:type="dxa"/>
            <w:vMerge w:val="continue"/>
            <w:vAlign w:val="center"/>
          </w:tcPr>
          <w:p w14:paraId="38A2E2A0">
            <w:pPr>
              <w:widowControl/>
              <w:autoSpaceDE w:val="0"/>
              <w:autoSpaceDN w:val="0"/>
              <w:spacing w:line="400" w:lineRule="exact"/>
              <w:ind w:firstLine="480" w:firstLineChars="200"/>
              <w:jc w:val="center"/>
              <w:outlineLvl w:val="9"/>
              <w:rPr>
                <w:rFonts w:hint="eastAsia" w:ascii="宋体" w:hAnsi="宋体" w:eastAsia="宋体" w:cs="宋体"/>
                <w:color w:val="auto"/>
                <w:sz w:val="24"/>
                <w:szCs w:val="24"/>
                <w:highlight w:val="none"/>
              </w:rPr>
            </w:pPr>
          </w:p>
        </w:tc>
        <w:tc>
          <w:tcPr>
            <w:tcW w:w="1211" w:type="dxa"/>
            <w:vMerge w:val="continue"/>
            <w:vAlign w:val="center"/>
          </w:tcPr>
          <w:p w14:paraId="19C6B935">
            <w:pPr>
              <w:widowControl/>
              <w:autoSpaceDE w:val="0"/>
              <w:autoSpaceDN w:val="0"/>
              <w:spacing w:line="400" w:lineRule="exact"/>
              <w:ind w:firstLine="480" w:firstLineChars="200"/>
              <w:jc w:val="center"/>
              <w:outlineLvl w:val="9"/>
              <w:rPr>
                <w:rFonts w:hint="eastAsia" w:ascii="宋体" w:hAnsi="宋体" w:eastAsia="宋体" w:cs="宋体"/>
                <w:color w:val="auto"/>
                <w:sz w:val="24"/>
                <w:szCs w:val="24"/>
                <w:highlight w:val="none"/>
              </w:rPr>
            </w:pPr>
          </w:p>
        </w:tc>
        <w:tc>
          <w:tcPr>
            <w:tcW w:w="1667" w:type="dxa"/>
            <w:vAlign w:val="center"/>
          </w:tcPr>
          <w:p w14:paraId="42DF6C56">
            <w:pPr>
              <w:widowControl/>
              <w:kinsoku w:val="0"/>
              <w:autoSpaceDE w:val="0"/>
              <w:autoSpaceDN w:val="0"/>
              <w:adjustRightInd w:val="0"/>
              <w:snapToGrid w:val="0"/>
              <w:spacing w:before="78" w:line="400" w:lineRule="exact"/>
              <w:ind w:left="0" w:leftChars="0" w:firstLine="0" w:firstLineChars="0"/>
              <w:jc w:val="center"/>
              <w:textAlignment w:val="baseline"/>
              <w:outlineLvl w:val="9"/>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供货方案及措施（</w:t>
            </w:r>
            <w:r>
              <w:rPr>
                <w:rFonts w:hint="eastAsia" w:ascii="宋体" w:hAnsi="宋体" w:cs="宋体"/>
                <w:snapToGrid w:val="0"/>
                <w:color w:val="auto"/>
                <w:spacing w:val="-4"/>
                <w:kern w:val="0"/>
                <w:sz w:val="24"/>
                <w:szCs w:val="24"/>
                <w:highlight w:val="none"/>
                <w:lang w:val="en-US" w:eastAsia="zh-CN" w:bidi="ar-SA"/>
              </w:rPr>
              <w:t>5</w:t>
            </w:r>
            <w:r>
              <w:rPr>
                <w:rFonts w:hint="eastAsia" w:ascii="宋体" w:hAnsi="宋体" w:eastAsia="宋体" w:cs="宋体"/>
                <w:snapToGrid w:val="0"/>
                <w:color w:val="auto"/>
                <w:spacing w:val="-4"/>
                <w:kern w:val="0"/>
                <w:sz w:val="24"/>
                <w:szCs w:val="24"/>
                <w:highlight w:val="none"/>
                <w:lang w:val="en-US" w:eastAsia="en-US" w:bidi="ar-SA"/>
              </w:rPr>
              <w:t>分）</w:t>
            </w:r>
          </w:p>
        </w:tc>
        <w:tc>
          <w:tcPr>
            <w:tcW w:w="6691" w:type="dxa"/>
            <w:vAlign w:val="center"/>
          </w:tcPr>
          <w:p w14:paraId="6E913BA2">
            <w:pPr>
              <w:widowControl/>
              <w:kinsoku w:val="0"/>
              <w:autoSpaceDE w:val="0"/>
              <w:autoSpaceDN w:val="0"/>
              <w:adjustRightInd w:val="0"/>
              <w:snapToGrid w:val="0"/>
              <w:spacing w:line="240" w:lineRule="auto"/>
              <w:ind w:firstLine="464" w:firstLineChars="20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根据采购人实际需求，针对项目实际情况，投标人对所供货物制定详细的供货方案和措施。</w:t>
            </w:r>
          </w:p>
          <w:p w14:paraId="064BDE04">
            <w:pPr>
              <w:widowControl/>
              <w:kinsoku w:val="0"/>
              <w:autoSpaceDE w:val="0"/>
              <w:autoSpaceDN w:val="0"/>
              <w:adjustRightInd w:val="0"/>
              <w:snapToGrid w:val="0"/>
              <w:spacing w:line="240" w:lineRule="auto"/>
              <w:ind w:firstLine="464" w:firstLineChars="20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1.能够完全满足需求，并且方案详尽，得</w:t>
            </w:r>
            <w:r>
              <w:rPr>
                <w:rFonts w:hint="eastAsia" w:ascii="宋体" w:hAnsi="宋体" w:cs="宋体"/>
                <w:color w:val="auto"/>
                <w:spacing w:val="-4"/>
                <w:sz w:val="24"/>
                <w:szCs w:val="24"/>
                <w:highlight w:val="none"/>
                <w:lang w:val="en-US" w:eastAsia="zh-CN"/>
              </w:rPr>
              <w:t>5</w:t>
            </w:r>
            <w:r>
              <w:rPr>
                <w:rFonts w:hint="eastAsia" w:ascii="宋体" w:hAnsi="宋体" w:eastAsia="宋体" w:cs="宋体"/>
                <w:color w:val="auto"/>
                <w:spacing w:val="-4"/>
                <w:sz w:val="24"/>
                <w:szCs w:val="24"/>
                <w:highlight w:val="none"/>
              </w:rPr>
              <w:t>分；</w:t>
            </w:r>
          </w:p>
          <w:p w14:paraId="030E1FC2">
            <w:pPr>
              <w:widowControl/>
              <w:kinsoku w:val="0"/>
              <w:autoSpaceDE w:val="0"/>
              <w:autoSpaceDN w:val="0"/>
              <w:adjustRightInd w:val="0"/>
              <w:snapToGrid w:val="0"/>
              <w:spacing w:line="240" w:lineRule="auto"/>
              <w:ind w:firstLine="464" w:firstLineChars="20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2.基本满足需求，方案基本详尽，得3分；</w:t>
            </w:r>
          </w:p>
          <w:p w14:paraId="708EE55D">
            <w:pPr>
              <w:widowControl/>
              <w:kinsoku w:val="0"/>
              <w:autoSpaceDE w:val="0"/>
              <w:autoSpaceDN w:val="0"/>
              <w:adjustRightInd w:val="0"/>
              <w:snapToGrid w:val="0"/>
              <w:spacing w:line="240" w:lineRule="auto"/>
              <w:ind w:firstLine="464" w:firstLineChars="20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3.基本满足需求，方案不够详尽，得1分；</w:t>
            </w:r>
          </w:p>
          <w:p w14:paraId="7B23A0D5">
            <w:pPr>
              <w:widowControl/>
              <w:kinsoku w:val="0"/>
              <w:autoSpaceDE w:val="0"/>
              <w:autoSpaceDN w:val="0"/>
              <w:adjustRightInd w:val="0"/>
              <w:snapToGrid w:val="0"/>
              <w:spacing w:line="240" w:lineRule="auto"/>
              <w:ind w:firstLine="464" w:firstLineChars="20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4.未提供的不得分。</w:t>
            </w:r>
          </w:p>
        </w:tc>
      </w:tr>
      <w:tr w14:paraId="1CB41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0" w:hRule="atLeast"/>
          <w:jc w:val="center"/>
        </w:trPr>
        <w:tc>
          <w:tcPr>
            <w:tcW w:w="685" w:type="dxa"/>
            <w:vMerge w:val="continue"/>
            <w:vAlign w:val="center"/>
          </w:tcPr>
          <w:p w14:paraId="2DEF0BB9">
            <w:pPr>
              <w:widowControl/>
              <w:autoSpaceDE w:val="0"/>
              <w:autoSpaceDN w:val="0"/>
              <w:spacing w:line="400" w:lineRule="exact"/>
              <w:ind w:firstLine="480" w:firstLineChars="200"/>
              <w:jc w:val="center"/>
              <w:outlineLvl w:val="9"/>
              <w:rPr>
                <w:rFonts w:hint="eastAsia" w:ascii="宋体" w:hAnsi="宋体" w:eastAsia="宋体" w:cs="宋体"/>
                <w:color w:val="auto"/>
                <w:sz w:val="24"/>
                <w:szCs w:val="24"/>
                <w:highlight w:val="none"/>
              </w:rPr>
            </w:pPr>
          </w:p>
        </w:tc>
        <w:tc>
          <w:tcPr>
            <w:tcW w:w="1211" w:type="dxa"/>
            <w:vMerge w:val="continue"/>
            <w:vAlign w:val="center"/>
          </w:tcPr>
          <w:p w14:paraId="1EBF1C7B">
            <w:pPr>
              <w:widowControl/>
              <w:autoSpaceDE w:val="0"/>
              <w:autoSpaceDN w:val="0"/>
              <w:spacing w:line="400" w:lineRule="exact"/>
              <w:ind w:firstLine="480" w:firstLineChars="200"/>
              <w:jc w:val="center"/>
              <w:outlineLvl w:val="9"/>
              <w:rPr>
                <w:rFonts w:hint="eastAsia" w:ascii="宋体" w:hAnsi="宋体" w:eastAsia="宋体" w:cs="宋体"/>
                <w:color w:val="auto"/>
                <w:sz w:val="24"/>
                <w:szCs w:val="24"/>
                <w:highlight w:val="none"/>
              </w:rPr>
            </w:pPr>
          </w:p>
        </w:tc>
        <w:tc>
          <w:tcPr>
            <w:tcW w:w="1667" w:type="dxa"/>
            <w:vAlign w:val="center"/>
          </w:tcPr>
          <w:p w14:paraId="7D2BFB72">
            <w:pPr>
              <w:widowControl/>
              <w:kinsoku w:val="0"/>
              <w:autoSpaceDE w:val="0"/>
              <w:autoSpaceDN w:val="0"/>
              <w:adjustRightInd w:val="0"/>
              <w:snapToGrid w:val="0"/>
              <w:spacing w:before="78" w:line="400" w:lineRule="exact"/>
              <w:ind w:left="0" w:leftChars="0" w:firstLine="0" w:firstLineChars="0"/>
              <w:jc w:val="center"/>
              <w:textAlignment w:val="baseline"/>
              <w:outlineLvl w:val="9"/>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安装、调试方案（</w:t>
            </w:r>
            <w:r>
              <w:rPr>
                <w:rFonts w:hint="eastAsia" w:ascii="宋体" w:hAnsi="宋体" w:cs="宋体"/>
                <w:snapToGrid w:val="0"/>
                <w:color w:val="auto"/>
                <w:spacing w:val="-4"/>
                <w:kern w:val="0"/>
                <w:sz w:val="24"/>
                <w:szCs w:val="24"/>
                <w:highlight w:val="none"/>
                <w:lang w:val="en-US" w:eastAsia="zh-CN" w:bidi="ar-SA"/>
              </w:rPr>
              <w:t>5</w:t>
            </w:r>
            <w:r>
              <w:rPr>
                <w:rFonts w:hint="eastAsia" w:ascii="宋体" w:hAnsi="宋体" w:eastAsia="宋体" w:cs="宋体"/>
                <w:snapToGrid w:val="0"/>
                <w:color w:val="auto"/>
                <w:spacing w:val="-4"/>
                <w:kern w:val="0"/>
                <w:sz w:val="24"/>
                <w:szCs w:val="24"/>
                <w:highlight w:val="none"/>
                <w:lang w:val="en-US" w:eastAsia="en-US" w:bidi="ar-SA"/>
              </w:rPr>
              <w:t>分）</w:t>
            </w:r>
          </w:p>
        </w:tc>
        <w:tc>
          <w:tcPr>
            <w:tcW w:w="6691" w:type="dxa"/>
            <w:vAlign w:val="center"/>
          </w:tcPr>
          <w:p w14:paraId="774FE634">
            <w:pPr>
              <w:widowControl/>
              <w:kinsoku w:val="0"/>
              <w:autoSpaceDE w:val="0"/>
              <w:autoSpaceDN w:val="0"/>
              <w:adjustRightInd w:val="0"/>
              <w:snapToGrid w:val="0"/>
              <w:spacing w:line="240" w:lineRule="auto"/>
              <w:ind w:firstLine="464" w:firstLineChars="20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根据采购人实际需求，针对项目实际情况，投标人对所供货品安装、调试制定详细计划方案和措施。</w:t>
            </w:r>
          </w:p>
          <w:p w14:paraId="178F8A4C">
            <w:pPr>
              <w:widowControl/>
              <w:kinsoku w:val="0"/>
              <w:autoSpaceDE w:val="0"/>
              <w:autoSpaceDN w:val="0"/>
              <w:adjustRightInd w:val="0"/>
              <w:snapToGrid w:val="0"/>
              <w:spacing w:line="240" w:lineRule="auto"/>
              <w:ind w:firstLine="464" w:firstLineChars="20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1.能够完全满足需求，并且方案详尽，得</w:t>
            </w:r>
            <w:r>
              <w:rPr>
                <w:rFonts w:hint="eastAsia" w:ascii="宋体" w:hAnsi="宋体" w:cs="宋体"/>
                <w:color w:val="auto"/>
                <w:spacing w:val="-4"/>
                <w:sz w:val="24"/>
                <w:szCs w:val="24"/>
                <w:highlight w:val="none"/>
                <w:lang w:val="en-US" w:eastAsia="zh-CN"/>
              </w:rPr>
              <w:t>5</w:t>
            </w:r>
            <w:r>
              <w:rPr>
                <w:rFonts w:hint="eastAsia" w:ascii="宋体" w:hAnsi="宋体" w:eastAsia="宋体" w:cs="宋体"/>
                <w:color w:val="auto"/>
                <w:spacing w:val="-4"/>
                <w:sz w:val="24"/>
                <w:szCs w:val="24"/>
                <w:highlight w:val="none"/>
              </w:rPr>
              <w:t>分；</w:t>
            </w:r>
          </w:p>
          <w:p w14:paraId="4CE51511">
            <w:pPr>
              <w:widowControl/>
              <w:kinsoku w:val="0"/>
              <w:autoSpaceDE w:val="0"/>
              <w:autoSpaceDN w:val="0"/>
              <w:adjustRightInd w:val="0"/>
              <w:snapToGrid w:val="0"/>
              <w:spacing w:line="240" w:lineRule="auto"/>
              <w:ind w:firstLine="464" w:firstLineChars="20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2.基本满足需求，方案基本详尽，得3分；</w:t>
            </w:r>
          </w:p>
          <w:p w14:paraId="1EF7FEA4">
            <w:pPr>
              <w:widowControl/>
              <w:kinsoku w:val="0"/>
              <w:autoSpaceDE w:val="0"/>
              <w:autoSpaceDN w:val="0"/>
              <w:adjustRightInd w:val="0"/>
              <w:snapToGrid w:val="0"/>
              <w:spacing w:line="240" w:lineRule="auto"/>
              <w:ind w:firstLine="464" w:firstLineChars="20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3.基本满足需求，方案不够详尽，得1分；</w:t>
            </w:r>
          </w:p>
          <w:p w14:paraId="5FF58F52">
            <w:pPr>
              <w:widowControl/>
              <w:kinsoku w:val="0"/>
              <w:autoSpaceDE w:val="0"/>
              <w:autoSpaceDN w:val="0"/>
              <w:adjustRightInd w:val="0"/>
              <w:snapToGrid w:val="0"/>
              <w:spacing w:line="240" w:lineRule="auto"/>
              <w:ind w:firstLine="464" w:firstLineChars="20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4.未提供的不得分。</w:t>
            </w:r>
          </w:p>
        </w:tc>
      </w:tr>
      <w:tr w14:paraId="17999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5" w:hRule="atLeast"/>
          <w:jc w:val="center"/>
        </w:trPr>
        <w:tc>
          <w:tcPr>
            <w:tcW w:w="685" w:type="dxa"/>
            <w:vMerge w:val="continue"/>
            <w:vAlign w:val="center"/>
          </w:tcPr>
          <w:p w14:paraId="35EBCC20">
            <w:pPr>
              <w:widowControl/>
              <w:autoSpaceDE w:val="0"/>
              <w:autoSpaceDN w:val="0"/>
              <w:spacing w:line="400" w:lineRule="exact"/>
              <w:ind w:firstLine="480" w:firstLineChars="200"/>
              <w:jc w:val="center"/>
              <w:outlineLvl w:val="9"/>
              <w:rPr>
                <w:rFonts w:hint="eastAsia" w:ascii="宋体" w:hAnsi="宋体" w:eastAsia="宋体" w:cs="宋体"/>
                <w:color w:val="auto"/>
                <w:sz w:val="24"/>
                <w:szCs w:val="24"/>
                <w:highlight w:val="none"/>
              </w:rPr>
            </w:pPr>
          </w:p>
        </w:tc>
        <w:tc>
          <w:tcPr>
            <w:tcW w:w="1211" w:type="dxa"/>
            <w:vMerge w:val="continue"/>
            <w:vAlign w:val="center"/>
          </w:tcPr>
          <w:p w14:paraId="22B65471">
            <w:pPr>
              <w:widowControl/>
              <w:autoSpaceDE w:val="0"/>
              <w:autoSpaceDN w:val="0"/>
              <w:spacing w:line="400" w:lineRule="exact"/>
              <w:ind w:firstLine="480" w:firstLineChars="200"/>
              <w:jc w:val="center"/>
              <w:outlineLvl w:val="9"/>
              <w:rPr>
                <w:rFonts w:hint="eastAsia" w:ascii="宋体" w:hAnsi="宋体" w:eastAsia="宋体" w:cs="宋体"/>
                <w:color w:val="auto"/>
                <w:sz w:val="24"/>
                <w:szCs w:val="24"/>
                <w:highlight w:val="none"/>
              </w:rPr>
            </w:pPr>
          </w:p>
        </w:tc>
        <w:tc>
          <w:tcPr>
            <w:tcW w:w="1667" w:type="dxa"/>
            <w:tcBorders>
              <w:bottom w:val="single" w:color="auto" w:sz="4" w:space="0"/>
            </w:tcBorders>
            <w:shd w:val="clear" w:color="auto" w:fill="auto"/>
            <w:vAlign w:val="center"/>
          </w:tcPr>
          <w:p w14:paraId="30A6CCA2">
            <w:pPr>
              <w:widowControl/>
              <w:kinsoku w:val="0"/>
              <w:autoSpaceDE w:val="0"/>
              <w:autoSpaceDN w:val="0"/>
              <w:adjustRightInd w:val="0"/>
              <w:snapToGrid w:val="0"/>
              <w:spacing w:before="78" w:line="400" w:lineRule="exact"/>
              <w:ind w:left="0" w:leftChars="0" w:firstLine="0" w:firstLineChars="0"/>
              <w:jc w:val="center"/>
              <w:textAlignment w:val="baseline"/>
              <w:outlineLvl w:val="9"/>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质量保证措施</w:t>
            </w:r>
          </w:p>
          <w:p w14:paraId="663BA0A8">
            <w:pPr>
              <w:widowControl/>
              <w:kinsoku w:val="0"/>
              <w:autoSpaceDE w:val="0"/>
              <w:autoSpaceDN w:val="0"/>
              <w:adjustRightInd w:val="0"/>
              <w:snapToGrid w:val="0"/>
              <w:spacing w:before="78" w:line="400" w:lineRule="exact"/>
              <w:ind w:left="0" w:leftChars="0" w:firstLine="0" w:firstLineChars="0"/>
              <w:jc w:val="center"/>
              <w:textAlignment w:val="baseline"/>
              <w:outlineLvl w:val="9"/>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w:t>
            </w:r>
            <w:r>
              <w:rPr>
                <w:rFonts w:hint="eastAsia" w:ascii="宋体" w:hAnsi="宋体" w:cs="宋体"/>
                <w:snapToGrid w:val="0"/>
                <w:color w:val="auto"/>
                <w:spacing w:val="-4"/>
                <w:kern w:val="0"/>
                <w:sz w:val="24"/>
                <w:szCs w:val="24"/>
                <w:highlight w:val="none"/>
                <w:lang w:val="en-US" w:eastAsia="zh-CN" w:bidi="ar-SA"/>
              </w:rPr>
              <w:t>5</w:t>
            </w:r>
            <w:r>
              <w:rPr>
                <w:rFonts w:hint="eastAsia" w:ascii="宋体" w:hAnsi="宋体" w:eastAsia="宋体" w:cs="宋体"/>
                <w:snapToGrid w:val="0"/>
                <w:color w:val="auto"/>
                <w:spacing w:val="-4"/>
                <w:kern w:val="0"/>
                <w:sz w:val="24"/>
                <w:szCs w:val="24"/>
                <w:highlight w:val="none"/>
                <w:lang w:val="en-US" w:eastAsia="en-US" w:bidi="ar-SA"/>
              </w:rPr>
              <w:t>分）</w:t>
            </w:r>
          </w:p>
        </w:tc>
        <w:tc>
          <w:tcPr>
            <w:tcW w:w="6691" w:type="dxa"/>
            <w:tcBorders>
              <w:bottom w:val="single" w:color="auto" w:sz="4" w:space="0"/>
            </w:tcBorders>
            <w:shd w:val="clear" w:color="auto" w:fill="auto"/>
            <w:vAlign w:val="center"/>
          </w:tcPr>
          <w:p w14:paraId="00D84967">
            <w:pPr>
              <w:widowControl/>
              <w:autoSpaceDE w:val="0"/>
              <w:autoSpaceDN w:val="0"/>
              <w:spacing w:line="240" w:lineRule="auto"/>
              <w:ind w:firstLine="480" w:firstLineChars="200"/>
              <w:outlineLvl w:val="9"/>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投标人针对本项目提供包括但不限于货物运输、项目实施等质量保障预案等。</w:t>
            </w:r>
          </w:p>
          <w:p w14:paraId="555D39F3">
            <w:pPr>
              <w:widowControl/>
              <w:kinsoku w:val="0"/>
              <w:autoSpaceDE w:val="0"/>
              <w:autoSpaceDN w:val="0"/>
              <w:adjustRightInd w:val="0"/>
              <w:snapToGrid w:val="0"/>
              <w:spacing w:line="240" w:lineRule="auto"/>
              <w:ind w:firstLine="464" w:firstLineChars="20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1.能够完全满足需求，并且方案详尽，得</w:t>
            </w:r>
            <w:r>
              <w:rPr>
                <w:rFonts w:hint="eastAsia" w:ascii="宋体" w:hAnsi="宋体" w:cs="宋体"/>
                <w:color w:val="auto"/>
                <w:spacing w:val="-4"/>
                <w:sz w:val="24"/>
                <w:szCs w:val="24"/>
                <w:highlight w:val="none"/>
                <w:lang w:val="en-US" w:eastAsia="zh-CN"/>
              </w:rPr>
              <w:t>5</w:t>
            </w:r>
            <w:r>
              <w:rPr>
                <w:rFonts w:hint="eastAsia" w:ascii="宋体" w:hAnsi="宋体" w:eastAsia="宋体" w:cs="宋体"/>
                <w:color w:val="auto"/>
                <w:spacing w:val="-4"/>
                <w:sz w:val="24"/>
                <w:szCs w:val="24"/>
                <w:highlight w:val="none"/>
              </w:rPr>
              <w:t>分；</w:t>
            </w:r>
          </w:p>
          <w:p w14:paraId="2D0ED16A">
            <w:pPr>
              <w:widowControl/>
              <w:kinsoku w:val="0"/>
              <w:autoSpaceDE w:val="0"/>
              <w:autoSpaceDN w:val="0"/>
              <w:adjustRightInd w:val="0"/>
              <w:snapToGrid w:val="0"/>
              <w:spacing w:line="240" w:lineRule="auto"/>
              <w:ind w:firstLine="464" w:firstLineChars="20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2.基本满足需求，方案基本详尽，得3分；</w:t>
            </w:r>
          </w:p>
          <w:p w14:paraId="7004B33E">
            <w:pPr>
              <w:widowControl/>
              <w:kinsoku w:val="0"/>
              <w:autoSpaceDE w:val="0"/>
              <w:autoSpaceDN w:val="0"/>
              <w:adjustRightInd w:val="0"/>
              <w:snapToGrid w:val="0"/>
              <w:spacing w:line="240" w:lineRule="auto"/>
              <w:ind w:firstLine="464" w:firstLineChars="20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3.基本满足需求，方案不够详尽，得1分；</w:t>
            </w:r>
          </w:p>
          <w:p w14:paraId="52CC4B02">
            <w:pPr>
              <w:widowControl/>
              <w:autoSpaceDE w:val="0"/>
              <w:autoSpaceDN w:val="0"/>
              <w:spacing w:line="240" w:lineRule="auto"/>
              <w:ind w:firstLine="464" w:firstLineChars="200"/>
              <w:outlineLvl w:val="9"/>
              <w:rPr>
                <w:rFonts w:hint="eastAsia" w:ascii="宋体" w:hAnsi="宋体" w:eastAsia="宋体" w:cs="宋体"/>
                <w:snapToGrid w:val="0"/>
                <w:color w:val="auto"/>
                <w:sz w:val="24"/>
                <w:szCs w:val="24"/>
                <w:highlight w:val="none"/>
              </w:rPr>
            </w:pPr>
            <w:r>
              <w:rPr>
                <w:rFonts w:hint="eastAsia" w:ascii="宋体" w:hAnsi="宋体" w:eastAsia="宋体" w:cs="宋体"/>
                <w:color w:val="auto"/>
                <w:spacing w:val="-4"/>
                <w:sz w:val="24"/>
                <w:szCs w:val="24"/>
                <w:highlight w:val="none"/>
              </w:rPr>
              <w:t>4.未提供的不得分。</w:t>
            </w:r>
          </w:p>
        </w:tc>
      </w:tr>
      <w:tr w14:paraId="34759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4" w:hRule="atLeast"/>
          <w:jc w:val="center"/>
        </w:trPr>
        <w:tc>
          <w:tcPr>
            <w:tcW w:w="685" w:type="dxa"/>
            <w:vMerge w:val="restart"/>
            <w:vAlign w:val="center"/>
          </w:tcPr>
          <w:p w14:paraId="55F4F678">
            <w:pPr>
              <w:widowControl/>
              <w:autoSpaceDE w:val="0"/>
              <w:autoSpaceDN w:val="0"/>
              <w:spacing w:line="400" w:lineRule="exact"/>
              <w:ind w:firstLine="240" w:firstLineChars="10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11" w:type="dxa"/>
            <w:vMerge w:val="restart"/>
            <w:vAlign w:val="center"/>
          </w:tcPr>
          <w:p w14:paraId="7578A67D">
            <w:pPr>
              <w:widowControl/>
              <w:kinsoku w:val="0"/>
              <w:autoSpaceDE w:val="0"/>
              <w:autoSpaceDN w:val="0"/>
              <w:adjustRightInd w:val="0"/>
              <w:snapToGrid w:val="0"/>
              <w:spacing w:before="78" w:line="400" w:lineRule="exact"/>
              <w:ind w:left="0" w:leftChars="0" w:firstLine="0" w:firstLineChars="0"/>
              <w:jc w:val="both"/>
              <w:textAlignment w:val="baseline"/>
              <w:outlineLvl w:val="9"/>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综合部分</w:t>
            </w:r>
          </w:p>
          <w:p w14:paraId="71E4EDD7">
            <w:pPr>
              <w:widowControl/>
              <w:kinsoku w:val="0"/>
              <w:autoSpaceDE w:val="0"/>
              <w:autoSpaceDN w:val="0"/>
              <w:adjustRightInd w:val="0"/>
              <w:snapToGrid w:val="0"/>
              <w:spacing w:before="78" w:line="400" w:lineRule="exact"/>
              <w:ind w:left="0" w:leftChars="0" w:firstLine="0" w:firstLineChars="0"/>
              <w:jc w:val="both"/>
              <w:textAlignment w:val="baseline"/>
              <w:outlineLvl w:val="9"/>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（2</w:t>
            </w:r>
            <w:r>
              <w:rPr>
                <w:rFonts w:hint="eastAsia" w:ascii="宋体" w:hAnsi="宋体" w:cs="宋体"/>
                <w:snapToGrid w:val="0"/>
                <w:color w:val="auto"/>
                <w:spacing w:val="-4"/>
                <w:kern w:val="0"/>
                <w:sz w:val="24"/>
                <w:szCs w:val="24"/>
                <w:highlight w:val="none"/>
                <w:lang w:val="en-US" w:eastAsia="zh-CN" w:bidi="ar-SA"/>
              </w:rPr>
              <w:t>0</w:t>
            </w:r>
            <w:r>
              <w:rPr>
                <w:rFonts w:hint="eastAsia" w:ascii="宋体" w:hAnsi="宋体" w:eastAsia="宋体" w:cs="宋体"/>
                <w:snapToGrid w:val="0"/>
                <w:color w:val="auto"/>
                <w:spacing w:val="-4"/>
                <w:kern w:val="0"/>
                <w:sz w:val="24"/>
                <w:szCs w:val="24"/>
                <w:highlight w:val="none"/>
                <w:lang w:val="en-US" w:eastAsia="en-US" w:bidi="ar-SA"/>
              </w:rPr>
              <w:t>分）</w:t>
            </w:r>
          </w:p>
        </w:tc>
        <w:tc>
          <w:tcPr>
            <w:tcW w:w="1667" w:type="dxa"/>
            <w:tcBorders>
              <w:bottom w:val="single" w:color="auto" w:sz="4" w:space="0"/>
            </w:tcBorders>
            <w:shd w:val="clear" w:color="auto" w:fill="auto"/>
            <w:vAlign w:val="center"/>
          </w:tcPr>
          <w:p w14:paraId="57106D07">
            <w:pPr>
              <w:widowControl/>
              <w:kinsoku w:val="0"/>
              <w:autoSpaceDE w:val="0"/>
              <w:autoSpaceDN w:val="0"/>
              <w:adjustRightInd w:val="0"/>
              <w:snapToGrid w:val="0"/>
              <w:spacing w:before="78" w:line="400" w:lineRule="exact"/>
              <w:ind w:left="0" w:leftChars="0" w:firstLine="0" w:firstLineChars="0"/>
              <w:jc w:val="center"/>
              <w:textAlignment w:val="baseline"/>
              <w:outlineLvl w:val="9"/>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售后服务方案</w:t>
            </w:r>
          </w:p>
          <w:p w14:paraId="757536F1">
            <w:pPr>
              <w:widowControl/>
              <w:kinsoku w:val="0"/>
              <w:autoSpaceDE w:val="0"/>
              <w:autoSpaceDN w:val="0"/>
              <w:adjustRightInd w:val="0"/>
              <w:snapToGrid w:val="0"/>
              <w:spacing w:before="78" w:line="400" w:lineRule="exact"/>
              <w:ind w:left="0" w:leftChars="0" w:firstLine="0" w:firstLineChars="0"/>
              <w:jc w:val="center"/>
              <w:textAlignment w:val="baseline"/>
              <w:outlineLvl w:val="9"/>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w:t>
            </w:r>
            <w:r>
              <w:rPr>
                <w:rFonts w:hint="eastAsia" w:ascii="宋体" w:hAnsi="宋体" w:cs="宋体"/>
                <w:snapToGrid w:val="0"/>
                <w:color w:val="auto"/>
                <w:spacing w:val="-4"/>
                <w:kern w:val="0"/>
                <w:sz w:val="24"/>
                <w:szCs w:val="24"/>
                <w:highlight w:val="none"/>
                <w:lang w:val="en-US" w:eastAsia="zh-CN" w:bidi="ar-SA"/>
              </w:rPr>
              <w:t>4</w:t>
            </w:r>
            <w:r>
              <w:rPr>
                <w:rFonts w:hint="eastAsia" w:ascii="宋体" w:hAnsi="宋体" w:eastAsia="宋体" w:cs="宋体"/>
                <w:snapToGrid w:val="0"/>
                <w:color w:val="auto"/>
                <w:spacing w:val="-4"/>
                <w:kern w:val="0"/>
                <w:sz w:val="24"/>
                <w:szCs w:val="24"/>
                <w:highlight w:val="none"/>
                <w:lang w:val="en-US" w:eastAsia="en-US" w:bidi="ar-SA"/>
              </w:rPr>
              <w:t>分）</w:t>
            </w:r>
          </w:p>
        </w:tc>
        <w:tc>
          <w:tcPr>
            <w:tcW w:w="6691" w:type="dxa"/>
            <w:tcBorders>
              <w:bottom w:val="single" w:color="auto" w:sz="4" w:space="0"/>
            </w:tcBorders>
            <w:shd w:val="clear" w:color="auto" w:fill="auto"/>
            <w:vAlign w:val="center"/>
          </w:tcPr>
          <w:p w14:paraId="58D30A40">
            <w:pPr>
              <w:widowControl/>
              <w:autoSpaceDE w:val="0"/>
              <w:autoSpaceDN w:val="0"/>
              <w:spacing w:line="240" w:lineRule="auto"/>
              <w:ind w:firstLine="464" w:firstLineChars="200"/>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投标人针对本项目提供合理、完善的售后服务方案，包括但不限于：服务内容承诺、服务体系、服务质量保证、响应方式、响应时间等。</w:t>
            </w:r>
          </w:p>
          <w:p w14:paraId="7E25A2E8">
            <w:pPr>
              <w:widowControl/>
              <w:kinsoku w:val="0"/>
              <w:autoSpaceDE w:val="0"/>
              <w:autoSpaceDN w:val="0"/>
              <w:adjustRightInd w:val="0"/>
              <w:snapToGrid w:val="0"/>
              <w:spacing w:line="240" w:lineRule="auto"/>
              <w:ind w:firstLine="464" w:firstLineChars="20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1.能够完全满足需求，并且方案详尽，得</w:t>
            </w:r>
            <w:r>
              <w:rPr>
                <w:rFonts w:hint="eastAsia" w:ascii="宋体" w:hAnsi="宋体" w:cs="宋体"/>
                <w:color w:val="auto"/>
                <w:spacing w:val="-4"/>
                <w:sz w:val="24"/>
                <w:szCs w:val="24"/>
                <w:highlight w:val="none"/>
                <w:lang w:val="en-US" w:eastAsia="zh-CN"/>
              </w:rPr>
              <w:t>4</w:t>
            </w:r>
            <w:r>
              <w:rPr>
                <w:rFonts w:hint="eastAsia" w:ascii="宋体" w:hAnsi="宋体" w:eastAsia="宋体" w:cs="宋体"/>
                <w:color w:val="auto"/>
                <w:spacing w:val="-4"/>
                <w:sz w:val="24"/>
                <w:szCs w:val="24"/>
                <w:highlight w:val="none"/>
              </w:rPr>
              <w:t>分；</w:t>
            </w:r>
          </w:p>
          <w:p w14:paraId="68F34DDA">
            <w:pPr>
              <w:widowControl/>
              <w:kinsoku w:val="0"/>
              <w:autoSpaceDE w:val="0"/>
              <w:autoSpaceDN w:val="0"/>
              <w:adjustRightInd w:val="0"/>
              <w:snapToGrid w:val="0"/>
              <w:spacing w:line="240" w:lineRule="auto"/>
              <w:ind w:firstLine="464" w:firstLineChars="20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2.基本满足需求，方案基本详尽，得</w:t>
            </w:r>
            <w:r>
              <w:rPr>
                <w:rFonts w:hint="eastAsia" w:ascii="宋体" w:hAnsi="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分；</w:t>
            </w:r>
          </w:p>
          <w:p w14:paraId="1126F1D8">
            <w:pPr>
              <w:widowControl/>
              <w:kinsoku w:val="0"/>
              <w:autoSpaceDE w:val="0"/>
              <w:autoSpaceDN w:val="0"/>
              <w:adjustRightInd w:val="0"/>
              <w:snapToGrid w:val="0"/>
              <w:spacing w:line="240" w:lineRule="auto"/>
              <w:ind w:firstLine="464" w:firstLineChars="200"/>
              <w:textAlignment w:val="baseline"/>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3.基本满足需求，方案不够详尽，得1分；</w:t>
            </w:r>
          </w:p>
          <w:p w14:paraId="52DF30D4">
            <w:pPr>
              <w:widowControl/>
              <w:autoSpaceDE w:val="0"/>
              <w:autoSpaceDN w:val="0"/>
              <w:spacing w:line="240" w:lineRule="auto"/>
              <w:ind w:firstLine="464"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4.未提供的不得分。</w:t>
            </w:r>
          </w:p>
        </w:tc>
      </w:tr>
      <w:tr w14:paraId="60956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0" w:hRule="atLeast"/>
          <w:jc w:val="center"/>
        </w:trPr>
        <w:tc>
          <w:tcPr>
            <w:tcW w:w="685" w:type="dxa"/>
            <w:vMerge w:val="continue"/>
            <w:vAlign w:val="center"/>
          </w:tcPr>
          <w:p w14:paraId="45FF2F85">
            <w:pPr>
              <w:widowControl/>
              <w:autoSpaceDE w:val="0"/>
              <w:autoSpaceDN w:val="0"/>
              <w:spacing w:line="400" w:lineRule="exact"/>
              <w:ind w:firstLine="480" w:firstLineChars="200"/>
              <w:jc w:val="center"/>
              <w:outlineLvl w:val="9"/>
              <w:rPr>
                <w:rFonts w:hint="eastAsia" w:ascii="宋体" w:hAnsi="宋体" w:eastAsia="宋体" w:cs="宋体"/>
                <w:color w:val="auto"/>
                <w:sz w:val="24"/>
                <w:szCs w:val="24"/>
                <w:highlight w:val="none"/>
              </w:rPr>
            </w:pPr>
          </w:p>
        </w:tc>
        <w:tc>
          <w:tcPr>
            <w:tcW w:w="1211" w:type="dxa"/>
            <w:vMerge w:val="continue"/>
            <w:vAlign w:val="center"/>
          </w:tcPr>
          <w:p w14:paraId="3205F922">
            <w:pPr>
              <w:widowControl/>
              <w:autoSpaceDE w:val="0"/>
              <w:autoSpaceDN w:val="0"/>
              <w:spacing w:line="400" w:lineRule="exact"/>
              <w:ind w:firstLine="480" w:firstLineChars="200"/>
              <w:jc w:val="center"/>
              <w:outlineLvl w:val="9"/>
              <w:rPr>
                <w:rFonts w:hint="eastAsia" w:ascii="宋体" w:hAnsi="宋体" w:eastAsia="宋体" w:cs="宋体"/>
                <w:color w:val="auto"/>
                <w:sz w:val="24"/>
                <w:szCs w:val="24"/>
                <w:highlight w:val="none"/>
              </w:rPr>
            </w:pPr>
          </w:p>
        </w:tc>
        <w:tc>
          <w:tcPr>
            <w:tcW w:w="1667" w:type="dxa"/>
            <w:tcBorders>
              <w:bottom w:val="single" w:color="auto" w:sz="4" w:space="0"/>
            </w:tcBorders>
            <w:shd w:val="clear" w:color="auto" w:fill="auto"/>
            <w:vAlign w:val="center"/>
          </w:tcPr>
          <w:p w14:paraId="06DAA7E7">
            <w:pPr>
              <w:widowControl/>
              <w:kinsoku w:val="0"/>
              <w:autoSpaceDE w:val="0"/>
              <w:autoSpaceDN w:val="0"/>
              <w:adjustRightInd w:val="0"/>
              <w:snapToGrid w:val="0"/>
              <w:spacing w:before="78" w:line="400" w:lineRule="exact"/>
              <w:ind w:left="0" w:leftChars="0" w:firstLine="0" w:firstLineChars="0"/>
              <w:jc w:val="center"/>
              <w:textAlignment w:val="baseline"/>
              <w:outlineLvl w:val="9"/>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类似业绩</w:t>
            </w:r>
          </w:p>
          <w:p w14:paraId="46F720D4">
            <w:pPr>
              <w:widowControl/>
              <w:kinsoku w:val="0"/>
              <w:autoSpaceDE w:val="0"/>
              <w:autoSpaceDN w:val="0"/>
              <w:adjustRightInd w:val="0"/>
              <w:snapToGrid w:val="0"/>
              <w:spacing w:before="78" w:line="400" w:lineRule="exact"/>
              <w:ind w:left="0" w:leftChars="0" w:firstLine="0" w:firstLineChars="0"/>
              <w:jc w:val="center"/>
              <w:textAlignment w:val="baseline"/>
              <w:outlineLvl w:val="9"/>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w:t>
            </w:r>
            <w:r>
              <w:rPr>
                <w:rFonts w:hint="eastAsia" w:ascii="宋体" w:hAnsi="宋体" w:cs="宋体"/>
                <w:snapToGrid w:val="0"/>
                <w:color w:val="auto"/>
                <w:spacing w:val="-4"/>
                <w:kern w:val="0"/>
                <w:sz w:val="24"/>
                <w:szCs w:val="24"/>
                <w:highlight w:val="none"/>
                <w:lang w:val="en-US" w:eastAsia="zh-CN" w:bidi="ar-SA"/>
              </w:rPr>
              <w:t>12</w:t>
            </w:r>
            <w:r>
              <w:rPr>
                <w:rFonts w:hint="eastAsia" w:ascii="宋体" w:hAnsi="宋体" w:eastAsia="宋体" w:cs="宋体"/>
                <w:snapToGrid w:val="0"/>
                <w:color w:val="auto"/>
                <w:spacing w:val="-4"/>
                <w:kern w:val="0"/>
                <w:sz w:val="24"/>
                <w:szCs w:val="24"/>
                <w:highlight w:val="none"/>
                <w:lang w:val="en-US" w:eastAsia="en-US" w:bidi="ar-SA"/>
              </w:rPr>
              <w:t>分）</w:t>
            </w:r>
          </w:p>
        </w:tc>
        <w:tc>
          <w:tcPr>
            <w:tcW w:w="6691" w:type="dxa"/>
            <w:tcBorders>
              <w:bottom w:val="single" w:color="auto" w:sz="4" w:space="0"/>
            </w:tcBorders>
            <w:shd w:val="clear" w:color="auto" w:fill="auto"/>
            <w:vAlign w:val="center"/>
          </w:tcPr>
          <w:p w14:paraId="7FA78EBB">
            <w:pPr>
              <w:widowControl/>
              <w:autoSpaceDE w:val="0"/>
              <w:autoSpaceDN w:val="0"/>
              <w:spacing w:line="240" w:lineRule="auto"/>
              <w:ind w:firstLine="464" w:firstLineChars="200"/>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投标人自2022年1月1日以来具有类似业绩的，每提供一项得</w:t>
            </w:r>
            <w:r>
              <w:rPr>
                <w:rFonts w:hint="eastAsia" w:ascii="宋体" w:hAnsi="宋体" w:cs="宋体"/>
                <w:color w:val="auto"/>
                <w:spacing w:val="-4"/>
                <w:sz w:val="24"/>
                <w:szCs w:val="24"/>
                <w:highlight w:val="none"/>
                <w:lang w:val="en-US" w:eastAsia="zh-CN"/>
              </w:rPr>
              <w:t>4</w:t>
            </w:r>
            <w:r>
              <w:rPr>
                <w:rFonts w:hint="eastAsia" w:ascii="宋体" w:hAnsi="宋体" w:eastAsia="宋体" w:cs="宋体"/>
                <w:color w:val="auto"/>
                <w:spacing w:val="-4"/>
                <w:sz w:val="24"/>
                <w:szCs w:val="24"/>
                <w:highlight w:val="none"/>
              </w:rPr>
              <w:t>分，最多得</w:t>
            </w:r>
            <w:r>
              <w:rPr>
                <w:rFonts w:hint="eastAsia" w:ascii="宋体" w:hAnsi="宋体" w:cs="宋体"/>
                <w:color w:val="auto"/>
                <w:spacing w:val="-4"/>
                <w:sz w:val="24"/>
                <w:szCs w:val="24"/>
                <w:highlight w:val="none"/>
                <w:lang w:val="en-US" w:eastAsia="zh-CN"/>
              </w:rPr>
              <w:t>12</w:t>
            </w:r>
            <w:r>
              <w:rPr>
                <w:rFonts w:hint="eastAsia" w:ascii="宋体" w:hAnsi="宋体" w:eastAsia="宋体" w:cs="宋体"/>
                <w:color w:val="auto"/>
                <w:spacing w:val="-4"/>
                <w:sz w:val="24"/>
                <w:szCs w:val="24"/>
                <w:highlight w:val="none"/>
              </w:rPr>
              <w:t>分。</w:t>
            </w:r>
          </w:p>
          <w:p w14:paraId="72831E4D">
            <w:pPr>
              <w:widowControl/>
              <w:autoSpaceDE w:val="0"/>
              <w:autoSpaceDN w:val="0"/>
              <w:spacing w:line="240" w:lineRule="auto"/>
              <w:ind w:firstLine="466" w:firstLineChars="200"/>
              <w:outlineLvl w:val="9"/>
              <w:rPr>
                <w:rFonts w:hint="eastAsia" w:ascii="宋体" w:hAnsi="宋体" w:eastAsia="宋体" w:cs="宋体"/>
                <w:color w:val="auto"/>
                <w:spacing w:val="-4"/>
                <w:sz w:val="24"/>
                <w:szCs w:val="24"/>
                <w:highlight w:val="none"/>
              </w:rPr>
            </w:pPr>
            <w:r>
              <w:rPr>
                <w:rFonts w:hint="eastAsia" w:ascii="宋体" w:hAnsi="宋体" w:eastAsia="宋体" w:cs="宋体"/>
                <w:b/>
                <w:bCs/>
                <w:color w:val="auto"/>
                <w:spacing w:val="-4"/>
                <w:sz w:val="24"/>
                <w:szCs w:val="24"/>
                <w:highlight w:val="none"/>
              </w:rPr>
              <w:t>备注：投标文件中提供合同扫描件并加盖公章，时间以合同签订时间为准。</w:t>
            </w:r>
          </w:p>
        </w:tc>
      </w:tr>
      <w:tr w14:paraId="2145A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1" w:hRule="atLeast"/>
          <w:jc w:val="center"/>
        </w:trPr>
        <w:tc>
          <w:tcPr>
            <w:tcW w:w="685" w:type="dxa"/>
            <w:vMerge w:val="continue"/>
            <w:vAlign w:val="center"/>
          </w:tcPr>
          <w:p w14:paraId="48729EFE">
            <w:pPr>
              <w:widowControl/>
              <w:autoSpaceDE w:val="0"/>
              <w:autoSpaceDN w:val="0"/>
              <w:spacing w:line="400" w:lineRule="exact"/>
              <w:ind w:firstLine="480" w:firstLineChars="200"/>
              <w:jc w:val="center"/>
              <w:outlineLvl w:val="9"/>
              <w:rPr>
                <w:rFonts w:hint="eastAsia" w:ascii="宋体" w:hAnsi="宋体" w:eastAsia="宋体" w:cs="宋体"/>
                <w:color w:val="auto"/>
                <w:sz w:val="24"/>
                <w:szCs w:val="24"/>
                <w:highlight w:val="none"/>
              </w:rPr>
            </w:pPr>
          </w:p>
        </w:tc>
        <w:tc>
          <w:tcPr>
            <w:tcW w:w="1211" w:type="dxa"/>
            <w:vMerge w:val="continue"/>
            <w:vAlign w:val="center"/>
          </w:tcPr>
          <w:p w14:paraId="63A3FB8B">
            <w:pPr>
              <w:widowControl/>
              <w:autoSpaceDE w:val="0"/>
              <w:autoSpaceDN w:val="0"/>
              <w:spacing w:line="400" w:lineRule="exact"/>
              <w:ind w:firstLine="480" w:firstLineChars="200"/>
              <w:jc w:val="center"/>
              <w:outlineLvl w:val="9"/>
              <w:rPr>
                <w:rFonts w:hint="eastAsia" w:ascii="宋体" w:hAnsi="宋体" w:eastAsia="宋体" w:cs="宋体"/>
                <w:color w:val="auto"/>
                <w:sz w:val="24"/>
                <w:szCs w:val="24"/>
                <w:highlight w:val="none"/>
              </w:rPr>
            </w:pPr>
          </w:p>
        </w:tc>
        <w:tc>
          <w:tcPr>
            <w:tcW w:w="1667" w:type="dxa"/>
            <w:shd w:val="clear" w:color="auto" w:fill="auto"/>
            <w:vAlign w:val="center"/>
          </w:tcPr>
          <w:p w14:paraId="61DF2F42">
            <w:pPr>
              <w:widowControl/>
              <w:kinsoku w:val="0"/>
              <w:autoSpaceDE w:val="0"/>
              <w:autoSpaceDN w:val="0"/>
              <w:adjustRightInd w:val="0"/>
              <w:snapToGrid w:val="0"/>
              <w:spacing w:before="78" w:line="400" w:lineRule="exact"/>
              <w:ind w:left="0" w:leftChars="0" w:firstLine="0" w:firstLineChars="0"/>
              <w:jc w:val="center"/>
              <w:textAlignment w:val="baseline"/>
              <w:outlineLvl w:val="9"/>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培训方案</w:t>
            </w:r>
          </w:p>
          <w:p w14:paraId="39D0C6C5">
            <w:pPr>
              <w:widowControl/>
              <w:kinsoku w:val="0"/>
              <w:autoSpaceDE w:val="0"/>
              <w:autoSpaceDN w:val="0"/>
              <w:adjustRightInd w:val="0"/>
              <w:snapToGrid w:val="0"/>
              <w:spacing w:before="78" w:line="400" w:lineRule="exact"/>
              <w:ind w:left="0" w:leftChars="0" w:firstLine="0" w:firstLineChars="0"/>
              <w:jc w:val="center"/>
              <w:textAlignment w:val="baseline"/>
              <w:outlineLvl w:val="9"/>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w:t>
            </w:r>
            <w:r>
              <w:rPr>
                <w:rFonts w:hint="eastAsia" w:ascii="宋体" w:hAnsi="宋体" w:cs="宋体"/>
                <w:snapToGrid w:val="0"/>
                <w:color w:val="auto"/>
                <w:spacing w:val="-4"/>
                <w:kern w:val="0"/>
                <w:sz w:val="24"/>
                <w:szCs w:val="24"/>
                <w:highlight w:val="none"/>
                <w:lang w:val="en-US" w:eastAsia="zh-CN" w:bidi="ar-SA"/>
              </w:rPr>
              <w:t>4</w:t>
            </w:r>
            <w:r>
              <w:rPr>
                <w:rFonts w:hint="eastAsia" w:ascii="宋体" w:hAnsi="宋体" w:eastAsia="宋体" w:cs="宋体"/>
                <w:snapToGrid w:val="0"/>
                <w:color w:val="auto"/>
                <w:spacing w:val="-4"/>
                <w:kern w:val="0"/>
                <w:sz w:val="24"/>
                <w:szCs w:val="24"/>
                <w:highlight w:val="none"/>
                <w:lang w:val="en-US" w:eastAsia="en-US" w:bidi="ar-SA"/>
              </w:rPr>
              <w:t>分）</w:t>
            </w:r>
          </w:p>
        </w:tc>
        <w:tc>
          <w:tcPr>
            <w:tcW w:w="6691" w:type="dxa"/>
            <w:shd w:val="clear" w:color="auto" w:fill="auto"/>
            <w:vAlign w:val="center"/>
          </w:tcPr>
          <w:p w14:paraId="7EACFDA7">
            <w:pPr>
              <w:widowControl/>
              <w:autoSpaceDE w:val="0"/>
              <w:autoSpaceDN w:val="0"/>
              <w:spacing w:line="240" w:lineRule="auto"/>
              <w:ind w:firstLine="464" w:firstLineChars="200"/>
              <w:outlineLvl w:val="9"/>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rPr>
              <w:t>投标人针对本项目提供合理、完善的</w:t>
            </w:r>
            <w:r>
              <w:rPr>
                <w:rFonts w:hint="eastAsia" w:ascii="宋体" w:hAnsi="宋体" w:eastAsia="宋体" w:cs="宋体"/>
                <w:color w:val="auto"/>
                <w:spacing w:val="-4"/>
                <w:sz w:val="24"/>
                <w:szCs w:val="24"/>
                <w:highlight w:val="none"/>
                <w:lang w:eastAsia="zh-CN"/>
              </w:rPr>
              <w:t>培训方案，包括但不限于：</w:t>
            </w:r>
            <w:r>
              <w:rPr>
                <w:rFonts w:hint="eastAsia" w:ascii="宋体" w:hAnsi="宋体" w:eastAsia="宋体" w:cs="宋体"/>
                <w:color w:val="auto"/>
                <w:spacing w:val="-4"/>
                <w:sz w:val="24"/>
                <w:szCs w:val="24"/>
                <w:highlight w:val="none"/>
                <w:lang w:val="en-US" w:eastAsia="zh-CN"/>
              </w:rPr>
              <w:t>培训对象与目标、培训内容与范围、培训方式与安排、培训材料与保障、培训效果评估与反馈等。</w:t>
            </w:r>
          </w:p>
          <w:p w14:paraId="1568E1ED">
            <w:pPr>
              <w:widowControl/>
              <w:autoSpaceDE w:val="0"/>
              <w:autoSpaceDN w:val="0"/>
              <w:spacing w:line="240" w:lineRule="auto"/>
              <w:ind w:firstLine="464" w:firstLineChars="200"/>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1.能够完全满足需求，并且方案详尽，得</w:t>
            </w:r>
            <w:r>
              <w:rPr>
                <w:rFonts w:hint="eastAsia" w:ascii="宋体" w:hAnsi="宋体" w:cs="宋体"/>
                <w:color w:val="auto"/>
                <w:spacing w:val="-4"/>
                <w:sz w:val="24"/>
                <w:szCs w:val="24"/>
                <w:highlight w:val="none"/>
                <w:lang w:val="en-US" w:eastAsia="zh-CN"/>
              </w:rPr>
              <w:t>4</w:t>
            </w:r>
            <w:r>
              <w:rPr>
                <w:rFonts w:hint="eastAsia" w:ascii="宋体" w:hAnsi="宋体" w:eastAsia="宋体" w:cs="宋体"/>
                <w:color w:val="auto"/>
                <w:spacing w:val="-4"/>
                <w:sz w:val="24"/>
                <w:szCs w:val="24"/>
                <w:highlight w:val="none"/>
              </w:rPr>
              <w:t>分；</w:t>
            </w:r>
          </w:p>
          <w:p w14:paraId="2322E6CD">
            <w:pPr>
              <w:widowControl/>
              <w:autoSpaceDE w:val="0"/>
              <w:autoSpaceDN w:val="0"/>
              <w:spacing w:line="240" w:lineRule="auto"/>
              <w:ind w:firstLine="464" w:firstLineChars="200"/>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2.基本满足需求，方案基本详尽，得</w:t>
            </w:r>
            <w:r>
              <w:rPr>
                <w:rFonts w:hint="eastAsia" w:ascii="宋体" w:hAnsi="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分；</w:t>
            </w:r>
          </w:p>
          <w:p w14:paraId="41D4B037">
            <w:pPr>
              <w:widowControl/>
              <w:autoSpaceDE w:val="0"/>
              <w:autoSpaceDN w:val="0"/>
              <w:spacing w:line="240" w:lineRule="auto"/>
              <w:ind w:firstLine="464" w:firstLineChars="200"/>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3.基本满足需求，方案不够详尽，得1分；</w:t>
            </w:r>
          </w:p>
          <w:p w14:paraId="10362104">
            <w:pPr>
              <w:widowControl/>
              <w:autoSpaceDE w:val="0"/>
              <w:autoSpaceDN w:val="0"/>
              <w:spacing w:line="240" w:lineRule="auto"/>
              <w:ind w:firstLine="464" w:firstLineChars="200"/>
              <w:outlineLvl w:val="9"/>
              <w:rPr>
                <w:rFonts w:hint="eastAsia" w:ascii="宋体" w:hAnsi="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rPr>
              <w:t>4.未提供的不得分。</w:t>
            </w:r>
          </w:p>
        </w:tc>
      </w:tr>
    </w:tbl>
    <w:p w14:paraId="3DC43BE4">
      <w:pPr>
        <w:tabs>
          <w:tab w:val="left" w:pos="170"/>
          <w:tab w:val="left" w:pos="303"/>
          <w:tab w:val="left" w:pos="420"/>
        </w:tabs>
        <w:adjustRightInd w:val="0"/>
        <w:snapToGrid w:val="0"/>
        <w:spacing w:line="480" w:lineRule="exact"/>
        <w:outlineLvl w:val="2"/>
        <w:rPr>
          <w:rFonts w:hint="eastAsia" w:ascii="宋体" w:hAnsi="宋体" w:eastAsia="宋体" w:cs="宋体"/>
          <w:b/>
          <w:color w:val="auto"/>
          <w:sz w:val="24"/>
          <w:highlight w:val="none"/>
        </w:rPr>
      </w:pPr>
      <w:bookmarkStart w:id="270" w:name="_Toc23104"/>
      <w:r>
        <w:rPr>
          <w:rFonts w:hint="eastAsia" w:ascii="宋体" w:hAnsi="宋体" w:eastAsia="宋体" w:cs="宋体"/>
          <w:b/>
          <w:color w:val="auto"/>
          <w:sz w:val="24"/>
          <w:highlight w:val="none"/>
        </w:rPr>
        <w:t xml:space="preserve">1. </w:t>
      </w:r>
      <w:bookmarkStart w:id="271" w:name="_Toc6843"/>
      <w:r>
        <w:rPr>
          <w:rFonts w:hint="eastAsia" w:ascii="宋体" w:hAnsi="宋体" w:eastAsia="宋体" w:cs="宋体"/>
          <w:b/>
          <w:color w:val="auto"/>
          <w:sz w:val="24"/>
          <w:highlight w:val="none"/>
        </w:rPr>
        <w:t>评标准则和评标方法</w:t>
      </w:r>
      <w:bookmarkEnd w:id="270"/>
      <w:bookmarkEnd w:id="271"/>
    </w:p>
    <w:p w14:paraId="1EE6CBE3">
      <w:pPr>
        <w:adjustRightInd w:val="0"/>
        <w:snapToGrid w:val="0"/>
        <w:spacing w:line="4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 评标过程将遵循“公平、公正、科学、择优”的原则进行。</w:t>
      </w:r>
    </w:p>
    <w:p w14:paraId="58DA7FAF">
      <w:pPr>
        <w:adjustRightInd w:val="0"/>
        <w:snapToGrid w:val="0"/>
        <w:spacing w:line="4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1.2 评标将严格按照招标文件的要求和条件进行。</w:t>
      </w:r>
    </w:p>
    <w:p w14:paraId="345BD76E">
      <w:pPr>
        <w:adjustRightInd w:val="0"/>
        <w:snapToGrid w:val="0"/>
        <w:spacing w:line="4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1.3 本次评标采用综合评分法。</w:t>
      </w:r>
    </w:p>
    <w:p w14:paraId="2CC549CB">
      <w:pPr>
        <w:tabs>
          <w:tab w:val="left" w:pos="170"/>
          <w:tab w:val="left" w:pos="303"/>
          <w:tab w:val="left" w:pos="420"/>
        </w:tabs>
        <w:adjustRightInd w:val="0"/>
        <w:snapToGrid w:val="0"/>
        <w:spacing w:line="480" w:lineRule="exact"/>
        <w:outlineLvl w:val="2"/>
        <w:rPr>
          <w:rFonts w:hint="eastAsia" w:ascii="宋体" w:hAnsi="宋体" w:eastAsia="宋体" w:cs="宋体"/>
          <w:b/>
          <w:color w:val="auto"/>
          <w:sz w:val="24"/>
          <w:highlight w:val="none"/>
        </w:rPr>
      </w:pPr>
      <w:bookmarkStart w:id="272" w:name="_Toc15449"/>
      <w:bookmarkStart w:id="273" w:name="_Toc13195"/>
      <w:bookmarkStart w:id="274" w:name="_Toc465502580"/>
      <w:bookmarkStart w:id="275" w:name="_Toc454147539"/>
      <w:bookmarkStart w:id="276" w:name="_Toc4390"/>
      <w:bookmarkStart w:id="277" w:name="_Toc466017208"/>
      <w:bookmarkStart w:id="278" w:name="_Toc7951"/>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 评审标准</w:t>
      </w:r>
      <w:bookmarkEnd w:id="272"/>
      <w:bookmarkEnd w:id="273"/>
      <w:bookmarkEnd w:id="274"/>
      <w:bookmarkEnd w:id="275"/>
      <w:bookmarkEnd w:id="276"/>
      <w:bookmarkEnd w:id="277"/>
      <w:bookmarkEnd w:id="278"/>
    </w:p>
    <w:p w14:paraId="75B1A7EC">
      <w:pPr>
        <w:adjustRightInd w:val="0"/>
        <w:snapToGrid w:val="0"/>
        <w:spacing w:line="4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 资格评审标准：详见《评分办法前附表》中资格评审标准。</w:t>
      </w:r>
    </w:p>
    <w:p w14:paraId="569647E2">
      <w:pPr>
        <w:spacing w:before="197" w:line="296" w:lineRule="auto"/>
        <w:outlineLvl w:val="9"/>
        <w:rPr>
          <w:rFonts w:hint="eastAsia" w:ascii="宋体" w:hAnsi="宋体" w:eastAsia="宋体" w:cs="宋体"/>
          <w:color w:val="auto"/>
          <w:sz w:val="24"/>
          <w:highlight w:val="none"/>
        </w:rPr>
      </w:pPr>
      <w:bookmarkStart w:id="279" w:name="_Toc19609"/>
      <w:bookmarkStart w:id="280" w:name="_Toc11065"/>
      <w:r>
        <w:rPr>
          <w:rFonts w:hint="eastAsia" w:ascii="宋体" w:hAnsi="宋体" w:eastAsia="宋体" w:cs="宋体"/>
          <w:color w:val="auto"/>
          <w:spacing w:val="-2"/>
          <w:sz w:val="24"/>
          <w:highlight w:val="none"/>
        </w:rPr>
        <w:t>2.2 详细评审标准：详见《评分办法前附表》报价部分、技术部分、综合</w:t>
      </w:r>
      <w:r>
        <w:rPr>
          <w:rFonts w:hint="eastAsia" w:ascii="宋体" w:hAnsi="宋体" w:eastAsia="宋体" w:cs="宋体"/>
          <w:color w:val="auto"/>
          <w:spacing w:val="-3"/>
          <w:sz w:val="24"/>
          <w:highlight w:val="none"/>
        </w:rPr>
        <w:t>部分评审因</w:t>
      </w:r>
      <w:r>
        <w:rPr>
          <w:rFonts w:hint="eastAsia" w:ascii="宋体" w:hAnsi="宋体" w:eastAsia="宋体" w:cs="宋体"/>
          <w:color w:val="auto"/>
          <w:spacing w:val="-7"/>
          <w:sz w:val="24"/>
          <w:highlight w:val="none"/>
        </w:rPr>
        <w:t>素。</w:t>
      </w:r>
    </w:p>
    <w:p w14:paraId="10E70540">
      <w:pPr>
        <w:tabs>
          <w:tab w:val="left" w:pos="170"/>
          <w:tab w:val="left" w:pos="303"/>
          <w:tab w:val="left" w:pos="420"/>
        </w:tabs>
        <w:adjustRightInd w:val="0"/>
        <w:snapToGrid w:val="0"/>
        <w:spacing w:line="480" w:lineRule="exact"/>
        <w:outlineLvl w:val="2"/>
        <w:rPr>
          <w:rFonts w:hint="eastAsia" w:ascii="宋体" w:hAnsi="宋体" w:eastAsia="宋体" w:cs="宋体"/>
          <w:b/>
          <w:color w:val="auto"/>
          <w:sz w:val="24"/>
          <w:highlight w:val="none"/>
        </w:rPr>
      </w:pPr>
      <w:bookmarkStart w:id="281" w:name="_Toc8420"/>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 评标程序</w:t>
      </w:r>
      <w:bookmarkEnd w:id="279"/>
      <w:bookmarkEnd w:id="280"/>
      <w:bookmarkEnd w:id="281"/>
    </w:p>
    <w:p w14:paraId="3D485589">
      <w:pPr>
        <w:adjustRightInd w:val="0"/>
        <w:snapToGrid w:val="0"/>
        <w:spacing w:line="480" w:lineRule="exact"/>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3.1初步评审</w:t>
      </w:r>
    </w:p>
    <w:p w14:paraId="7991EFB9">
      <w:pPr>
        <w:adjustRightInd w:val="0"/>
        <w:snapToGrid w:val="0"/>
        <w:spacing w:line="480" w:lineRule="exact"/>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 xml:space="preserve">3.1.1 </w:t>
      </w:r>
      <w:r>
        <w:rPr>
          <w:rFonts w:hint="eastAsia" w:ascii="宋体" w:hAnsi="宋体" w:eastAsia="宋体" w:cs="宋体"/>
          <w:color w:val="auto"/>
          <w:sz w:val="24"/>
          <w:highlight w:val="none"/>
          <w:lang w:val="zh-CN"/>
        </w:rPr>
        <w:t>采购人或代理机构可以要求投标人提交第二章“投标人须知”规定的有关证明。采购人或代理机构依据本章第2.1款规定的标准对投标文件进行资格评审。有一项不符合资格评审标准的，作无效投标处理。</w:t>
      </w:r>
    </w:p>
    <w:p w14:paraId="479AA97B">
      <w:pPr>
        <w:adjustRightInd w:val="0"/>
        <w:snapToGrid w:val="0"/>
        <w:spacing w:line="480" w:lineRule="exact"/>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 xml:space="preserve">3.1.2 </w:t>
      </w:r>
      <w:r>
        <w:rPr>
          <w:rFonts w:hint="eastAsia" w:ascii="宋体" w:hAnsi="宋体" w:eastAsia="宋体" w:cs="宋体"/>
          <w:color w:val="auto"/>
          <w:sz w:val="24"/>
          <w:highlight w:val="none"/>
          <w:lang w:val="zh-CN"/>
        </w:rPr>
        <w:t>投标文件属下列情况之一的，应当在资格性、符合性检查时按照无效投标处理：</w:t>
      </w:r>
    </w:p>
    <w:p w14:paraId="782BFD24">
      <w:pPr>
        <w:numPr>
          <w:ilvl w:val="0"/>
          <w:numId w:val="8"/>
        </w:numPr>
        <w:autoSpaceDE w:val="0"/>
        <w:autoSpaceDN w:val="0"/>
        <w:adjustRightInd w:val="0"/>
        <w:snapToGrid w:val="0"/>
        <w:spacing w:line="480" w:lineRule="exact"/>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未按照招标文件规定要求签署、盖章的；</w:t>
      </w:r>
    </w:p>
    <w:p w14:paraId="71DC1CB2">
      <w:pPr>
        <w:numPr>
          <w:ilvl w:val="0"/>
          <w:numId w:val="8"/>
        </w:numPr>
        <w:autoSpaceDE w:val="0"/>
        <w:autoSpaceDN w:val="0"/>
        <w:adjustRightInd w:val="0"/>
        <w:snapToGrid w:val="0"/>
        <w:spacing w:line="480" w:lineRule="exact"/>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不具备招标文件中规定资格要求的；</w:t>
      </w:r>
    </w:p>
    <w:p w14:paraId="4D808BE9">
      <w:pPr>
        <w:numPr>
          <w:ilvl w:val="0"/>
          <w:numId w:val="8"/>
        </w:numPr>
        <w:autoSpaceDE w:val="0"/>
        <w:autoSpaceDN w:val="0"/>
        <w:adjustRightInd w:val="0"/>
        <w:snapToGrid w:val="0"/>
        <w:spacing w:line="480" w:lineRule="exact"/>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不符合法律、法规和招标文件中规定的其他实质性要求的。</w:t>
      </w:r>
    </w:p>
    <w:p w14:paraId="7E41986D">
      <w:pPr>
        <w:adjustRightInd w:val="0"/>
        <w:snapToGrid w:val="0"/>
        <w:spacing w:line="480" w:lineRule="exact"/>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 xml:space="preserve">3.1.3 </w:t>
      </w:r>
      <w:r>
        <w:rPr>
          <w:rFonts w:hint="eastAsia" w:ascii="宋体" w:hAnsi="宋体" w:eastAsia="宋体" w:cs="宋体"/>
          <w:color w:val="auto"/>
          <w:sz w:val="24"/>
          <w:highlight w:val="none"/>
          <w:lang w:val="zh-CN"/>
        </w:rPr>
        <w:t>投标报价有算数错误的，评标委员会按以下原则对投标报价进行修正，修正的价格经投标人书面确认后具有约束力。投标人不接受修正价格的，其投标作无效投标处理。</w:t>
      </w:r>
    </w:p>
    <w:p w14:paraId="3A472C1D">
      <w:pPr>
        <w:numPr>
          <w:ilvl w:val="0"/>
          <w:numId w:val="9"/>
        </w:numPr>
        <w:autoSpaceDE w:val="0"/>
        <w:autoSpaceDN w:val="0"/>
        <w:adjustRightInd w:val="0"/>
        <w:snapToGrid w:val="0"/>
        <w:spacing w:line="480" w:lineRule="exact"/>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投标文件中的大写金额与小写金额不一致的，以大写金额为准；</w:t>
      </w:r>
    </w:p>
    <w:p w14:paraId="322C5034">
      <w:pPr>
        <w:numPr>
          <w:ilvl w:val="0"/>
          <w:numId w:val="9"/>
        </w:numPr>
        <w:autoSpaceDE w:val="0"/>
        <w:autoSpaceDN w:val="0"/>
        <w:adjustRightInd w:val="0"/>
        <w:snapToGrid w:val="0"/>
        <w:spacing w:line="480" w:lineRule="exact"/>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投标文件中开标一览表内容与投标文件中明细表内容不一致的，以开标一览表为准。</w:t>
      </w:r>
    </w:p>
    <w:p w14:paraId="4692D6B5">
      <w:pPr>
        <w:adjustRightInd w:val="0"/>
        <w:snapToGrid w:val="0"/>
        <w:spacing w:line="480" w:lineRule="exact"/>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 详细评审</w:t>
      </w:r>
    </w:p>
    <w:p w14:paraId="471C463C">
      <w:pPr>
        <w:adjustRightInd w:val="0"/>
        <w:snapToGrid w:val="0"/>
        <w:spacing w:line="480" w:lineRule="exact"/>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 xml:space="preserve">3.2.1 </w:t>
      </w:r>
      <w:r>
        <w:rPr>
          <w:rFonts w:hint="eastAsia" w:ascii="宋体" w:hAnsi="宋体" w:eastAsia="宋体" w:cs="宋体"/>
          <w:color w:val="auto"/>
          <w:sz w:val="24"/>
          <w:highlight w:val="none"/>
          <w:lang w:val="zh-CN"/>
        </w:rPr>
        <w:t>评标委员会按本章</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zh-CN"/>
        </w:rPr>
        <w:t>评分标准进行打分，并计算出综合评审得分。</w:t>
      </w:r>
    </w:p>
    <w:p w14:paraId="3D7B36B0">
      <w:pPr>
        <w:adjustRightInd w:val="0"/>
        <w:snapToGrid w:val="0"/>
        <w:spacing w:line="480" w:lineRule="exact"/>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 xml:space="preserve">3.2.2 </w:t>
      </w:r>
      <w:r>
        <w:rPr>
          <w:rFonts w:hint="eastAsia" w:ascii="宋体" w:hAnsi="宋体" w:eastAsia="宋体" w:cs="宋体"/>
          <w:color w:val="auto"/>
          <w:sz w:val="24"/>
          <w:highlight w:val="none"/>
          <w:lang w:val="zh-CN"/>
        </w:rPr>
        <w:t>评标委员会发现投标人的投标报价</w:t>
      </w:r>
      <w:r>
        <w:rPr>
          <w:rFonts w:hint="eastAsia" w:ascii="宋体" w:hAnsi="宋体" w:eastAsia="宋体" w:cs="宋体"/>
          <w:color w:val="auto"/>
          <w:sz w:val="24"/>
          <w:highlight w:val="none"/>
        </w:rPr>
        <w:t>高</w:t>
      </w:r>
      <w:r>
        <w:rPr>
          <w:rFonts w:hint="eastAsia" w:ascii="宋体" w:hAnsi="宋体" w:eastAsia="宋体" w:cs="宋体"/>
          <w:color w:val="auto"/>
          <w:sz w:val="24"/>
          <w:highlight w:val="none"/>
          <w:lang w:val="zh-CN"/>
        </w:rPr>
        <w:t>于</w:t>
      </w:r>
      <w:r>
        <w:rPr>
          <w:rFonts w:hint="eastAsia" w:ascii="宋体" w:hAnsi="宋体" w:eastAsia="宋体" w:cs="宋体"/>
          <w:color w:val="auto"/>
          <w:sz w:val="24"/>
          <w:highlight w:val="none"/>
        </w:rPr>
        <w:t>招标文件规定的控制价</w:t>
      </w:r>
      <w:r>
        <w:rPr>
          <w:rFonts w:hint="eastAsia" w:ascii="宋体" w:hAnsi="宋体" w:eastAsia="宋体" w:cs="宋体"/>
          <w:color w:val="auto"/>
          <w:sz w:val="24"/>
          <w:highlight w:val="none"/>
          <w:lang w:val="zh-CN"/>
        </w:rPr>
        <w:t>，评标委员会应按无效投标处理。</w:t>
      </w:r>
    </w:p>
    <w:p w14:paraId="7E895F17">
      <w:pPr>
        <w:adjustRightInd w:val="0"/>
        <w:snapToGrid w:val="0"/>
        <w:spacing w:line="480" w:lineRule="exact"/>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3.2.3评标委员会发现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应当将其作为无效投标处理。</w:t>
      </w:r>
    </w:p>
    <w:p w14:paraId="57E1DD2A">
      <w:pPr>
        <w:adjustRightInd w:val="0"/>
        <w:snapToGrid w:val="0"/>
        <w:spacing w:line="480" w:lineRule="exact"/>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 投标文件的澄清和补正</w:t>
      </w:r>
    </w:p>
    <w:p w14:paraId="0ECE7828">
      <w:pPr>
        <w:adjustRightInd w:val="0"/>
        <w:snapToGrid w:val="0"/>
        <w:spacing w:line="480" w:lineRule="exact"/>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3.3.1在评标过程中，评标委员会可以书面形式要求投标人对所提交的投标文件中不明确的内容进行书面澄清或说明，或者对细微偏差进行补正。评标委员会不接受投标人主动提出的澄清、说明或补正。</w:t>
      </w:r>
    </w:p>
    <w:p w14:paraId="48BD0434">
      <w:pPr>
        <w:adjustRightInd w:val="0"/>
        <w:snapToGrid w:val="0"/>
        <w:spacing w:line="480" w:lineRule="exact"/>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3.3.2澄清、说明和补正不得改变投标文件的实质性内容（算术性错误修正的除外）。投标人的书面澄清、说明和补正属于投标文件的组成部分。 </w:t>
      </w:r>
    </w:p>
    <w:p w14:paraId="7E171DED">
      <w:pPr>
        <w:adjustRightInd w:val="0"/>
        <w:snapToGrid w:val="0"/>
        <w:spacing w:line="480" w:lineRule="exact"/>
        <w:outlineLvl w:val="9"/>
        <w:rPr>
          <w:rFonts w:hint="eastAsia" w:ascii="宋体" w:hAnsi="宋体" w:eastAsia="宋体" w:cs="宋体"/>
          <w:bCs/>
          <w:color w:val="auto"/>
          <w:sz w:val="24"/>
          <w:highlight w:val="none"/>
        </w:rPr>
      </w:pPr>
      <w:r>
        <w:rPr>
          <w:rFonts w:hint="eastAsia" w:ascii="宋体" w:hAnsi="宋体" w:eastAsia="宋体" w:cs="宋体"/>
          <w:color w:val="auto"/>
          <w:sz w:val="24"/>
          <w:highlight w:val="none"/>
          <w:lang w:val="zh-CN"/>
        </w:rPr>
        <w:t>3.3.3评标委员会对投标人提交的澄清、说明或补正有疑问的，可以要求投标进一步澄清、说明或补正，直至满足评标委员会的要求。</w:t>
      </w:r>
    </w:p>
    <w:p w14:paraId="58AA43D4">
      <w:pPr>
        <w:adjustRightInd w:val="0"/>
        <w:snapToGrid w:val="0"/>
        <w:spacing w:line="480" w:lineRule="exact"/>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 评标结果</w:t>
      </w:r>
    </w:p>
    <w:p w14:paraId="73F95CD0">
      <w:pPr>
        <w:adjustRightInd w:val="0"/>
        <w:snapToGrid w:val="0"/>
        <w:spacing w:line="480" w:lineRule="exact"/>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 xml:space="preserve">3.4.1 </w:t>
      </w:r>
      <w:r>
        <w:rPr>
          <w:rFonts w:hint="eastAsia" w:ascii="宋体" w:hAnsi="宋体" w:eastAsia="宋体" w:cs="宋体"/>
          <w:color w:val="auto"/>
          <w:sz w:val="24"/>
          <w:highlight w:val="none"/>
          <w:lang w:val="zh-CN"/>
        </w:rPr>
        <w:t>投标人得分=投标报价得分+技术部分得分+综合部分得分。</w:t>
      </w:r>
    </w:p>
    <w:p w14:paraId="2C22E743">
      <w:pPr>
        <w:adjustRightInd w:val="0"/>
        <w:snapToGrid w:val="0"/>
        <w:spacing w:line="480" w:lineRule="exact"/>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3.4.2</w:t>
      </w:r>
      <w:r>
        <w:rPr>
          <w:rFonts w:hint="eastAsia" w:ascii="宋体" w:hAnsi="宋体" w:eastAsia="宋体" w:cs="宋体"/>
          <w:color w:val="auto"/>
          <w:sz w:val="24"/>
          <w:highlight w:val="none"/>
          <w:lang w:val="zh-CN"/>
        </w:rPr>
        <w:t>投标人最终得分为评标委员会完成评审后所有评分的算术平均值，作为该投标人最终得分。</w:t>
      </w:r>
    </w:p>
    <w:p w14:paraId="6F245853">
      <w:pPr>
        <w:adjustRightInd w:val="0"/>
        <w:snapToGrid w:val="0"/>
        <w:spacing w:line="480" w:lineRule="exact"/>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3.4.3 评标委员会将按照评标最终得分由高到低的顺序对所有投标文件实质上响应采购文件要求的投标人进行排序;得分相同的，按投标报价由低到高顺序排列;得分和投标报价均相同的，按技术指标优劣排列确定。</w:t>
      </w:r>
    </w:p>
    <w:p w14:paraId="67A82DB8">
      <w:pPr>
        <w:adjustRightInd w:val="0"/>
        <w:snapToGrid w:val="0"/>
        <w:spacing w:line="480" w:lineRule="exact"/>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 xml:space="preserve">3.4.4 </w:t>
      </w:r>
      <w:r>
        <w:rPr>
          <w:rFonts w:hint="eastAsia" w:ascii="宋体" w:hAnsi="宋体" w:eastAsia="宋体" w:cs="宋体"/>
          <w:color w:val="auto"/>
          <w:sz w:val="24"/>
          <w:highlight w:val="none"/>
          <w:lang w:val="zh-CN"/>
        </w:rPr>
        <w:t>计分过程中按四舍五入的法则，最终结果取至小数点后两位。</w:t>
      </w:r>
    </w:p>
    <w:p w14:paraId="2C03BBDA">
      <w:pPr>
        <w:adjustRightInd w:val="0"/>
        <w:snapToGrid w:val="0"/>
        <w:spacing w:line="480" w:lineRule="exact"/>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 xml:space="preserve">3.4.5 </w:t>
      </w:r>
      <w:r>
        <w:rPr>
          <w:rFonts w:hint="eastAsia" w:ascii="宋体" w:hAnsi="宋体" w:eastAsia="宋体" w:cs="宋体"/>
          <w:color w:val="auto"/>
          <w:sz w:val="24"/>
          <w:highlight w:val="none"/>
          <w:lang w:val="zh-CN"/>
        </w:rPr>
        <w:t>评标委员会按照得分由高到低的顺序推荐</w:t>
      </w:r>
      <w:r>
        <w:rPr>
          <w:rFonts w:hint="eastAsia" w:ascii="宋体" w:hAnsi="宋体" w:eastAsia="宋体" w:cs="宋体"/>
          <w:color w:val="auto"/>
          <w:sz w:val="24"/>
          <w:highlight w:val="none"/>
        </w:rPr>
        <w:t>3名</w:t>
      </w:r>
      <w:r>
        <w:rPr>
          <w:rFonts w:hint="eastAsia" w:ascii="宋体" w:hAnsi="宋体" w:eastAsia="宋体" w:cs="宋体"/>
          <w:color w:val="auto"/>
          <w:sz w:val="24"/>
          <w:highlight w:val="none"/>
          <w:lang w:val="zh-CN"/>
        </w:rPr>
        <w:t>中标候选人。</w:t>
      </w:r>
    </w:p>
    <w:p w14:paraId="7627E35F">
      <w:pPr>
        <w:adjustRightInd w:val="0"/>
        <w:snapToGrid w:val="0"/>
        <w:spacing w:line="480" w:lineRule="exact"/>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 xml:space="preserve">3.4.6 </w:t>
      </w:r>
      <w:r>
        <w:rPr>
          <w:rFonts w:hint="eastAsia" w:ascii="宋体" w:hAnsi="宋体" w:eastAsia="宋体" w:cs="宋体"/>
          <w:color w:val="auto"/>
          <w:sz w:val="24"/>
          <w:highlight w:val="none"/>
          <w:lang w:val="zh-CN"/>
        </w:rPr>
        <w:t>评标委员会完成评标后，应当向采购人提交书面评标报告。</w:t>
      </w:r>
    </w:p>
    <w:p w14:paraId="23473031">
      <w:pPr>
        <w:adjustRightInd w:val="0"/>
        <w:snapToGrid w:val="0"/>
        <w:spacing w:line="480" w:lineRule="exact"/>
        <w:outlineLvl w:val="9"/>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rPr>
        <w:t xml:space="preserve">3.5 </w:t>
      </w:r>
      <w:r>
        <w:rPr>
          <w:rFonts w:hint="eastAsia" w:ascii="宋体" w:hAnsi="宋体" w:eastAsia="宋体" w:cs="宋体"/>
          <w:b/>
          <w:bCs/>
          <w:color w:val="auto"/>
          <w:sz w:val="24"/>
          <w:highlight w:val="none"/>
          <w:lang w:val="zh-CN"/>
        </w:rPr>
        <w:t>顺延中标人或重新招标</w:t>
      </w:r>
    </w:p>
    <w:p w14:paraId="5104293A">
      <w:pPr>
        <w:adjustRightInd w:val="0"/>
        <w:snapToGrid w:val="0"/>
        <w:spacing w:line="480" w:lineRule="exact"/>
        <w:ind w:firstLine="480" w:firstLineChars="20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中标人因不可抗力不能履行政府采购合同的，采购人可以与排位在中标人之后第一位的中标候选人签订政府采购合同，或者重新采购。</w:t>
      </w:r>
    </w:p>
    <w:p w14:paraId="785F2A6C">
      <w:pPr>
        <w:adjustRightInd w:val="0"/>
        <w:snapToGrid w:val="0"/>
        <w:spacing w:line="480" w:lineRule="exact"/>
        <w:outlineLvl w:val="9"/>
        <w:rPr>
          <w:rFonts w:hint="eastAsia" w:ascii="宋体" w:hAnsi="宋体" w:eastAsia="宋体" w:cs="宋体"/>
          <w:b/>
          <w:bCs/>
          <w:color w:val="auto"/>
          <w:sz w:val="24"/>
          <w:highlight w:val="none"/>
        </w:rPr>
      </w:pPr>
      <w:bookmarkStart w:id="282" w:name="_Toc54"/>
      <w:bookmarkStart w:id="283" w:name="_Toc19590"/>
      <w:bookmarkStart w:id="284" w:name="_Toc7468"/>
      <w:bookmarkStart w:id="285" w:name="_Toc17922"/>
      <w:bookmarkStart w:id="286" w:name="_Toc16293"/>
      <w:bookmarkStart w:id="287" w:name="_Toc28863"/>
      <w:bookmarkStart w:id="288" w:name="_Toc11630"/>
      <w:r>
        <w:rPr>
          <w:rFonts w:hint="eastAsia" w:ascii="宋体" w:hAnsi="宋体" w:eastAsia="宋体" w:cs="宋体"/>
          <w:b/>
          <w:bCs/>
          <w:color w:val="auto"/>
          <w:sz w:val="24"/>
          <w:highlight w:val="none"/>
        </w:rPr>
        <w:t>3.6 保密及其他注意事项</w:t>
      </w:r>
      <w:bookmarkEnd w:id="282"/>
      <w:bookmarkEnd w:id="283"/>
      <w:bookmarkEnd w:id="284"/>
      <w:bookmarkEnd w:id="285"/>
      <w:bookmarkEnd w:id="286"/>
      <w:bookmarkEnd w:id="287"/>
      <w:bookmarkEnd w:id="288"/>
    </w:p>
    <w:p w14:paraId="4A22525F">
      <w:pPr>
        <w:adjustRightInd w:val="0"/>
        <w:snapToGrid w:val="0"/>
        <w:spacing w:line="480" w:lineRule="exact"/>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 xml:space="preserve">3.6.1 </w:t>
      </w:r>
      <w:r>
        <w:rPr>
          <w:rFonts w:hint="eastAsia" w:ascii="宋体" w:hAnsi="宋体" w:eastAsia="宋体" w:cs="宋体"/>
          <w:color w:val="auto"/>
          <w:sz w:val="24"/>
          <w:highlight w:val="none"/>
          <w:lang w:val="zh-CN"/>
        </w:rPr>
        <w:t>在评标期间，投标企业不得向评标委员会成员询问评标情况，不得进行旨在影响中标结果的活动。</w:t>
      </w:r>
    </w:p>
    <w:p w14:paraId="37B3D9AD">
      <w:pPr>
        <w:adjustRightInd w:val="0"/>
        <w:snapToGrid w:val="0"/>
        <w:spacing w:line="480" w:lineRule="exact"/>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 xml:space="preserve">3.6.2 </w:t>
      </w:r>
      <w:r>
        <w:rPr>
          <w:rFonts w:hint="eastAsia" w:ascii="宋体" w:hAnsi="宋体" w:eastAsia="宋体" w:cs="宋体"/>
          <w:color w:val="auto"/>
          <w:sz w:val="24"/>
          <w:highlight w:val="none"/>
          <w:lang w:val="zh-CN"/>
        </w:rPr>
        <w:t>在评标结束后，凡与评标情况有接触的任何人不得也不应将评标情况扩散出评标委员会成员之外。</w:t>
      </w:r>
    </w:p>
    <w:p w14:paraId="4BFB44C4">
      <w:pPr>
        <w:adjustRightInd w:val="0"/>
        <w:snapToGrid w:val="0"/>
        <w:spacing w:line="4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3.6.3</w:t>
      </w:r>
      <w:r>
        <w:rPr>
          <w:rFonts w:hint="eastAsia" w:ascii="宋体" w:hAnsi="宋体" w:eastAsia="宋体" w:cs="宋体"/>
          <w:color w:val="auto"/>
          <w:sz w:val="24"/>
          <w:highlight w:val="none"/>
          <w:lang w:val="zh-CN"/>
        </w:rPr>
        <w:t>招标代理机构不向落标方解释落标原因，不退还投标文件。</w:t>
      </w:r>
    </w:p>
    <w:p w14:paraId="0D731B80">
      <w:pPr>
        <w:tabs>
          <w:tab w:val="left" w:pos="720"/>
        </w:tabs>
        <w:spacing w:line="480" w:lineRule="exact"/>
        <w:ind w:firstLine="420" w:firstLineChars="200"/>
        <w:outlineLvl w:val="9"/>
        <w:rPr>
          <w:rFonts w:hint="eastAsia" w:ascii="宋体" w:hAnsi="宋体" w:eastAsia="宋体" w:cs="宋体"/>
          <w:color w:val="auto"/>
          <w:szCs w:val="28"/>
          <w:highlight w:val="none"/>
        </w:rPr>
      </w:pPr>
      <w:r>
        <w:rPr>
          <w:rFonts w:hint="eastAsia" w:ascii="宋体" w:hAnsi="宋体" w:eastAsia="宋体" w:cs="宋体"/>
          <w:bCs/>
          <w:color w:val="auto"/>
          <w:kern w:val="0"/>
          <w:szCs w:val="21"/>
          <w:highlight w:val="none"/>
        </w:rPr>
        <w:br w:type="page"/>
      </w:r>
    </w:p>
    <w:p w14:paraId="10BC31BB">
      <w:pPr>
        <w:pStyle w:val="2"/>
        <w:numPr>
          <w:ilvl w:val="0"/>
          <w:numId w:val="7"/>
        </w:numPr>
        <w:bidi w:val="0"/>
        <w:rPr>
          <w:rFonts w:hint="eastAsia" w:ascii="宋体" w:hAnsi="宋体" w:eastAsia="宋体" w:cs="宋体"/>
          <w:color w:val="auto"/>
          <w:highlight w:val="none"/>
        </w:rPr>
      </w:pPr>
      <w:bookmarkStart w:id="289" w:name="_Toc27274"/>
      <w:r>
        <w:rPr>
          <w:rFonts w:hint="eastAsia" w:ascii="宋体" w:hAnsi="宋体" w:eastAsia="宋体" w:cs="宋体"/>
          <w:color w:val="auto"/>
          <w:highlight w:val="none"/>
        </w:rPr>
        <w:t>合同条款及格式</w:t>
      </w:r>
      <w:bookmarkEnd w:id="265"/>
      <w:bookmarkEnd w:id="266"/>
      <w:bookmarkEnd w:id="267"/>
      <w:bookmarkEnd w:id="268"/>
      <w:r>
        <w:rPr>
          <w:rFonts w:hint="eastAsia" w:ascii="宋体" w:hAnsi="宋体" w:eastAsia="宋体" w:cs="宋体"/>
          <w:color w:val="auto"/>
          <w:highlight w:val="none"/>
        </w:rPr>
        <w:t xml:space="preserve"> （仅供参考）</w:t>
      </w:r>
      <w:bookmarkEnd w:id="269"/>
      <w:bookmarkEnd w:id="289"/>
      <w:bookmarkStart w:id="290" w:name="_Toc12807"/>
      <w:r>
        <w:rPr>
          <w:rFonts w:hint="eastAsia" w:ascii="宋体" w:hAnsi="宋体" w:eastAsia="宋体" w:cs="宋体"/>
          <w:color w:val="auto"/>
          <w:highlight w:val="none"/>
        </w:rPr>
        <w:t xml:space="preserve"> </w:t>
      </w:r>
    </w:p>
    <w:p w14:paraId="1D1F8D0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olor w:val="000000"/>
          <w:kern w:val="0"/>
          <w:sz w:val="24"/>
          <w:lang w:bidi="ar"/>
        </w:rPr>
      </w:pPr>
      <w:bookmarkStart w:id="291" w:name="_Toc3995"/>
      <w:bookmarkStart w:id="292" w:name="_Toc8682"/>
      <w:r>
        <w:rPr>
          <w:rFonts w:hint="eastAsia" w:ascii="宋体" w:hAnsi="宋体"/>
          <w:color w:val="000000"/>
          <w:kern w:val="0"/>
          <w:sz w:val="24"/>
          <w:lang w:bidi="ar"/>
        </w:rPr>
        <w:t xml:space="preserve">甲方：博爱县教育体育局 </w:t>
      </w:r>
    </w:p>
    <w:p w14:paraId="5E723E7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olor w:val="000000"/>
          <w:kern w:val="0"/>
          <w:sz w:val="24"/>
          <w:lang w:bidi="ar"/>
        </w:rPr>
      </w:pPr>
      <w:r>
        <w:rPr>
          <w:rFonts w:hint="eastAsia" w:ascii="宋体" w:hAnsi="宋体"/>
          <w:color w:val="000000"/>
          <w:kern w:val="0"/>
          <w:sz w:val="24"/>
          <w:lang w:bidi="ar"/>
        </w:rPr>
        <w:t>乙方：</w:t>
      </w:r>
    </w:p>
    <w:p w14:paraId="5FD3AE9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olor w:val="000000"/>
          <w:kern w:val="0"/>
          <w:sz w:val="24"/>
          <w:lang w:bidi="ar"/>
        </w:rPr>
      </w:pPr>
      <w:r>
        <w:rPr>
          <w:rFonts w:hint="eastAsia" w:ascii="宋体" w:hAnsi="宋体"/>
          <w:color w:val="000000"/>
          <w:kern w:val="0"/>
          <w:sz w:val="24"/>
          <w:lang w:bidi="ar"/>
        </w:rPr>
        <w:t xml:space="preserve"> </w:t>
      </w:r>
    </w:p>
    <w:p w14:paraId="56DE3371">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000000"/>
          <w:kern w:val="0"/>
          <w:sz w:val="24"/>
          <w:lang w:bidi="ar"/>
        </w:rPr>
      </w:pPr>
      <w:r>
        <w:rPr>
          <w:rFonts w:hint="eastAsia" w:ascii="宋体" w:hAnsi="宋体"/>
          <w:color w:val="000000"/>
          <w:kern w:val="0"/>
          <w:sz w:val="24"/>
          <w:lang w:bidi="ar"/>
        </w:rPr>
        <w:t>甲、乙双方持</w:t>
      </w:r>
      <w:r>
        <w:rPr>
          <w:rFonts w:hint="eastAsia" w:ascii="宋体" w:hAnsi="宋体"/>
          <w:color w:val="000000"/>
          <w:kern w:val="0"/>
          <w:sz w:val="24"/>
          <w:u w:val="single"/>
          <w:lang w:val="en-US" w:eastAsia="zh-CN" w:bidi="ar"/>
        </w:rPr>
        <w:t xml:space="preserve">             </w:t>
      </w:r>
      <w:r>
        <w:rPr>
          <w:rFonts w:hint="eastAsia" w:ascii="宋体" w:hAnsi="宋体"/>
          <w:color w:val="000000" w:themeColor="text1"/>
          <w:kern w:val="0"/>
          <w:sz w:val="24"/>
          <w:lang w:bidi="ar"/>
          <w14:textFill>
            <w14:solidFill>
              <w14:schemeClr w14:val="tx1"/>
            </w14:solidFill>
          </w14:textFill>
        </w:rPr>
        <w:t>2025</w:t>
      </w:r>
      <w:r>
        <w:rPr>
          <w:rFonts w:hint="eastAsia" w:ascii="宋体" w:hAnsi="宋体"/>
          <w:color w:val="000000" w:themeColor="text1"/>
          <w:kern w:val="0"/>
          <w:sz w:val="24"/>
          <w:u w:val="single"/>
          <w:lang w:bidi="ar"/>
          <w14:textFill>
            <w14:solidFill>
              <w14:schemeClr w14:val="tx1"/>
            </w14:solidFill>
          </w14:textFill>
        </w:rPr>
        <w:t>年</w:t>
      </w:r>
      <w:r>
        <w:rPr>
          <w:rFonts w:hint="eastAsia" w:ascii="宋体" w:hAnsi="宋体"/>
          <w:color w:val="000000" w:themeColor="text1"/>
          <w:kern w:val="0"/>
          <w:sz w:val="24"/>
          <w:u w:val="single"/>
          <w:lang w:val="en-US" w:eastAsia="zh-CN" w:bidi="ar"/>
          <w14:textFill>
            <w14:solidFill>
              <w14:schemeClr w14:val="tx1"/>
            </w14:solidFill>
          </w14:textFill>
        </w:rPr>
        <w:t xml:space="preserve">  </w:t>
      </w:r>
      <w:r>
        <w:rPr>
          <w:rFonts w:hint="eastAsia" w:ascii="宋体" w:hAnsi="宋体"/>
          <w:color w:val="000000" w:themeColor="text1"/>
          <w:kern w:val="0"/>
          <w:sz w:val="24"/>
          <w:u w:val="single"/>
          <w:lang w:bidi="ar"/>
          <w14:textFill>
            <w14:solidFill>
              <w14:schemeClr w14:val="tx1"/>
            </w14:solidFill>
          </w14:textFill>
        </w:rPr>
        <w:t>月</w:t>
      </w:r>
      <w:r>
        <w:rPr>
          <w:rFonts w:hint="eastAsia" w:ascii="宋体" w:hAnsi="宋体"/>
          <w:color w:val="000000" w:themeColor="text1"/>
          <w:kern w:val="0"/>
          <w:sz w:val="24"/>
          <w:u w:val="single"/>
          <w:lang w:val="en-US" w:eastAsia="zh-CN" w:bidi="ar"/>
          <w14:textFill>
            <w14:solidFill>
              <w14:schemeClr w14:val="tx1"/>
            </w14:solidFill>
          </w14:textFill>
        </w:rPr>
        <w:t xml:space="preserve">  </w:t>
      </w:r>
      <w:r>
        <w:rPr>
          <w:rFonts w:hint="eastAsia" w:ascii="宋体" w:hAnsi="宋体"/>
          <w:color w:val="000000" w:themeColor="text1"/>
          <w:kern w:val="0"/>
          <w:sz w:val="24"/>
          <w:u w:val="single"/>
          <w:lang w:bidi="ar"/>
          <w14:textFill>
            <w14:solidFill>
              <w14:schemeClr w14:val="tx1"/>
            </w14:solidFill>
          </w14:textFill>
        </w:rPr>
        <w:t>日</w:t>
      </w:r>
      <w:r>
        <w:rPr>
          <w:rFonts w:hint="eastAsia" w:ascii="宋体" w:hAnsi="宋体"/>
          <w:color w:val="000000" w:themeColor="text1"/>
          <w:kern w:val="0"/>
          <w:sz w:val="24"/>
          <w:lang w:bidi="ar"/>
          <w14:textFill>
            <w14:solidFill>
              <w14:schemeClr w14:val="tx1"/>
            </w14:solidFill>
          </w14:textFill>
        </w:rPr>
        <w:t>签发的</w:t>
      </w:r>
      <w:r>
        <w:rPr>
          <w:rFonts w:hint="eastAsia" w:ascii="宋体" w:hAnsi="宋体"/>
          <w:color w:val="000000" w:themeColor="text1"/>
          <w:kern w:val="0"/>
          <w:sz w:val="24"/>
          <w:u w:val="single"/>
          <w:lang w:eastAsia="zh-CN" w:bidi="ar"/>
          <w14:textFill>
            <w14:solidFill>
              <w14:schemeClr w14:val="tx1"/>
            </w14:solidFill>
          </w14:textFill>
        </w:rPr>
        <w:t>焦作市新材料职业学院学术交流中心中央空调采购项目</w:t>
      </w:r>
      <w:r>
        <w:rPr>
          <w:rFonts w:hint="eastAsia" w:ascii="宋体" w:hAnsi="宋体"/>
          <w:color w:val="000000" w:themeColor="text1"/>
          <w:kern w:val="0"/>
          <w:sz w:val="24"/>
          <w:lang w:bidi="ar"/>
          <w14:textFill>
            <w14:solidFill>
              <w14:schemeClr w14:val="tx1"/>
            </w14:solidFill>
          </w14:textFill>
        </w:rPr>
        <w:t>中标通知</w:t>
      </w:r>
      <w:r>
        <w:rPr>
          <w:rFonts w:hint="eastAsia" w:ascii="宋体" w:hAnsi="宋体"/>
          <w:color w:val="000000"/>
          <w:kern w:val="0"/>
          <w:sz w:val="24"/>
          <w:lang w:bidi="ar"/>
        </w:rPr>
        <w:t xml:space="preserve">书，根据招标文件、投标文件的内容，并经双方协商一致，达成以下合同条款： </w:t>
      </w:r>
    </w:p>
    <w:p w14:paraId="321D7DD7">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000000"/>
          <w:kern w:val="0"/>
          <w:sz w:val="24"/>
          <w:lang w:bidi="ar"/>
        </w:rPr>
      </w:pPr>
      <w:r>
        <w:rPr>
          <w:rFonts w:hint="eastAsia" w:ascii="宋体" w:hAnsi="宋体"/>
          <w:color w:val="000000"/>
          <w:kern w:val="0"/>
          <w:sz w:val="24"/>
          <w:lang w:bidi="ar"/>
        </w:rPr>
        <w:t>一、本总价款为</w:t>
      </w:r>
      <w:r>
        <w:rPr>
          <w:rFonts w:hint="eastAsia" w:ascii="宋体" w:hAnsi="宋体"/>
          <w:color w:val="000000"/>
          <w:kern w:val="0"/>
          <w:sz w:val="24"/>
          <w:lang w:val="en-US" w:eastAsia="zh-CN" w:bidi="ar"/>
        </w:rPr>
        <w:t xml:space="preserve">     元（大写）          </w:t>
      </w:r>
      <w:r>
        <w:rPr>
          <w:rFonts w:hint="eastAsia" w:ascii="宋体" w:hAnsi="宋体"/>
          <w:color w:val="000000"/>
          <w:kern w:val="0"/>
          <w:sz w:val="24"/>
          <w:lang w:bidi="ar"/>
        </w:rPr>
        <w:t>（产品清单详见附表）</w:t>
      </w:r>
    </w:p>
    <w:p w14:paraId="307170E8">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000000"/>
          <w:kern w:val="0"/>
          <w:sz w:val="24"/>
          <w:lang w:bidi="ar"/>
        </w:rPr>
      </w:pPr>
      <w:r>
        <w:rPr>
          <w:rFonts w:hint="eastAsia" w:ascii="宋体" w:hAnsi="宋体"/>
          <w:color w:val="000000"/>
          <w:kern w:val="0"/>
          <w:sz w:val="24"/>
          <w:lang w:bidi="ar"/>
        </w:rPr>
        <w:t xml:space="preserve">二、货物质量要求： </w:t>
      </w:r>
    </w:p>
    <w:p w14:paraId="0B0538EB">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000000"/>
          <w:kern w:val="0"/>
          <w:sz w:val="24"/>
          <w:lang w:bidi="ar"/>
        </w:rPr>
      </w:pPr>
      <w:r>
        <w:rPr>
          <w:rFonts w:hint="eastAsia" w:ascii="宋体" w:hAnsi="宋体"/>
          <w:color w:val="000000"/>
          <w:kern w:val="0"/>
          <w:sz w:val="24"/>
          <w:lang w:bidi="ar"/>
        </w:rPr>
        <w:t xml:space="preserve">乙方提供的货物是全新的货物，符合国家有关标准，达到本项目招标文件中的技术标准及要求，且与投标文件保持一致。 </w:t>
      </w:r>
    </w:p>
    <w:p w14:paraId="62655188">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000000"/>
          <w:kern w:val="0"/>
          <w:sz w:val="24"/>
          <w:lang w:eastAsia="zh-CN" w:bidi="ar"/>
        </w:rPr>
      </w:pPr>
      <w:r>
        <w:rPr>
          <w:rFonts w:hint="eastAsia" w:ascii="宋体" w:hAnsi="宋体"/>
          <w:color w:val="000000"/>
          <w:kern w:val="0"/>
          <w:sz w:val="24"/>
          <w:lang w:bidi="ar"/>
        </w:rPr>
        <w:t>三、交货时间、地点、方式</w:t>
      </w:r>
      <w:r>
        <w:rPr>
          <w:rFonts w:hint="eastAsia" w:ascii="宋体" w:hAnsi="宋体"/>
          <w:color w:val="000000"/>
          <w:kern w:val="0"/>
          <w:sz w:val="24"/>
          <w:lang w:eastAsia="zh-CN" w:bidi="ar"/>
        </w:rPr>
        <w:t>：</w:t>
      </w:r>
    </w:p>
    <w:p w14:paraId="63F5B727">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000000"/>
          <w:kern w:val="0"/>
          <w:sz w:val="24"/>
          <w:lang w:bidi="ar"/>
        </w:rPr>
      </w:pPr>
      <w:r>
        <w:rPr>
          <w:rFonts w:hint="eastAsia" w:ascii="宋体" w:hAnsi="宋体"/>
          <w:color w:val="000000"/>
          <w:kern w:val="0"/>
          <w:sz w:val="24"/>
          <w:lang w:bidi="ar"/>
        </w:rPr>
        <w:t>合同生效后，乙方应于</w:t>
      </w:r>
      <w:r>
        <w:rPr>
          <w:rFonts w:hint="eastAsia" w:ascii="宋体" w:hAnsi="宋体"/>
          <w:color w:val="000000"/>
          <w:kern w:val="0"/>
          <w:sz w:val="24"/>
          <w:u w:val="single"/>
          <w:lang w:val="en-US" w:eastAsia="zh-CN" w:bidi="ar"/>
        </w:rPr>
        <w:t xml:space="preserve">    </w:t>
      </w:r>
      <w:r>
        <w:rPr>
          <w:rFonts w:hint="eastAsia" w:ascii="宋体" w:hAnsi="宋体"/>
          <w:color w:val="000000"/>
          <w:kern w:val="0"/>
          <w:sz w:val="24"/>
          <w:lang w:bidi="ar"/>
        </w:rPr>
        <w:t xml:space="preserve">日前按甲方要求在指定地点将货物交货完毕，并具备验收使用条件。货物运送、装卸、安装和验收等产生的费用由乙方负责。 </w:t>
      </w:r>
    </w:p>
    <w:p w14:paraId="648050D2">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000000"/>
          <w:kern w:val="0"/>
          <w:sz w:val="24"/>
          <w:lang w:bidi="ar"/>
        </w:rPr>
      </w:pPr>
      <w:r>
        <w:rPr>
          <w:rFonts w:hint="eastAsia" w:ascii="宋体" w:hAnsi="宋体"/>
          <w:color w:val="000000"/>
          <w:kern w:val="0"/>
          <w:sz w:val="24"/>
          <w:lang w:bidi="ar"/>
        </w:rPr>
        <w:t>四、乙方在交付货物时应向甲方提供所供货物的相关的资料。</w:t>
      </w:r>
    </w:p>
    <w:p w14:paraId="29A9799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olor w:val="000000"/>
          <w:kern w:val="0"/>
          <w:sz w:val="24"/>
          <w:lang w:bidi="ar"/>
        </w:rPr>
      </w:pPr>
      <w:r>
        <w:rPr>
          <w:rFonts w:hint="eastAsia" w:ascii="宋体" w:hAnsi="宋体"/>
          <w:color w:val="000000"/>
          <w:kern w:val="0"/>
          <w:sz w:val="24"/>
          <w:lang w:bidi="ar"/>
        </w:rPr>
        <w:t xml:space="preserve">    五、验收：所供货物结束由乙方提供其供应货物满足招标文件所规定技术参数相关证明文件，和具体使用学校提供的能正常使用相关证明后，由甲方组织相关人员进行验收、出具检测验收报告。</w:t>
      </w:r>
    </w:p>
    <w:p w14:paraId="65AA152E">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000000"/>
          <w:kern w:val="0"/>
          <w:sz w:val="24"/>
          <w:lang w:bidi="ar"/>
        </w:rPr>
      </w:pPr>
      <w:r>
        <w:rPr>
          <w:rFonts w:hint="eastAsia" w:ascii="宋体" w:hAnsi="宋体"/>
          <w:color w:val="000000"/>
          <w:kern w:val="0"/>
          <w:sz w:val="24"/>
          <w:lang w:bidi="ar"/>
        </w:rPr>
        <w:t>六、付款方式：</w:t>
      </w:r>
      <w:r>
        <w:rPr>
          <w:rFonts w:hint="eastAsia" w:ascii="宋体" w:hAnsi="宋体"/>
          <w:color w:val="000000"/>
          <w:kern w:val="0"/>
          <w:sz w:val="24"/>
          <w:u w:val="single"/>
          <w:lang w:val="en-US" w:eastAsia="zh-CN" w:bidi="ar"/>
        </w:rPr>
        <w:t xml:space="preserve">                              </w:t>
      </w:r>
      <w:r>
        <w:rPr>
          <w:rFonts w:hint="eastAsia" w:ascii="宋体" w:hAnsi="宋体"/>
          <w:color w:val="000000"/>
          <w:kern w:val="0"/>
          <w:sz w:val="24"/>
          <w:lang w:bidi="ar"/>
        </w:rPr>
        <w:t>。</w:t>
      </w:r>
    </w:p>
    <w:p w14:paraId="48FB6D90">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000000"/>
          <w:kern w:val="0"/>
          <w:sz w:val="24"/>
          <w:lang w:bidi="ar"/>
        </w:rPr>
      </w:pPr>
      <w:r>
        <w:rPr>
          <w:rFonts w:hint="eastAsia" w:ascii="宋体" w:hAnsi="宋体"/>
          <w:color w:val="000000"/>
          <w:kern w:val="0"/>
          <w:sz w:val="24"/>
          <w:lang w:bidi="ar"/>
        </w:rPr>
        <w:t>七、违约责任：</w:t>
      </w:r>
    </w:p>
    <w:p w14:paraId="70A6FDB5">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000000"/>
          <w:kern w:val="0"/>
          <w:sz w:val="24"/>
          <w:lang w:bidi="ar"/>
        </w:rPr>
      </w:pPr>
      <w:r>
        <w:rPr>
          <w:rFonts w:hint="eastAsia" w:ascii="宋体" w:hAnsi="宋体"/>
          <w:color w:val="000000"/>
          <w:kern w:val="0"/>
          <w:sz w:val="24"/>
          <w:lang w:bidi="ar"/>
        </w:rPr>
        <w:t>甲方无正当理由拒收货物，向乙方偿付拒收拒付部分货物款总额 0.1%的违约金。</w:t>
      </w:r>
    </w:p>
    <w:p w14:paraId="51600522">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000000"/>
          <w:kern w:val="0"/>
          <w:sz w:val="24"/>
          <w:lang w:bidi="ar"/>
        </w:rPr>
      </w:pPr>
      <w:r>
        <w:rPr>
          <w:rFonts w:hint="eastAsia" w:ascii="宋体" w:hAnsi="宋体"/>
          <w:color w:val="000000"/>
          <w:kern w:val="0"/>
          <w:sz w:val="24"/>
          <w:lang w:bidi="ar"/>
        </w:rPr>
        <w:t xml:space="preserve">乙方所交货物的规格型号、技术要求、质量品质等不符合合同规定，甲方有权拒收货物，乙方应负责更换并承担因更换而支付的全部实际费用。因更换而逾期交货，则按逾期交货处理。 </w:t>
      </w:r>
    </w:p>
    <w:p w14:paraId="6BB1D745">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000000"/>
          <w:kern w:val="0"/>
          <w:sz w:val="24"/>
          <w:lang w:bidi="ar"/>
        </w:rPr>
      </w:pPr>
      <w:r>
        <w:rPr>
          <w:rFonts w:hint="eastAsia" w:ascii="宋体" w:hAnsi="宋体"/>
          <w:color w:val="000000"/>
          <w:kern w:val="0"/>
          <w:sz w:val="24"/>
          <w:lang w:bidi="ar"/>
        </w:rPr>
        <w:t xml:space="preserve">乙方逾期交付货物，乙方向甲方每日偿付逾期交货部分总值 0.1%赔偿费。 </w:t>
      </w:r>
    </w:p>
    <w:p w14:paraId="209C5DD1">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000000"/>
          <w:kern w:val="0"/>
          <w:sz w:val="24"/>
          <w:lang w:bidi="ar"/>
        </w:rPr>
      </w:pPr>
      <w:r>
        <w:rPr>
          <w:rFonts w:hint="eastAsia" w:ascii="宋体" w:hAnsi="宋体"/>
          <w:color w:val="000000"/>
          <w:kern w:val="0"/>
          <w:sz w:val="24"/>
          <w:lang w:bidi="ar"/>
        </w:rPr>
        <w:t>八、因货物的质量问题发生争议，由甲方所在地市级技术监督单位进行质量鉴定。</w:t>
      </w:r>
    </w:p>
    <w:p w14:paraId="29C7D632">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000000"/>
          <w:kern w:val="0"/>
          <w:sz w:val="24"/>
          <w:lang w:bidi="ar"/>
        </w:rPr>
      </w:pPr>
      <w:r>
        <w:rPr>
          <w:rFonts w:hint="eastAsia" w:ascii="宋体" w:hAnsi="宋体"/>
          <w:color w:val="000000"/>
          <w:kern w:val="0"/>
          <w:sz w:val="24"/>
          <w:lang w:bidi="ar"/>
        </w:rPr>
        <w:t>九、甲乙双方应严格遵守投标要求和投标单位须知，如有违反，按投标要求和投标单位须知规定予以处理。</w:t>
      </w:r>
    </w:p>
    <w:p w14:paraId="727109A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olor w:val="000000"/>
          <w:kern w:val="0"/>
          <w:sz w:val="24"/>
          <w:lang w:bidi="ar"/>
        </w:rPr>
      </w:pPr>
      <w:r>
        <w:rPr>
          <w:rFonts w:hint="eastAsia" w:ascii="宋体" w:hAnsi="宋体"/>
          <w:color w:val="000000"/>
          <w:kern w:val="0"/>
          <w:sz w:val="24"/>
          <w:lang w:bidi="ar"/>
        </w:rPr>
        <w:t xml:space="preserve">    十、招标文件及其修改补充、投标文件及其修改澄清均为本合同的组成部分。优先支配地位的次序为：本合同、招标文件和投标文件。</w:t>
      </w:r>
    </w:p>
    <w:p w14:paraId="758BAB5F">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000000"/>
          <w:kern w:val="0"/>
          <w:sz w:val="24"/>
          <w:lang w:bidi="ar"/>
        </w:rPr>
      </w:pPr>
      <w:r>
        <w:rPr>
          <w:rFonts w:hint="eastAsia" w:ascii="宋体" w:hAnsi="宋体"/>
          <w:color w:val="000000"/>
          <w:kern w:val="0"/>
          <w:sz w:val="24"/>
          <w:lang w:bidi="ar"/>
        </w:rPr>
        <w:t>十一、本合同发生争议时双方应按合同条款协商解决。双方协商不成，可以向甲方当地人民法院起诉。</w:t>
      </w:r>
    </w:p>
    <w:p w14:paraId="0A3A50C7">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000000"/>
          <w:kern w:val="0"/>
          <w:sz w:val="24"/>
          <w:lang w:bidi="ar"/>
        </w:rPr>
      </w:pPr>
      <w:r>
        <w:rPr>
          <w:rFonts w:hint="eastAsia" w:ascii="宋体" w:hAnsi="宋体"/>
          <w:color w:val="000000"/>
          <w:kern w:val="0"/>
          <w:sz w:val="24"/>
          <w:lang w:bidi="ar"/>
        </w:rPr>
        <w:t>十二、合同生效及其它：</w:t>
      </w:r>
    </w:p>
    <w:p w14:paraId="0FC02665">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000000"/>
          <w:kern w:val="0"/>
          <w:sz w:val="24"/>
          <w:lang w:bidi="ar"/>
        </w:rPr>
      </w:pPr>
      <w:r>
        <w:rPr>
          <w:rFonts w:hint="eastAsia" w:ascii="宋体" w:hAnsi="宋体"/>
          <w:color w:val="000000"/>
          <w:kern w:val="0"/>
          <w:sz w:val="24"/>
          <w:lang w:bidi="ar"/>
        </w:rPr>
        <w:t xml:space="preserve">本合同经甲乙双方法定代表人签字、加盖公章和骑缝章后生效。本合同一式四份，甲乙双方各持两份。 </w:t>
      </w:r>
    </w:p>
    <w:tbl>
      <w:tblPr>
        <w:tblStyle w:val="3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19"/>
        <w:gridCol w:w="4220"/>
      </w:tblGrid>
      <w:tr w14:paraId="258BB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7" w:hRule="atLeast"/>
        </w:trPr>
        <w:tc>
          <w:tcPr>
            <w:tcW w:w="4219" w:type="dxa"/>
          </w:tcPr>
          <w:p w14:paraId="6DF7E32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eastAsiaTheme="minorEastAsia"/>
                <w:b/>
                <w:bCs/>
                <w:sz w:val="24"/>
              </w:rPr>
            </w:pPr>
            <w:r>
              <w:rPr>
                <w:rFonts w:hint="eastAsia" w:ascii="宋体" w:hAnsi="宋体" w:cs="宋体" w:eastAsiaTheme="minorEastAsia"/>
                <w:b/>
                <w:bCs/>
                <w:sz w:val="24"/>
              </w:rPr>
              <w:t>甲方：博爱县教育体育局</w:t>
            </w:r>
          </w:p>
          <w:p w14:paraId="59D1E472">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eastAsiaTheme="minorEastAsia"/>
                <w:b/>
                <w:bCs/>
                <w:sz w:val="24"/>
              </w:rPr>
            </w:pPr>
            <w:r>
              <w:rPr>
                <w:rFonts w:hint="eastAsia" w:ascii="宋体" w:hAnsi="宋体" w:cs="宋体" w:eastAsiaTheme="minorEastAsia"/>
                <w:b/>
                <w:bCs/>
                <w:sz w:val="24"/>
              </w:rPr>
              <w:t>地址：博爱县玉祥路</w:t>
            </w:r>
          </w:p>
          <w:p w14:paraId="5D79D52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eastAsiaTheme="minorEastAsia"/>
                <w:b/>
                <w:sz w:val="24"/>
              </w:rPr>
            </w:pPr>
            <w:r>
              <w:rPr>
                <w:rFonts w:hint="eastAsia" w:ascii="宋体" w:hAnsi="宋体" w:cs="宋体" w:eastAsiaTheme="minorEastAsia"/>
                <w:b/>
                <w:sz w:val="24"/>
              </w:rPr>
              <w:t>法定代表人</w:t>
            </w:r>
            <w:r>
              <w:rPr>
                <w:rFonts w:hint="eastAsia" w:ascii="宋体" w:hAnsi="宋体" w:eastAsiaTheme="minorEastAsia" w:cstheme="minorBidi"/>
                <w:b/>
                <w:bCs/>
                <w:color w:val="000000"/>
                <w:kern w:val="0"/>
                <w:sz w:val="24"/>
                <w:lang w:bidi="ar"/>
              </w:rPr>
              <w:t>（授权委托人）</w:t>
            </w:r>
            <w:r>
              <w:rPr>
                <w:rFonts w:hint="eastAsia" w:ascii="宋体" w:hAnsi="宋体" w:cs="宋体" w:eastAsiaTheme="minorEastAsia"/>
                <w:b/>
                <w:sz w:val="24"/>
              </w:rPr>
              <w:t>：</w:t>
            </w:r>
          </w:p>
          <w:p w14:paraId="00EEBF7E">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eastAsiaTheme="minorEastAsia"/>
                <w:b/>
                <w:sz w:val="24"/>
              </w:rPr>
            </w:pPr>
            <w:r>
              <w:rPr>
                <w:rFonts w:hint="eastAsia" w:ascii="宋体" w:hAnsi="宋体" w:cs="宋体" w:eastAsiaTheme="minorEastAsia"/>
                <w:b/>
                <w:sz w:val="24"/>
              </w:rPr>
              <w:t>电　　话：</w:t>
            </w:r>
          </w:p>
          <w:p w14:paraId="6234EF1B">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eastAsiaTheme="minorEastAsia"/>
                <w:b/>
                <w:sz w:val="24"/>
              </w:rPr>
            </w:pPr>
            <w:r>
              <w:rPr>
                <w:rFonts w:hint="eastAsia" w:ascii="宋体" w:hAnsi="宋体" w:cs="宋体" w:eastAsiaTheme="minorEastAsia"/>
                <w:b/>
                <w:sz w:val="24"/>
              </w:rPr>
              <w:t>开户银行：</w:t>
            </w:r>
            <w:r>
              <w:rPr>
                <w:rFonts w:hint="eastAsia" w:ascii="宋体" w:hAnsi="宋体" w:cs="宋体" w:eastAsiaTheme="minorEastAsia"/>
                <w:sz w:val="24"/>
              </w:rPr>
              <w:t xml:space="preserve"> </w:t>
            </w:r>
          </w:p>
          <w:p w14:paraId="23C5D0B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eastAsiaTheme="minorEastAsia"/>
                <w:b/>
                <w:sz w:val="24"/>
              </w:rPr>
            </w:pPr>
            <w:r>
              <w:rPr>
                <w:rFonts w:hint="eastAsia" w:ascii="宋体" w:hAnsi="宋体" w:cs="宋体" w:eastAsiaTheme="minorEastAsia"/>
                <w:b/>
                <w:sz w:val="24"/>
              </w:rPr>
              <w:t>银行账号：</w:t>
            </w:r>
          </w:p>
          <w:p w14:paraId="76E44BE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eastAsiaTheme="minorEastAsia"/>
                <w:b/>
                <w:sz w:val="24"/>
              </w:rPr>
            </w:pPr>
            <w:r>
              <w:rPr>
                <w:rFonts w:hint="eastAsia" w:ascii="宋体" w:hAnsi="宋体" w:cs="宋体" w:eastAsiaTheme="minorEastAsia"/>
                <w:b/>
                <w:sz w:val="24"/>
              </w:rPr>
              <w:t>开户名:</w:t>
            </w:r>
          </w:p>
          <w:p w14:paraId="2F41A85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eastAsiaTheme="minorEastAsia"/>
                <w:b/>
                <w:sz w:val="24"/>
              </w:rPr>
            </w:pPr>
            <w:r>
              <w:rPr>
                <w:rFonts w:hint="eastAsia" w:ascii="宋体" w:hAnsi="宋体" w:cs="宋体" w:eastAsiaTheme="minorEastAsia"/>
                <w:b/>
                <w:sz w:val="24"/>
              </w:rPr>
              <w:t>签约时间：</w:t>
            </w:r>
          </w:p>
        </w:tc>
        <w:tc>
          <w:tcPr>
            <w:tcW w:w="4220" w:type="dxa"/>
          </w:tcPr>
          <w:p w14:paraId="04E3614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eastAsiaTheme="minorEastAsia"/>
                <w:b/>
                <w:bCs/>
                <w:sz w:val="24"/>
              </w:rPr>
            </w:pPr>
            <w:r>
              <w:rPr>
                <w:rFonts w:hint="eastAsia" w:ascii="宋体" w:hAnsi="宋体" w:cs="宋体" w:eastAsiaTheme="minorEastAsia"/>
                <w:b/>
                <w:bCs/>
                <w:sz w:val="24"/>
              </w:rPr>
              <w:t xml:space="preserve">乙方： </w:t>
            </w:r>
          </w:p>
          <w:p w14:paraId="2217B491">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eastAsiaTheme="minorEastAsia"/>
                <w:b/>
                <w:bCs/>
                <w:sz w:val="24"/>
              </w:rPr>
            </w:pPr>
            <w:r>
              <w:rPr>
                <w:rFonts w:hint="eastAsia" w:ascii="宋体" w:hAnsi="宋体" w:cs="宋体" w:eastAsiaTheme="minorEastAsia"/>
                <w:b/>
                <w:bCs/>
                <w:sz w:val="24"/>
              </w:rPr>
              <w:t>地址：</w:t>
            </w:r>
          </w:p>
          <w:p w14:paraId="67B746B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eastAsiaTheme="minorEastAsia"/>
                <w:b/>
                <w:sz w:val="24"/>
              </w:rPr>
            </w:pPr>
            <w:r>
              <w:rPr>
                <w:rFonts w:hint="eastAsia" w:ascii="宋体" w:hAnsi="宋体" w:eastAsiaTheme="minorEastAsia" w:cstheme="minorBidi"/>
                <w:b/>
                <w:bCs/>
                <w:color w:val="000000"/>
                <w:kern w:val="0"/>
                <w:sz w:val="24"/>
                <w:lang w:bidi="ar"/>
              </w:rPr>
              <w:t>法定代表人（授权委托人）：</w:t>
            </w:r>
          </w:p>
          <w:p w14:paraId="23D62EE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eastAsiaTheme="minorEastAsia"/>
                <w:b/>
                <w:sz w:val="24"/>
              </w:rPr>
            </w:pPr>
            <w:r>
              <w:rPr>
                <w:rFonts w:hint="eastAsia" w:ascii="宋体" w:hAnsi="宋体" w:cs="宋体" w:eastAsiaTheme="minorEastAsia"/>
                <w:b/>
                <w:sz w:val="24"/>
              </w:rPr>
              <w:t xml:space="preserve">电　　话： </w:t>
            </w:r>
          </w:p>
          <w:p w14:paraId="6AD31057">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eastAsiaTheme="minorEastAsia"/>
                <w:b/>
                <w:sz w:val="24"/>
              </w:rPr>
            </w:pPr>
            <w:r>
              <w:rPr>
                <w:rFonts w:hint="eastAsia" w:ascii="宋体" w:hAnsi="宋体" w:cs="宋体" w:eastAsiaTheme="minorEastAsia"/>
                <w:b/>
                <w:sz w:val="24"/>
              </w:rPr>
              <w:t>开户银行：</w:t>
            </w:r>
          </w:p>
          <w:p w14:paraId="3E26CD12">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eastAsiaTheme="minorEastAsia"/>
                <w:b/>
                <w:sz w:val="24"/>
              </w:rPr>
            </w:pPr>
            <w:r>
              <w:rPr>
                <w:rFonts w:hint="eastAsia" w:ascii="宋体" w:hAnsi="宋体" w:cs="宋体" w:eastAsiaTheme="minorEastAsia"/>
                <w:b/>
                <w:sz w:val="24"/>
              </w:rPr>
              <w:t>银行账号：</w:t>
            </w:r>
          </w:p>
          <w:p w14:paraId="719601EE">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eastAsiaTheme="minorEastAsia"/>
                <w:b/>
                <w:sz w:val="24"/>
              </w:rPr>
            </w:pPr>
            <w:r>
              <w:rPr>
                <w:rFonts w:hint="eastAsia" w:ascii="宋体" w:hAnsi="宋体" w:cs="宋体" w:eastAsiaTheme="minorEastAsia"/>
                <w:b/>
                <w:sz w:val="24"/>
              </w:rPr>
              <w:t xml:space="preserve">开户名： </w:t>
            </w:r>
          </w:p>
          <w:p w14:paraId="22D4F1D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eastAsiaTheme="minorEastAsia"/>
                <w:b/>
                <w:bCs/>
                <w:szCs w:val="21"/>
              </w:rPr>
            </w:pPr>
            <w:r>
              <w:rPr>
                <w:rFonts w:hint="eastAsia" w:ascii="宋体" w:hAnsi="宋体" w:cs="宋体" w:eastAsiaTheme="minorEastAsia"/>
                <w:b/>
                <w:sz w:val="24"/>
              </w:rPr>
              <w:t>签约地点：</w:t>
            </w:r>
          </w:p>
          <w:p w14:paraId="5E4F5C10">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eastAsiaTheme="minorEastAsia"/>
                <w:b/>
                <w:sz w:val="24"/>
              </w:rPr>
            </w:pPr>
          </w:p>
        </w:tc>
      </w:tr>
      <w:bookmarkEnd w:id="291"/>
    </w:tbl>
    <w:p w14:paraId="72B135ED">
      <w:pPr>
        <w:pStyle w:val="44"/>
        <w:keepNext w:val="0"/>
        <w:keepLines w:val="0"/>
        <w:pageBreakBefore w:val="0"/>
        <w:kinsoku/>
        <w:wordWrap/>
        <w:overflowPunct/>
        <w:topLinePunct w:val="0"/>
        <w:autoSpaceDE/>
        <w:autoSpaceDN/>
        <w:bidi w:val="0"/>
        <w:adjustRightInd/>
        <w:snapToGrid/>
        <w:spacing w:line="440" w:lineRule="exact"/>
        <w:textAlignment w:val="auto"/>
        <w:rPr>
          <w:rFonts w:hint="eastAsia"/>
          <w:b/>
          <w:bCs/>
          <w:highlight w:val="none"/>
        </w:rPr>
      </w:pPr>
    </w:p>
    <w:p w14:paraId="7223B991">
      <w:pPr>
        <w:pStyle w:val="44"/>
        <w:keepNext w:val="0"/>
        <w:keepLines w:val="0"/>
        <w:pageBreakBefore w:val="0"/>
        <w:kinsoku/>
        <w:wordWrap/>
        <w:overflowPunct/>
        <w:topLinePunct w:val="0"/>
        <w:autoSpaceDE/>
        <w:autoSpaceDN/>
        <w:bidi w:val="0"/>
        <w:adjustRightInd/>
        <w:snapToGrid/>
        <w:spacing w:line="440" w:lineRule="exact"/>
        <w:textAlignment w:val="auto"/>
        <w:rPr>
          <w:rFonts w:hint="eastAsia"/>
          <w:b/>
          <w:bCs/>
          <w:highlight w:val="none"/>
        </w:rPr>
      </w:pPr>
    </w:p>
    <w:p w14:paraId="6DBD9A4F">
      <w:pPr>
        <w:pStyle w:val="44"/>
        <w:keepNext w:val="0"/>
        <w:keepLines w:val="0"/>
        <w:pageBreakBefore w:val="0"/>
        <w:kinsoku/>
        <w:wordWrap/>
        <w:overflowPunct/>
        <w:topLinePunct w:val="0"/>
        <w:autoSpaceDE/>
        <w:autoSpaceDN/>
        <w:bidi w:val="0"/>
        <w:adjustRightInd/>
        <w:snapToGrid/>
        <w:spacing w:line="440" w:lineRule="exact"/>
        <w:textAlignment w:val="auto"/>
        <w:rPr>
          <w:rFonts w:hint="eastAsia"/>
          <w:b/>
          <w:bCs/>
          <w:highlight w:val="none"/>
        </w:rPr>
      </w:pPr>
    </w:p>
    <w:p w14:paraId="41EF7009">
      <w:pPr>
        <w:pStyle w:val="44"/>
        <w:keepNext w:val="0"/>
        <w:keepLines w:val="0"/>
        <w:pageBreakBefore w:val="0"/>
        <w:kinsoku/>
        <w:wordWrap/>
        <w:overflowPunct/>
        <w:topLinePunct w:val="0"/>
        <w:autoSpaceDE/>
        <w:autoSpaceDN/>
        <w:bidi w:val="0"/>
        <w:adjustRightInd/>
        <w:snapToGrid/>
        <w:spacing w:line="440" w:lineRule="exact"/>
        <w:textAlignment w:val="auto"/>
        <w:rPr>
          <w:rFonts w:hint="eastAsia"/>
          <w:b/>
          <w:bCs/>
          <w:highlight w:val="none"/>
        </w:rPr>
      </w:pPr>
    </w:p>
    <w:p w14:paraId="79364A45">
      <w:pPr>
        <w:pStyle w:val="44"/>
        <w:keepNext w:val="0"/>
        <w:keepLines w:val="0"/>
        <w:pageBreakBefore w:val="0"/>
        <w:kinsoku/>
        <w:wordWrap/>
        <w:overflowPunct/>
        <w:topLinePunct w:val="0"/>
        <w:autoSpaceDE/>
        <w:autoSpaceDN/>
        <w:bidi w:val="0"/>
        <w:adjustRightInd/>
        <w:snapToGrid/>
        <w:spacing w:line="440" w:lineRule="exact"/>
        <w:textAlignment w:val="auto"/>
        <w:rPr>
          <w:rFonts w:hint="eastAsia"/>
          <w:b/>
          <w:bCs/>
          <w:highlight w:val="none"/>
        </w:rPr>
      </w:pPr>
    </w:p>
    <w:p w14:paraId="5248EA4D">
      <w:pPr>
        <w:pStyle w:val="44"/>
        <w:keepNext w:val="0"/>
        <w:keepLines w:val="0"/>
        <w:pageBreakBefore w:val="0"/>
        <w:kinsoku/>
        <w:wordWrap/>
        <w:overflowPunct/>
        <w:topLinePunct w:val="0"/>
        <w:autoSpaceDE/>
        <w:autoSpaceDN/>
        <w:bidi w:val="0"/>
        <w:adjustRightInd/>
        <w:snapToGrid/>
        <w:spacing w:line="440" w:lineRule="exact"/>
        <w:textAlignment w:val="auto"/>
        <w:rPr>
          <w:rFonts w:hint="eastAsia"/>
          <w:b/>
          <w:bCs/>
          <w:highlight w:val="none"/>
        </w:rPr>
      </w:pPr>
    </w:p>
    <w:p w14:paraId="318A01A6">
      <w:pPr>
        <w:pStyle w:val="44"/>
        <w:keepNext w:val="0"/>
        <w:keepLines w:val="0"/>
        <w:pageBreakBefore w:val="0"/>
        <w:kinsoku/>
        <w:wordWrap/>
        <w:overflowPunct/>
        <w:topLinePunct w:val="0"/>
        <w:autoSpaceDE/>
        <w:autoSpaceDN/>
        <w:bidi w:val="0"/>
        <w:adjustRightInd/>
        <w:snapToGrid/>
        <w:spacing w:line="440" w:lineRule="exact"/>
        <w:textAlignment w:val="auto"/>
        <w:rPr>
          <w:rFonts w:hint="eastAsia"/>
          <w:b/>
          <w:bCs/>
          <w:highlight w:val="none"/>
        </w:rPr>
      </w:pPr>
    </w:p>
    <w:p w14:paraId="62BDCB20">
      <w:pPr>
        <w:pStyle w:val="44"/>
        <w:keepNext w:val="0"/>
        <w:keepLines w:val="0"/>
        <w:pageBreakBefore w:val="0"/>
        <w:kinsoku/>
        <w:wordWrap/>
        <w:overflowPunct/>
        <w:topLinePunct w:val="0"/>
        <w:autoSpaceDE/>
        <w:autoSpaceDN/>
        <w:bidi w:val="0"/>
        <w:adjustRightInd/>
        <w:snapToGrid/>
        <w:spacing w:line="440" w:lineRule="exact"/>
        <w:textAlignment w:val="auto"/>
        <w:rPr>
          <w:rFonts w:hint="eastAsia"/>
          <w:highlight w:val="none"/>
        </w:rPr>
      </w:pPr>
      <w:r>
        <w:rPr>
          <w:rFonts w:hint="eastAsia"/>
          <w:b/>
          <w:bCs/>
          <w:highlight w:val="none"/>
        </w:rPr>
        <w:t>附：</w:t>
      </w:r>
      <w:r>
        <w:rPr>
          <w:rFonts w:hint="eastAsia"/>
          <w:b/>
          <w:bCs/>
          <w:highlight w:val="none"/>
          <w:lang w:eastAsia="zh-CN"/>
        </w:rPr>
        <w:t>焦作市新材料职业学院学术交流中心中央空调采购项目</w:t>
      </w:r>
      <w:r>
        <w:rPr>
          <w:rFonts w:hint="eastAsia"/>
          <w:b/>
          <w:bCs/>
          <w:highlight w:val="none"/>
        </w:rPr>
        <w:t>采购货物表</w:t>
      </w:r>
    </w:p>
    <w:p w14:paraId="44918620">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221882E3">
      <w:pPr>
        <w:pStyle w:val="2"/>
        <w:bidi w:val="0"/>
        <w:spacing w:line="240" w:lineRule="auto"/>
        <w:rPr>
          <w:rFonts w:hint="eastAsia" w:ascii="宋体" w:hAnsi="宋体" w:eastAsia="宋体" w:cs="宋体"/>
          <w:color w:val="auto"/>
          <w:highlight w:val="none"/>
          <w:lang w:val="en-US" w:eastAsia="zh-CN"/>
        </w:rPr>
      </w:pPr>
      <w:bookmarkStart w:id="293" w:name="_Toc8294"/>
      <w:r>
        <w:rPr>
          <w:rFonts w:hint="eastAsia" w:ascii="宋体" w:hAnsi="宋体" w:eastAsia="宋体" w:cs="宋体"/>
          <w:color w:val="auto"/>
          <w:highlight w:val="none"/>
          <w:lang w:val="en-US" w:eastAsia="zh-CN"/>
        </w:rPr>
        <w:t>第五章 采购内容及技术要求</w:t>
      </w:r>
      <w:bookmarkEnd w:id="292"/>
      <w:bookmarkEnd w:id="293"/>
    </w:p>
    <w:p w14:paraId="2A53B68F">
      <w:pPr>
        <w:keepNext/>
        <w:keepLines/>
        <w:kinsoku w:val="0"/>
        <w:autoSpaceDE w:val="0"/>
        <w:autoSpaceDN w:val="0"/>
        <w:bidi w:val="0"/>
        <w:adjustRightInd w:val="0"/>
        <w:snapToGrid w:val="0"/>
        <w:spacing w:line="240" w:lineRule="auto"/>
        <w:jc w:val="left"/>
        <w:textAlignment w:val="baseline"/>
        <w:outlineLvl w:val="1"/>
        <w:rPr>
          <w:rFonts w:hint="eastAsia" w:ascii="宋体" w:hAnsi="宋体" w:eastAsia="宋体" w:cs="宋体"/>
          <w:b/>
          <w:bCs/>
          <w:snapToGrid w:val="0"/>
          <w:color w:val="auto"/>
          <w:kern w:val="0"/>
          <w:sz w:val="30"/>
          <w:szCs w:val="32"/>
          <w:highlight w:val="none"/>
          <w:lang w:val="en-US" w:eastAsia="en-US" w:bidi="ar-SA"/>
        </w:rPr>
      </w:pPr>
      <w:bookmarkStart w:id="294" w:name="_Toc3608"/>
      <w:bookmarkStart w:id="295" w:name="_Toc337"/>
      <w:r>
        <w:rPr>
          <w:rFonts w:hint="eastAsia" w:ascii="宋体" w:hAnsi="宋体" w:eastAsia="宋体" w:cs="宋体"/>
          <w:b/>
          <w:bCs/>
          <w:snapToGrid w:val="0"/>
          <w:color w:val="auto"/>
          <w:kern w:val="0"/>
          <w:sz w:val="32"/>
          <w:szCs w:val="32"/>
          <w:highlight w:val="none"/>
          <w:lang w:val="en-US" w:eastAsia="en-US" w:bidi="ar-SA"/>
        </w:rPr>
        <w:t>一、技术参数</w:t>
      </w:r>
      <w:bookmarkEnd w:id="294"/>
      <w:bookmarkEnd w:id="295"/>
    </w:p>
    <w:tbl>
      <w:tblPr>
        <w:tblStyle w:val="3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6"/>
        <w:gridCol w:w="1241"/>
        <w:gridCol w:w="5036"/>
        <w:gridCol w:w="770"/>
        <w:gridCol w:w="761"/>
      </w:tblGrid>
      <w:tr w14:paraId="668DB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300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bookmarkStart w:id="296" w:name="_Toc21637"/>
            <w:r>
              <w:rPr>
                <w:rFonts w:hint="eastAsia" w:ascii="宋体" w:hAnsi="宋体" w:eastAsia="宋体" w:cs="宋体"/>
                <w:i w:val="0"/>
                <w:iCs w:val="0"/>
                <w:color w:val="000000"/>
                <w:kern w:val="0"/>
                <w:sz w:val="24"/>
                <w:szCs w:val="24"/>
                <w:highlight w:val="none"/>
                <w:u w:val="none"/>
                <w:lang w:val="en-US" w:eastAsia="zh-CN" w:bidi="ar"/>
              </w:rPr>
              <w:t>序号</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4A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货物名称</w:t>
            </w:r>
          </w:p>
        </w:tc>
        <w:tc>
          <w:tcPr>
            <w:tcW w:w="2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07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技术要求</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28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0C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r>
      <w:tr w14:paraId="60AD3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39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D7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室内机</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6C14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1.机型：变频多联风管式室内机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2.安装方式：吊装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3.主要参数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1）制冷量：4.5kw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2）制热量：5.0kw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3）额定功率：80W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4）风量：790m³/h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5）静压：30Pa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6）噪音：37dB(A)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7)电源：220V</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27C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30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14:paraId="778DB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39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71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室内机</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4447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1.机型：变频多联风管式室内机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2.安装方式：吊装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3.主要参数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1）制冷量：5.6kw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2）制热量：6.3kw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3）额定功率：100W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4）风量：1020m³/h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5）静压：30Pa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6）噪音：38dB(A)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7)电源：220V</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E8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08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14:paraId="5717C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61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EA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室内机</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C746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1.机型：变频多联风管式室内机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2.安装方式：吊装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3.主要参数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1）制冷量：6.3kw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2）制热量：7.1kw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3）额定功率：103W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4）风量：1100m³/h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5）静压：50Pa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6）噪音：38dB(A)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7)电源：220V</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1C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31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14:paraId="4C245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5F6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AF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室内机</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E57D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1.机型：变频多联风管式室内机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2.安装方式：吊装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3.主要参数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1）制冷量：8.0kw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2）制热量：9.0kw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3）额定功率：106W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4）风量：1355m³/h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5）静压：95Pa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6）噪音：38dB(A)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7)电源：220V</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6C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5D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14:paraId="7D595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75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AE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室内机</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F539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1.机型：变频多联风管式室内机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2.安装方式：吊装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3.主要参数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1）制冷量：9.0kw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2）制热量：10.0kw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3）额定功率：108W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4）风量：1420m³/h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5）静压：95Pa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6）噪音：39dB(A)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7)电源：220V</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923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F4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14:paraId="5A43A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34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BF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室内机</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F2FD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1.机型：变频多联风管式室内机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2.安装方式：吊装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3.主要参数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1）制冷量：11.2kw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2）制热量：12.5kw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3）额定功率：115W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4）风量：1580m³/h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5）静压：95Pa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6）噪音：41dB(A)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7)电源：220V</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EA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F1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14:paraId="02756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A1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E6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室内机</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E414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1.机型：变频多联风管式室内机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2.安装方式：吊装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3.主要参数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1）制冷量：10.0kw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2）制热量：11.2kw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3）额定功率：132W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4）风量：1565m³/h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5）静压：160Pa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6）噪音：39dB(A)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7)电源：220V</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3C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06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14:paraId="1D9A2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1ED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4C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室内机</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D83D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1.机型：变频多联风管式室内机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2.安装方式：吊装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3.主要参数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1）制冷量：12.5kw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2）制热量：14.0kw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3）额定功率：154W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4）风量：1960m³/h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5）静压：160Pa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6）噪音：40dB(A)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7)电源：220V</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CA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81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14:paraId="785C4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40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C3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室内机</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2083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1.机型：变频多联风管式室内机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2.安装方式：吊装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3.主要参数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1）制冷量：14.0kw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2）制热量：16.0kw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3）额定功率：172W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4）风量：2105m³/h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5）静压：160Pa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6）噪音：40dB(A)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7)电源：220V</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DE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C0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14:paraId="5F6E3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69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33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室外机</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84E8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1.机型：变频多联顶出风室外机（20HP）</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2.安装方式：落地安装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3.主要参数：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1）制冷量：56.0kw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2）制热量：63.0kw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3）额定制冷输入功率：15.7kw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4）额定制热输入功率：15.4kw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5）电源：380v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6）IPLV：8.95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7）风量：22000m³/h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8）冷媒：R410A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9）噪音：62dB(A)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10）APF：5.20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11）运行温度范围：-30~55℃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40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E8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14:paraId="55F91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AB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51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室外机</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AC03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1.机型：变频多联顶出风室外机（26HP）</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2.安装方式：落地安装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3.主要参数：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1）制冷量：73.5kw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2）制热量：81.5kw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3）额定制冷输入功率：19.59kw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4）额定制热输入功率：19.18kw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5）电源：380v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6）IPLV：8.5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7）风量：21500m³/h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8）冷媒：R410A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9）噪音：62dB(A)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10）APF：4.80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11）运行温度范围：-30~55℃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16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3D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14:paraId="31126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E2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A2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室外机</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CA22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1.机型：变频多联顶出风室外机（28HP）</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2.安装方式：落地安装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3.主要参数：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1）制冷量：78.5kw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2）制热量：87.5kw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3）额定制冷输入功率：20.55kw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4）额定制热输入功率：20.79kw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5）电源：380v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6）IPLV：8.5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7）风量：29000m³/h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8）冷媒：R410A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9）噪音：63dB(A)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10）APF：4.80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11）运行温度范围：-30~55℃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62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E8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14:paraId="12409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22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31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室外机</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B194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1.机型：变频多联顶出风室外机（30HP）</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2.安装方式：落地安装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3.主要参数：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1）制冷量：85.0kw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2）制热量：95.0kw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3）额定制冷输入功率：22.76kw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4）额定制热输入功率：22.89kw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5）电源：380v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6）IPLV：8.4</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7）风量：28000m³/h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8）冷媒：R410A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9）噪音：64dB(A)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10）APF：4.75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11）运行温度范围：-30~55℃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48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77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14:paraId="70696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F2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C3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室外机</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46BC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1.机型：变频多联顶出风室外机（34HP）</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2.安装方式：落地安装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3.主要参数：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1）制冷量：95.2kw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2）制热量：106.0kw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3）额定制冷输入功率：25.70kw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4）额定制热输入功率：25.58kw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5）电源：380v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6）IPLV：8.25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7）风量：29000m³/h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8）冷媒：R410A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9）噪音：66dB(A)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10）APF：4.65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11）运行温度范围：-30~55℃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EA2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DB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14:paraId="3B472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EA1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37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室外机</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C0CB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1.机型：变频多联顶出风室外机（40HP）</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2.安装方式：落地安装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3.主要参数：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1）制冷量：112.0kw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2）制热量：123.5kw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3）额定制冷输入功率：32.02kw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4）额定制热输入功率：3170kw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5）电源：380v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6）IPLV：8.4</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7）风量：30000m³/h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8）冷媒：R410A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9）噪音：67dB(A)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10）APF：4.40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11）运行温度范围：-30~55℃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2F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569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14:paraId="3C652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92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CA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室外机</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81B8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1.机型：变频多联顶出风室外机（42HP）</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2.安装方式：落地安装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3.主要参数：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1）制冷量：117.0kw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2）制热量：130.0kw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3）额定制冷输入功率：34.96kw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4）额定制热输入功率：32.95kw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5）电源：380v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6）IPLV：8.0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7）风量：30000m³/h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8）冷媒：R410A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9）噪音：68dB(A)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10）APF：4.40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11）运行温度范围：-30~55℃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B2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B77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r>
      <w:tr w14:paraId="42147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1"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10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DC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线控器</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A095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1.机型：空调手动操作开关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2.安装方式：墙壁安装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3.主要功能：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1）自带背光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2）风速调节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3）温度调节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4）定时开关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5）故障显示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6）模式调节</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F9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257</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BD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r>
      <w:tr w14:paraId="18195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C5867B">
            <w:pPr>
              <w:keepNext w:val="0"/>
              <w:keepLines w:val="0"/>
              <w:widowControl/>
              <w:suppressLineNumbers w:val="0"/>
              <w:jc w:val="center"/>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注：上表所列参数中制冷量、制热量、功率、风量、噪声、静压的数值可以在±5%之间进行偏离</w:t>
            </w:r>
            <w:r>
              <w:rPr>
                <w:rFonts w:hint="eastAsia" w:ascii="宋体" w:hAnsi="宋体" w:cs="宋体"/>
                <w:b/>
                <w:bCs/>
                <w:i w:val="0"/>
                <w:iCs w:val="0"/>
                <w:color w:val="000000"/>
                <w:kern w:val="0"/>
                <w:sz w:val="24"/>
                <w:szCs w:val="24"/>
                <w:highlight w:val="none"/>
                <w:u w:val="none"/>
                <w:lang w:val="en-US" w:eastAsia="zh-CN" w:bidi="ar"/>
              </w:rPr>
              <w:t>，不属于负偏离。</w:t>
            </w:r>
          </w:p>
        </w:tc>
      </w:tr>
      <w:bookmarkEnd w:id="296"/>
    </w:tbl>
    <w:p w14:paraId="059A3347">
      <w:pPr>
        <w:widowControl/>
        <w:kinsoku w:val="0"/>
        <w:autoSpaceDE w:val="0"/>
        <w:autoSpaceDN w:val="0"/>
        <w:adjustRightInd w:val="0"/>
        <w:snapToGrid w:val="0"/>
        <w:spacing w:line="360" w:lineRule="auto"/>
        <w:jc w:val="left"/>
        <w:textAlignment w:val="baseline"/>
        <w:outlineLvl w:val="9"/>
        <w:rPr>
          <w:rFonts w:hint="eastAsia" w:ascii="宋体" w:hAnsi="宋体" w:eastAsia="宋体" w:cs="宋体"/>
          <w:b/>
          <w:bCs/>
          <w:snapToGrid w:val="0"/>
          <w:color w:val="auto"/>
          <w:kern w:val="0"/>
          <w:sz w:val="24"/>
          <w:szCs w:val="24"/>
          <w:highlight w:val="none"/>
          <w:lang w:eastAsia="en-US" w:bidi="ar"/>
        </w:rPr>
      </w:pPr>
    </w:p>
    <w:p w14:paraId="5179C43A">
      <w:pPr>
        <w:widowControl/>
        <w:kinsoku w:val="0"/>
        <w:autoSpaceDE w:val="0"/>
        <w:autoSpaceDN w:val="0"/>
        <w:adjustRightInd w:val="0"/>
        <w:snapToGrid w:val="0"/>
        <w:spacing w:line="360" w:lineRule="auto"/>
        <w:jc w:val="left"/>
        <w:textAlignment w:val="baseline"/>
        <w:outlineLvl w:val="9"/>
        <w:rPr>
          <w:rFonts w:hint="eastAsia" w:ascii="宋体" w:hAnsi="宋体" w:eastAsia="宋体" w:cs="宋体"/>
          <w:b/>
          <w:bCs/>
          <w:snapToGrid w:val="0"/>
          <w:color w:val="auto"/>
          <w:kern w:val="0"/>
          <w:sz w:val="24"/>
          <w:szCs w:val="24"/>
          <w:highlight w:val="none"/>
          <w:lang w:val="en-US" w:eastAsia="en-US" w:bidi="ar"/>
        </w:rPr>
      </w:pPr>
      <w:r>
        <w:rPr>
          <w:rFonts w:hint="eastAsia" w:ascii="宋体" w:hAnsi="宋体" w:eastAsia="宋体" w:cs="宋体"/>
          <w:b/>
          <w:bCs/>
          <w:snapToGrid w:val="0"/>
          <w:color w:val="auto"/>
          <w:kern w:val="0"/>
          <w:sz w:val="24"/>
          <w:szCs w:val="24"/>
          <w:highlight w:val="none"/>
          <w:lang w:eastAsia="en-US" w:bidi="ar"/>
        </w:rPr>
        <w:t>注：</w:t>
      </w:r>
      <w:r>
        <w:rPr>
          <w:rFonts w:hint="eastAsia" w:ascii="宋体" w:hAnsi="宋体" w:eastAsia="宋体" w:cs="宋体"/>
          <w:b/>
          <w:bCs/>
          <w:snapToGrid w:val="0"/>
          <w:color w:val="auto"/>
          <w:kern w:val="0"/>
          <w:sz w:val="24"/>
          <w:szCs w:val="24"/>
          <w:highlight w:val="none"/>
          <w:lang w:val="en-US" w:eastAsia="en-US" w:bidi="ar"/>
        </w:rPr>
        <w:t>1.本项目为交钥匙项目，供应商需考虑各种细节，然后进行报价。</w:t>
      </w:r>
    </w:p>
    <w:p w14:paraId="083FB529">
      <w:pPr>
        <w:widowControl/>
        <w:kinsoku w:val="0"/>
        <w:autoSpaceDE w:val="0"/>
        <w:autoSpaceDN w:val="0"/>
        <w:adjustRightInd w:val="0"/>
        <w:snapToGrid w:val="0"/>
        <w:spacing w:line="360" w:lineRule="auto"/>
        <w:ind w:firstLine="482" w:firstLineChars="200"/>
        <w:jc w:val="left"/>
        <w:textAlignment w:val="baseline"/>
        <w:outlineLvl w:val="9"/>
        <w:rPr>
          <w:rFonts w:hint="eastAsia" w:ascii="宋体" w:hAnsi="宋体" w:eastAsia="宋体" w:cs="宋体"/>
          <w:b/>
          <w:bCs/>
          <w:snapToGrid w:val="0"/>
          <w:color w:val="auto"/>
          <w:kern w:val="0"/>
          <w:sz w:val="24"/>
          <w:szCs w:val="24"/>
          <w:highlight w:val="none"/>
          <w:lang w:val="en-US" w:eastAsia="en-US" w:bidi="ar"/>
        </w:rPr>
      </w:pPr>
      <w:r>
        <w:rPr>
          <w:rFonts w:hint="eastAsia" w:ascii="宋体" w:hAnsi="宋体" w:eastAsia="宋体" w:cs="宋体"/>
          <w:b/>
          <w:bCs/>
          <w:snapToGrid w:val="0"/>
          <w:color w:val="auto"/>
          <w:kern w:val="0"/>
          <w:sz w:val="24"/>
          <w:szCs w:val="24"/>
          <w:highlight w:val="none"/>
          <w:lang w:val="en-US" w:eastAsia="en-US" w:bidi="ar"/>
        </w:rPr>
        <w:t>2.本项目费用包含：货物本身的费用、包装费、运输费、装卸费、运输过程保险费、安装费、质量保证费、相关的伴随服务费、货物本身已支付或将支付的各种税费、吊车、打孔（包含混泥土墙体、玻璃打孔）、加长铜管、原厂支架、含安装集中排水落水管、加装管线、高空作业及耗材等与本项目相关的所有费用以及其它交付使用前的所有费用。投标价不是唯一的或不是固定不变的投标文件将被作为非响应性投标而予以拒绝。</w:t>
      </w:r>
    </w:p>
    <w:p w14:paraId="3B4A0F86">
      <w:pPr>
        <w:widowControl/>
        <w:kinsoku w:val="0"/>
        <w:autoSpaceDE w:val="0"/>
        <w:autoSpaceDN w:val="0"/>
        <w:adjustRightInd w:val="0"/>
        <w:snapToGrid w:val="0"/>
        <w:spacing w:line="360" w:lineRule="auto"/>
        <w:ind w:firstLine="482" w:firstLineChars="200"/>
        <w:jc w:val="left"/>
        <w:textAlignment w:val="baseline"/>
        <w:outlineLvl w:val="9"/>
        <w:rPr>
          <w:rFonts w:hint="eastAsia" w:ascii="宋体" w:hAnsi="宋体" w:eastAsia="宋体" w:cs="宋体"/>
          <w:b/>
          <w:bCs/>
          <w:snapToGrid w:val="0"/>
          <w:color w:val="auto"/>
          <w:kern w:val="0"/>
          <w:sz w:val="24"/>
          <w:szCs w:val="24"/>
          <w:highlight w:val="none"/>
          <w:u w:val="none"/>
          <w:lang w:eastAsia="en-US" w:bidi="ar"/>
        </w:rPr>
      </w:pPr>
      <w:r>
        <w:rPr>
          <w:rFonts w:hint="eastAsia" w:ascii="宋体" w:hAnsi="宋体" w:eastAsia="宋体" w:cs="宋体"/>
          <w:b/>
          <w:bCs/>
          <w:snapToGrid w:val="0"/>
          <w:color w:val="auto"/>
          <w:kern w:val="0"/>
          <w:sz w:val="24"/>
          <w:szCs w:val="24"/>
          <w:highlight w:val="none"/>
          <w:lang w:val="en-US" w:eastAsia="en-US" w:bidi="ar"/>
        </w:rPr>
        <w:t>3.</w:t>
      </w:r>
      <w:r>
        <w:rPr>
          <w:rFonts w:hint="eastAsia" w:ascii="宋体" w:hAnsi="宋体" w:eastAsia="宋体" w:cs="宋体"/>
          <w:b/>
          <w:bCs/>
          <w:snapToGrid w:val="0"/>
          <w:color w:val="auto"/>
          <w:kern w:val="0"/>
          <w:sz w:val="24"/>
          <w:szCs w:val="24"/>
          <w:highlight w:val="none"/>
          <w:lang w:eastAsia="en-US" w:bidi="ar"/>
        </w:rPr>
        <w:t>本标的所属行业：</w:t>
      </w:r>
      <w:r>
        <w:rPr>
          <w:rFonts w:hint="eastAsia" w:ascii="宋体" w:hAnsi="宋体" w:eastAsia="宋体" w:cs="宋体"/>
          <w:b/>
          <w:bCs/>
          <w:snapToGrid w:val="0"/>
          <w:color w:val="auto"/>
          <w:kern w:val="0"/>
          <w:sz w:val="24"/>
          <w:szCs w:val="24"/>
          <w:highlight w:val="none"/>
          <w:u w:val="none"/>
          <w:lang w:eastAsia="en-US" w:bidi="ar"/>
        </w:rPr>
        <w:t xml:space="preserve">工业 </w:t>
      </w:r>
    </w:p>
    <w:p w14:paraId="2E6E49BC">
      <w:pPr>
        <w:keepNext/>
        <w:keepLines/>
        <w:kinsoku w:val="0"/>
        <w:autoSpaceDE w:val="0"/>
        <w:autoSpaceDN w:val="0"/>
        <w:bidi w:val="0"/>
        <w:adjustRightInd w:val="0"/>
        <w:snapToGrid w:val="0"/>
        <w:spacing w:line="360" w:lineRule="auto"/>
        <w:jc w:val="left"/>
        <w:textAlignment w:val="baseline"/>
        <w:outlineLvl w:val="1"/>
        <w:rPr>
          <w:rFonts w:hint="eastAsia" w:ascii="宋体" w:hAnsi="宋体" w:cs="宋体"/>
          <w:b/>
          <w:bCs/>
          <w:snapToGrid w:val="0"/>
          <w:color w:val="auto"/>
          <w:kern w:val="0"/>
          <w:sz w:val="32"/>
          <w:szCs w:val="32"/>
          <w:highlight w:val="none"/>
          <w:lang w:val="en-US" w:eastAsia="en-US" w:bidi="ar-SA"/>
        </w:rPr>
      </w:pPr>
      <w:bookmarkStart w:id="297" w:name="_Toc33"/>
      <w:r>
        <w:rPr>
          <w:rFonts w:hint="eastAsia" w:ascii="宋体" w:hAnsi="宋体" w:cs="宋体"/>
          <w:b/>
          <w:bCs/>
          <w:snapToGrid w:val="0"/>
          <w:color w:val="auto"/>
          <w:kern w:val="0"/>
          <w:sz w:val="32"/>
          <w:szCs w:val="32"/>
          <w:highlight w:val="none"/>
          <w:lang w:val="en-US" w:eastAsia="zh-CN" w:bidi="ar-SA"/>
        </w:rPr>
        <w:t>二、技术要求</w:t>
      </w:r>
      <w:bookmarkEnd w:id="297"/>
      <w:r>
        <w:rPr>
          <w:rFonts w:hint="eastAsia" w:ascii="宋体" w:hAnsi="宋体" w:cs="宋体"/>
          <w:b/>
          <w:bCs/>
          <w:snapToGrid w:val="0"/>
          <w:color w:val="auto"/>
          <w:kern w:val="0"/>
          <w:sz w:val="32"/>
          <w:szCs w:val="32"/>
          <w:highlight w:val="none"/>
          <w:lang w:val="en-US" w:eastAsia="en-US" w:bidi="ar-SA"/>
        </w:rPr>
        <w:t xml:space="preserve"> </w:t>
      </w:r>
    </w:p>
    <w:p w14:paraId="43DE5E40">
      <w:pPr>
        <w:widowControl/>
        <w:kinsoku w:val="0"/>
        <w:autoSpaceDE w:val="0"/>
        <w:autoSpaceDN w:val="0"/>
        <w:adjustRightInd w:val="0"/>
        <w:snapToGrid w:val="0"/>
        <w:spacing w:line="360" w:lineRule="auto"/>
        <w:ind w:firstLine="482"/>
        <w:jc w:val="left"/>
        <w:textAlignment w:val="baseline"/>
        <w:outlineLvl w:val="9"/>
        <w:rPr>
          <w:rFonts w:hint="eastAsia" w:ascii="宋体" w:hAnsi="宋体" w:eastAsia="宋体" w:cs="宋体"/>
          <w:snapToGrid w:val="0"/>
          <w:color w:val="auto"/>
          <w:kern w:val="0"/>
          <w:sz w:val="24"/>
          <w:szCs w:val="24"/>
          <w:highlight w:val="none"/>
          <w:lang w:val="en-US" w:eastAsia="en-US"/>
        </w:rPr>
      </w:pP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lang w:val="en-US" w:eastAsia="en-US"/>
        </w:rPr>
        <w:t>所投产品采用多联式空调，多联室外机应采用顶出风全直流变频机组，应采用直流变频风扇电机，可根据系统运行变化进行无级调速，多联室内机均采用直流变频内机。</w:t>
      </w:r>
    </w:p>
    <w:p w14:paraId="78A93E77">
      <w:pPr>
        <w:widowControl/>
        <w:kinsoku w:val="0"/>
        <w:autoSpaceDE w:val="0"/>
        <w:autoSpaceDN w:val="0"/>
        <w:adjustRightInd w:val="0"/>
        <w:snapToGrid w:val="0"/>
        <w:spacing w:line="360" w:lineRule="auto"/>
        <w:ind w:firstLine="482"/>
        <w:jc w:val="left"/>
        <w:textAlignment w:val="baseline"/>
        <w:outlineLvl w:val="9"/>
        <w:rPr>
          <w:rFonts w:hint="eastAsia" w:ascii="宋体" w:hAnsi="宋体" w:eastAsia="宋体" w:cs="宋体"/>
          <w:snapToGrid w:val="0"/>
          <w:color w:val="auto"/>
          <w:kern w:val="0"/>
          <w:sz w:val="24"/>
          <w:szCs w:val="24"/>
          <w:highlight w:val="none"/>
          <w:lang w:val="en-US" w:eastAsia="en-US"/>
        </w:rPr>
      </w:pP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lang w:val="en-US" w:eastAsia="en-US"/>
        </w:rPr>
        <w:t>所投多联式空调主机设备应保证在-30℃~55℃极寒和高温环境下稳定运行。</w:t>
      </w:r>
    </w:p>
    <w:p w14:paraId="40F11765">
      <w:pPr>
        <w:widowControl/>
        <w:kinsoku w:val="0"/>
        <w:autoSpaceDE w:val="0"/>
        <w:autoSpaceDN w:val="0"/>
        <w:adjustRightInd w:val="0"/>
        <w:snapToGrid w:val="0"/>
        <w:spacing w:line="360" w:lineRule="auto"/>
        <w:ind w:firstLine="482"/>
        <w:jc w:val="left"/>
        <w:textAlignment w:val="baseline"/>
        <w:outlineLvl w:val="9"/>
        <w:rPr>
          <w:rFonts w:hint="eastAsia" w:ascii="宋体" w:hAnsi="宋体" w:eastAsia="宋体" w:cs="宋体"/>
          <w:snapToGrid w:val="0"/>
          <w:color w:val="auto"/>
          <w:kern w:val="0"/>
          <w:sz w:val="24"/>
          <w:szCs w:val="24"/>
          <w:highlight w:val="none"/>
          <w:lang w:val="en-US" w:eastAsia="en-US"/>
        </w:rPr>
      </w:pP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lang w:val="en-US" w:eastAsia="en-US"/>
        </w:rPr>
        <w:t>多联式空调室外机应采用大排量高压腔涡旋式直流变频压缩机，具有提高制热效果技术（如喷气增焓等）；所投所有多联主机制冷综合性能系数APF≥4.4，以中国能效标识网公示数据为准</w:t>
      </w:r>
    </w:p>
    <w:p w14:paraId="5A34C6F3">
      <w:pPr>
        <w:widowControl/>
        <w:kinsoku w:val="0"/>
        <w:autoSpaceDE w:val="0"/>
        <w:autoSpaceDN w:val="0"/>
        <w:adjustRightInd w:val="0"/>
        <w:snapToGrid w:val="0"/>
        <w:spacing w:line="360" w:lineRule="auto"/>
        <w:ind w:firstLine="482"/>
        <w:jc w:val="left"/>
        <w:textAlignment w:val="baseline"/>
        <w:outlineLvl w:val="9"/>
        <w:rPr>
          <w:rFonts w:hint="eastAsia" w:ascii="宋体" w:hAnsi="宋体" w:eastAsia="宋体" w:cs="宋体"/>
          <w:snapToGrid w:val="0"/>
          <w:color w:val="auto"/>
          <w:kern w:val="0"/>
          <w:sz w:val="24"/>
          <w:szCs w:val="24"/>
          <w:highlight w:val="none"/>
          <w:lang w:val="en-US" w:eastAsia="en-US"/>
        </w:rPr>
      </w:pP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lang w:val="en-US" w:eastAsia="en-US"/>
        </w:rPr>
        <w:t>所投多联式空调室内机须为不带电辅热，且可满足冬季正常制热需求。</w:t>
      </w:r>
    </w:p>
    <w:p w14:paraId="7DDC5C8C">
      <w:pPr>
        <w:widowControl/>
        <w:kinsoku w:val="0"/>
        <w:autoSpaceDE w:val="0"/>
        <w:autoSpaceDN w:val="0"/>
        <w:adjustRightInd w:val="0"/>
        <w:snapToGrid w:val="0"/>
        <w:spacing w:line="360" w:lineRule="auto"/>
        <w:ind w:firstLine="482"/>
        <w:jc w:val="left"/>
        <w:textAlignment w:val="baseline"/>
        <w:outlineLvl w:val="9"/>
        <w:rPr>
          <w:rFonts w:hint="eastAsia" w:ascii="宋体" w:hAnsi="宋体" w:eastAsia="宋体" w:cs="宋体"/>
          <w:snapToGrid w:val="0"/>
          <w:color w:val="auto"/>
          <w:kern w:val="0"/>
          <w:sz w:val="24"/>
          <w:szCs w:val="24"/>
          <w:highlight w:val="none"/>
          <w:lang w:val="en-US" w:eastAsia="en-US"/>
        </w:rPr>
      </w:pP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lang w:val="en-US" w:eastAsia="en-US"/>
        </w:rPr>
        <w:t>所投产品的规格、型号、品牌、产地、出厂检验报告齐全，且质量完全满足招标文件文件要求。</w:t>
      </w:r>
    </w:p>
    <w:p w14:paraId="4351AC57">
      <w:pPr>
        <w:widowControl/>
        <w:kinsoku w:val="0"/>
        <w:autoSpaceDE w:val="0"/>
        <w:autoSpaceDN w:val="0"/>
        <w:adjustRightInd w:val="0"/>
        <w:snapToGrid w:val="0"/>
        <w:spacing w:line="360" w:lineRule="auto"/>
        <w:ind w:firstLine="482"/>
        <w:jc w:val="left"/>
        <w:textAlignment w:val="baseline"/>
        <w:outlineLvl w:val="9"/>
        <w:rPr>
          <w:rFonts w:hint="eastAsia" w:ascii="宋体" w:hAnsi="宋体" w:eastAsia="宋体" w:cs="宋体"/>
          <w:snapToGrid w:val="0"/>
          <w:color w:val="auto"/>
          <w:kern w:val="0"/>
          <w:sz w:val="24"/>
          <w:szCs w:val="24"/>
          <w:highlight w:val="none"/>
          <w:lang w:val="en-US" w:eastAsia="en-US"/>
        </w:rPr>
      </w:pP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lang w:val="en-US" w:eastAsia="en-US"/>
        </w:rPr>
        <w:t>多联式机组压缩机应在0~480Hz宽广运转，满足各种复杂恶劣的极限工况。</w:t>
      </w:r>
    </w:p>
    <w:p w14:paraId="60ABD1EB">
      <w:pPr>
        <w:widowControl/>
        <w:kinsoku w:val="0"/>
        <w:autoSpaceDE w:val="0"/>
        <w:autoSpaceDN w:val="0"/>
        <w:adjustRightInd w:val="0"/>
        <w:snapToGrid w:val="0"/>
        <w:spacing w:line="360" w:lineRule="auto"/>
        <w:ind w:firstLine="482"/>
        <w:jc w:val="left"/>
        <w:textAlignment w:val="baseline"/>
        <w:outlineLvl w:val="9"/>
        <w:rPr>
          <w:rFonts w:hint="eastAsia" w:ascii="宋体" w:hAnsi="宋体" w:eastAsia="宋体" w:cs="宋体"/>
          <w:snapToGrid w:val="0"/>
          <w:color w:val="auto"/>
          <w:kern w:val="0"/>
          <w:sz w:val="24"/>
          <w:szCs w:val="24"/>
          <w:highlight w:val="none"/>
          <w:lang w:val="en-US" w:eastAsia="en-US"/>
        </w:rPr>
      </w:pPr>
      <w:r>
        <w:rPr>
          <w:rFonts w:hint="eastAsia" w:ascii="宋体" w:hAnsi="宋体" w:eastAsia="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lang w:val="en-US" w:eastAsia="en-US"/>
        </w:rPr>
        <w:t>多联式主机换热器应采用一体式四面换热器，充分利用机组空间，扩大换热面积，提高换热效率。</w:t>
      </w:r>
    </w:p>
    <w:p w14:paraId="4798994E">
      <w:pPr>
        <w:widowControl/>
        <w:kinsoku w:val="0"/>
        <w:autoSpaceDE w:val="0"/>
        <w:autoSpaceDN w:val="0"/>
        <w:adjustRightInd w:val="0"/>
        <w:snapToGrid w:val="0"/>
        <w:spacing w:line="360" w:lineRule="auto"/>
        <w:ind w:firstLine="482"/>
        <w:jc w:val="left"/>
        <w:textAlignment w:val="baseline"/>
        <w:outlineLvl w:val="9"/>
        <w:rPr>
          <w:rFonts w:hint="eastAsia" w:ascii="宋体" w:hAnsi="宋体" w:eastAsia="宋体" w:cs="宋体"/>
          <w:snapToGrid w:val="0"/>
          <w:color w:val="auto"/>
          <w:kern w:val="0"/>
          <w:sz w:val="24"/>
          <w:szCs w:val="24"/>
          <w:highlight w:val="none"/>
          <w:lang w:val="en-US" w:eastAsia="en-US"/>
        </w:rPr>
      </w:pPr>
      <w:r>
        <w:rPr>
          <w:rFonts w:hint="eastAsia" w:ascii="宋体" w:hAnsi="宋体" w:eastAsia="宋体" w:cs="宋体"/>
          <w:snapToGrid w:val="0"/>
          <w:color w:val="auto"/>
          <w:kern w:val="0"/>
          <w:sz w:val="24"/>
          <w:szCs w:val="24"/>
          <w:highlight w:val="none"/>
          <w:lang w:val="en-US" w:eastAsia="zh-CN"/>
        </w:rPr>
        <w:t>8.</w:t>
      </w:r>
      <w:r>
        <w:rPr>
          <w:rFonts w:hint="eastAsia" w:ascii="宋体" w:hAnsi="宋体" w:eastAsia="宋体" w:cs="宋体"/>
          <w:snapToGrid w:val="0"/>
          <w:color w:val="auto"/>
          <w:kern w:val="0"/>
          <w:sz w:val="24"/>
          <w:szCs w:val="24"/>
          <w:highlight w:val="none"/>
          <w:lang w:val="en-US" w:eastAsia="en-US"/>
        </w:rPr>
        <w:t>多联室外机应具有多个电子膨胀阀，单个电子膨胀阀可实现调节范围宽，调节反应快。</w:t>
      </w:r>
    </w:p>
    <w:p w14:paraId="17831331">
      <w:pPr>
        <w:widowControl/>
        <w:kinsoku w:val="0"/>
        <w:autoSpaceDE w:val="0"/>
        <w:autoSpaceDN w:val="0"/>
        <w:adjustRightInd w:val="0"/>
        <w:snapToGrid w:val="0"/>
        <w:spacing w:line="360" w:lineRule="auto"/>
        <w:ind w:firstLine="482"/>
        <w:jc w:val="left"/>
        <w:textAlignment w:val="baseline"/>
        <w:outlineLvl w:val="9"/>
        <w:rPr>
          <w:rFonts w:hint="eastAsia" w:ascii="宋体" w:hAnsi="宋体" w:eastAsia="宋体" w:cs="宋体"/>
          <w:snapToGrid w:val="0"/>
          <w:color w:val="auto"/>
          <w:kern w:val="0"/>
          <w:sz w:val="24"/>
          <w:szCs w:val="24"/>
          <w:highlight w:val="none"/>
          <w:lang w:val="en-US" w:eastAsia="en-US"/>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lang w:val="en-US" w:eastAsia="en-US"/>
        </w:rPr>
        <w:t>多联机具备智能除霜的功能且可防底部结霜；具有制冷剂泄漏量智能精准监测功能。</w:t>
      </w:r>
    </w:p>
    <w:p w14:paraId="4DEC0E37">
      <w:pPr>
        <w:widowControl/>
        <w:kinsoku w:val="0"/>
        <w:autoSpaceDE w:val="0"/>
        <w:autoSpaceDN w:val="0"/>
        <w:adjustRightInd w:val="0"/>
        <w:snapToGrid w:val="0"/>
        <w:spacing w:line="360" w:lineRule="auto"/>
        <w:ind w:firstLine="482"/>
        <w:jc w:val="left"/>
        <w:textAlignment w:val="baseline"/>
        <w:outlineLvl w:val="9"/>
        <w:rPr>
          <w:rFonts w:hint="eastAsia" w:ascii="宋体" w:hAnsi="宋体" w:eastAsia="宋体" w:cs="宋体"/>
          <w:snapToGrid w:val="0"/>
          <w:color w:val="auto"/>
          <w:kern w:val="0"/>
          <w:sz w:val="24"/>
          <w:szCs w:val="24"/>
          <w:highlight w:val="none"/>
          <w:lang w:val="en-US" w:eastAsia="en-US"/>
        </w:rPr>
      </w:pP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lang w:val="en-US" w:eastAsia="en-US"/>
        </w:rPr>
        <w:t>多联室外机可实现单模块多压缩机之间、模块组合之间的交替轮换运转，可实现压缩机之间、模块之间、风机之间、变频器之间、传感器之间互为后备运转，使空调系统运行更加可靠。</w:t>
      </w:r>
    </w:p>
    <w:p w14:paraId="1646799E">
      <w:pPr>
        <w:widowControl/>
        <w:kinsoku w:val="0"/>
        <w:autoSpaceDE w:val="0"/>
        <w:autoSpaceDN w:val="0"/>
        <w:adjustRightInd w:val="0"/>
        <w:snapToGrid w:val="0"/>
        <w:spacing w:line="360" w:lineRule="auto"/>
        <w:ind w:firstLine="482"/>
        <w:jc w:val="left"/>
        <w:textAlignment w:val="baseline"/>
        <w:outlineLvl w:val="9"/>
        <w:rPr>
          <w:rFonts w:hint="eastAsia" w:ascii="宋体" w:hAnsi="宋体" w:eastAsia="宋体" w:cs="宋体"/>
          <w:snapToGrid w:val="0"/>
          <w:color w:val="auto"/>
          <w:kern w:val="0"/>
          <w:sz w:val="24"/>
          <w:szCs w:val="24"/>
          <w:highlight w:val="none"/>
          <w:lang w:val="en-US" w:eastAsia="en-US"/>
        </w:rPr>
      </w:pPr>
      <w:r>
        <w:rPr>
          <w:rFonts w:hint="eastAsia" w:ascii="宋体" w:hAnsi="宋体" w:eastAsia="宋体" w:cs="宋体"/>
          <w:snapToGrid w:val="0"/>
          <w:color w:val="auto"/>
          <w:kern w:val="0"/>
          <w:sz w:val="24"/>
          <w:szCs w:val="24"/>
          <w:highlight w:val="none"/>
          <w:lang w:val="en-US" w:eastAsia="zh-CN"/>
        </w:rPr>
        <w:t>11.</w:t>
      </w:r>
      <w:r>
        <w:rPr>
          <w:rFonts w:hint="eastAsia" w:ascii="宋体" w:hAnsi="宋体" w:eastAsia="宋体" w:cs="宋体"/>
          <w:snapToGrid w:val="0"/>
          <w:color w:val="auto"/>
          <w:kern w:val="0"/>
          <w:sz w:val="24"/>
          <w:szCs w:val="24"/>
          <w:highlight w:val="none"/>
          <w:lang w:val="en-US" w:eastAsia="en-US"/>
        </w:rPr>
        <w:t>多联室外机应采用先进的油分离技术，保障压缩机运行更加稳定。</w:t>
      </w:r>
    </w:p>
    <w:p w14:paraId="7C5E721C">
      <w:pPr>
        <w:widowControl/>
        <w:kinsoku w:val="0"/>
        <w:autoSpaceDE w:val="0"/>
        <w:autoSpaceDN w:val="0"/>
        <w:adjustRightInd w:val="0"/>
        <w:snapToGrid w:val="0"/>
        <w:spacing w:line="360" w:lineRule="auto"/>
        <w:ind w:firstLine="482"/>
        <w:jc w:val="left"/>
        <w:textAlignment w:val="baseline"/>
        <w:outlineLvl w:val="9"/>
        <w:rPr>
          <w:rFonts w:hint="eastAsia" w:ascii="宋体" w:hAnsi="宋体" w:eastAsia="宋体" w:cs="宋体"/>
          <w:snapToGrid w:val="0"/>
          <w:color w:val="auto"/>
          <w:kern w:val="0"/>
          <w:sz w:val="24"/>
          <w:szCs w:val="24"/>
          <w:highlight w:val="none"/>
          <w:lang w:val="en-US" w:eastAsia="en-US"/>
        </w:rPr>
      </w:pPr>
      <w:r>
        <w:rPr>
          <w:rFonts w:hint="eastAsia" w:ascii="宋体" w:hAnsi="宋体" w:eastAsia="宋体" w:cs="宋体"/>
          <w:snapToGrid w:val="0"/>
          <w:color w:val="auto"/>
          <w:kern w:val="0"/>
          <w:sz w:val="24"/>
          <w:szCs w:val="24"/>
          <w:highlight w:val="none"/>
          <w:lang w:val="en-US" w:eastAsia="zh-CN"/>
        </w:rPr>
        <w:t>12.</w:t>
      </w:r>
      <w:r>
        <w:rPr>
          <w:rFonts w:hint="eastAsia" w:ascii="宋体" w:hAnsi="宋体" w:eastAsia="宋体" w:cs="宋体"/>
          <w:snapToGrid w:val="0"/>
          <w:color w:val="auto"/>
          <w:kern w:val="0"/>
          <w:sz w:val="24"/>
          <w:szCs w:val="24"/>
          <w:highlight w:val="none"/>
          <w:lang w:val="en-US" w:eastAsia="en-US"/>
        </w:rPr>
        <w:t>为了防止冬季室外机积雪，多联空调机组应具有防积雪功能，在停止运行的状态下风扇能够自动运行，清除积雪。</w:t>
      </w:r>
    </w:p>
    <w:p w14:paraId="5909CB73">
      <w:pPr>
        <w:widowControl/>
        <w:kinsoku w:val="0"/>
        <w:autoSpaceDE w:val="0"/>
        <w:autoSpaceDN w:val="0"/>
        <w:adjustRightInd w:val="0"/>
        <w:snapToGrid w:val="0"/>
        <w:spacing w:line="360" w:lineRule="auto"/>
        <w:ind w:firstLine="482"/>
        <w:jc w:val="left"/>
        <w:textAlignment w:val="baseline"/>
        <w:outlineLvl w:val="9"/>
        <w:rPr>
          <w:rFonts w:hint="eastAsia" w:ascii="宋体" w:hAnsi="宋体" w:eastAsia="宋体" w:cs="宋体"/>
          <w:snapToGrid w:val="0"/>
          <w:color w:val="auto"/>
          <w:kern w:val="0"/>
          <w:sz w:val="24"/>
          <w:szCs w:val="24"/>
          <w:highlight w:val="none"/>
          <w:lang w:val="en-US" w:eastAsia="en-US"/>
        </w:rPr>
      </w:pPr>
      <w:r>
        <w:rPr>
          <w:rFonts w:hint="eastAsia" w:ascii="宋体" w:hAnsi="宋体" w:eastAsia="宋体" w:cs="宋体"/>
          <w:snapToGrid w:val="0"/>
          <w:color w:val="auto"/>
          <w:kern w:val="0"/>
          <w:sz w:val="24"/>
          <w:szCs w:val="24"/>
          <w:highlight w:val="none"/>
          <w:lang w:val="en-US" w:eastAsia="zh-CN"/>
        </w:rPr>
        <w:t>13.</w:t>
      </w:r>
      <w:r>
        <w:rPr>
          <w:rFonts w:hint="eastAsia" w:ascii="宋体" w:hAnsi="宋体" w:eastAsia="宋体" w:cs="宋体"/>
          <w:snapToGrid w:val="0"/>
          <w:color w:val="auto"/>
          <w:kern w:val="0"/>
          <w:sz w:val="24"/>
          <w:szCs w:val="24"/>
          <w:highlight w:val="none"/>
          <w:lang w:val="en-US" w:eastAsia="en-US"/>
        </w:rPr>
        <w:t>多联室外机组应具备防干扰、防雷击功能，在电路设计上应设计防雷击模块，同时通过机器内部可靠的接地设计和严格的厂外安装防范要求，确保系统运行稳定可靠。</w:t>
      </w:r>
    </w:p>
    <w:p w14:paraId="17567486">
      <w:pPr>
        <w:widowControl/>
        <w:kinsoku w:val="0"/>
        <w:autoSpaceDE w:val="0"/>
        <w:autoSpaceDN w:val="0"/>
        <w:adjustRightInd w:val="0"/>
        <w:snapToGrid w:val="0"/>
        <w:spacing w:line="360" w:lineRule="auto"/>
        <w:ind w:firstLine="482"/>
        <w:jc w:val="left"/>
        <w:textAlignment w:val="baseline"/>
        <w:outlineLvl w:val="9"/>
        <w:rPr>
          <w:rFonts w:hint="eastAsia" w:ascii="宋体" w:hAnsi="宋体" w:eastAsia="宋体" w:cs="宋体"/>
          <w:snapToGrid w:val="0"/>
          <w:color w:val="auto"/>
          <w:kern w:val="0"/>
          <w:sz w:val="24"/>
          <w:szCs w:val="24"/>
          <w:highlight w:val="none"/>
          <w:lang w:val="en-US" w:eastAsia="en-US"/>
        </w:rPr>
      </w:pPr>
      <w:r>
        <w:rPr>
          <w:rFonts w:hint="eastAsia" w:ascii="宋体" w:hAnsi="宋体" w:eastAsia="宋体" w:cs="宋体"/>
          <w:snapToGrid w:val="0"/>
          <w:color w:val="auto"/>
          <w:kern w:val="0"/>
          <w:sz w:val="24"/>
          <w:szCs w:val="24"/>
          <w:highlight w:val="none"/>
          <w:lang w:val="en-US" w:eastAsia="zh-CN"/>
        </w:rPr>
        <w:t>14.</w:t>
      </w:r>
      <w:r>
        <w:rPr>
          <w:rFonts w:hint="eastAsia" w:ascii="宋体" w:hAnsi="宋体" w:eastAsia="宋体" w:cs="宋体"/>
          <w:snapToGrid w:val="0"/>
          <w:color w:val="auto"/>
          <w:kern w:val="0"/>
          <w:sz w:val="24"/>
          <w:szCs w:val="24"/>
          <w:highlight w:val="none"/>
          <w:lang w:val="en-US" w:eastAsia="en-US"/>
        </w:rPr>
        <w:t>为确保电控系统的可靠性，所投产品的电控箱采用冷媒冷却设计。</w:t>
      </w:r>
    </w:p>
    <w:p w14:paraId="6CE052F0">
      <w:pPr>
        <w:pStyle w:val="39"/>
        <w:ind w:firstLine="480" w:firstLineChars="200"/>
        <w:rPr>
          <w:rFonts w:hint="eastAsia"/>
          <w:highlight w:val="none"/>
          <w:lang w:val="en-US" w:eastAsia="en-US"/>
        </w:rPr>
      </w:pPr>
      <w:r>
        <w:rPr>
          <w:rFonts w:hint="eastAsia" w:ascii="宋体" w:hAnsi="宋体" w:eastAsia="宋体" w:cs="宋体"/>
          <w:snapToGrid w:val="0"/>
          <w:color w:val="auto"/>
          <w:kern w:val="0"/>
          <w:sz w:val="24"/>
          <w:szCs w:val="24"/>
          <w:highlight w:val="none"/>
          <w:lang w:val="en-US" w:eastAsia="zh-CN" w:bidi="ar-SA"/>
        </w:rPr>
        <w:t>15.</w:t>
      </w:r>
      <w:r>
        <w:rPr>
          <w:rFonts w:hint="eastAsia" w:ascii="宋体" w:hAnsi="宋体" w:eastAsia="宋体" w:cs="宋体"/>
          <w:snapToGrid w:val="0"/>
          <w:color w:val="auto"/>
          <w:kern w:val="0"/>
          <w:sz w:val="24"/>
          <w:szCs w:val="24"/>
          <w:highlight w:val="none"/>
          <w:lang w:val="en-US" w:eastAsia="en-US" w:bidi="ar-SA"/>
        </w:rPr>
        <w:t>所投产品需稳定可靠，且能适应恶劣环境，电控盒采用IP55密封结构设计。</w:t>
      </w:r>
    </w:p>
    <w:p w14:paraId="2A146F9A">
      <w:pPr>
        <w:keepNext/>
        <w:keepLines/>
        <w:kinsoku w:val="0"/>
        <w:autoSpaceDE w:val="0"/>
        <w:autoSpaceDN w:val="0"/>
        <w:bidi w:val="0"/>
        <w:adjustRightInd w:val="0"/>
        <w:snapToGrid w:val="0"/>
        <w:spacing w:line="360" w:lineRule="auto"/>
        <w:jc w:val="left"/>
        <w:textAlignment w:val="baseline"/>
        <w:outlineLvl w:val="1"/>
        <w:rPr>
          <w:rFonts w:hint="eastAsia" w:ascii="宋体" w:hAnsi="宋体" w:eastAsia="宋体" w:cs="宋体"/>
          <w:b/>
          <w:bCs/>
          <w:snapToGrid w:val="0"/>
          <w:color w:val="auto"/>
          <w:kern w:val="0"/>
          <w:sz w:val="32"/>
          <w:szCs w:val="32"/>
          <w:highlight w:val="none"/>
          <w:lang w:val="en-US" w:eastAsia="en-US" w:bidi="ar-SA"/>
        </w:rPr>
      </w:pPr>
      <w:bookmarkStart w:id="298" w:name="_Toc32216"/>
      <w:bookmarkStart w:id="299" w:name="_Toc11035"/>
      <w:r>
        <w:rPr>
          <w:rFonts w:hint="eastAsia" w:ascii="宋体" w:hAnsi="宋体" w:cs="宋体"/>
          <w:b/>
          <w:bCs/>
          <w:snapToGrid w:val="0"/>
          <w:color w:val="auto"/>
          <w:kern w:val="0"/>
          <w:sz w:val="32"/>
          <w:szCs w:val="32"/>
          <w:highlight w:val="none"/>
          <w:lang w:val="en-US" w:eastAsia="zh-CN" w:bidi="ar-SA"/>
        </w:rPr>
        <w:t>三</w:t>
      </w:r>
      <w:r>
        <w:rPr>
          <w:rFonts w:hint="eastAsia" w:ascii="宋体" w:hAnsi="宋体" w:eastAsia="宋体" w:cs="宋体"/>
          <w:b/>
          <w:bCs/>
          <w:snapToGrid w:val="0"/>
          <w:color w:val="auto"/>
          <w:kern w:val="0"/>
          <w:sz w:val="32"/>
          <w:szCs w:val="32"/>
          <w:highlight w:val="none"/>
          <w:lang w:val="en-US" w:eastAsia="en-US" w:bidi="ar-SA"/>
        </w:rPr>
        <w:t>、商务要求</w:t>
      </w:r>
      <w:bookmarkEnd w:id="298"/>
      <w:bookmarkEnd w:id="299"/>
    </w:p>
    <w:p w14:paraId="5A9D85C4">
      <w:pPr>
        <w:widowControl/>
        <w:kinsoku w:val="0"/>
        <w:autoSpaceDE w:val="0"/>
        <w:autoSpaceDN w:val="0"/>
        <w:adjustRightInd w:val="0"/>
        <w:snapToGrid w:val="0"/>
        <w:spacing w:line="360" w:lineRule="auto"/>
        <w:ind w:firstLine="482"/>
        <w:jc w:val="left"/>
        <w:textAlignment w:val="baseline"/>
        <w:outlineLvl w:val="9"/>
        <w:rPr>
          <w:rFonts w:hint="eastAsia" w:ascii="宋体" w:hAnsi="宋体" w:eastAsia="宋体" w:cs="宋体"/>
          <w:snapToGrid w:val="0"/>
          <w:color w:val="auto"/>
          <w:kern w:val="0"/>
          <w:sz w:val="24"/>
          <w:szCs w:val="24"/>
          <w:highlight w:val="none"/>
          <w:lang w:eastAsia="en-US"/>
        </w:rPr>
      </w:pPr>
      <w:bookmarkStart w:id="300" w:name="OLE_LINK3"/>
      <w:bookmarkStart w:id="301" w:name="OLE_LINK4"/>
      <w:r>
        <w:rPr>
          <w:rFonts w:hint="eastAsia" w:ascii="宋体" w:hAnsi="宋体" w:eastAsia="宋体" w:cs="宋体"/>
          <w:snapToGrid w:val="0"/>
          <w:color w:val="auto"/>
          <w:kern w:val="0"/>
          <w:sz w:val="24"/>
          <w:szCs w:val="24"/>
          <w:highlight w:val="none"/>
          <w:lang w:eastAsia="en-US"/>
        </w:rPr>
        <w:t>1、合同履行期限（供货安装期）：</w:t>
      </w:r>
      <w:r>
        <w:rPr>
          <w:rFonts w:hint="eastAsia" w:ascii="宋体" w:hAnsi="宋体" w:cs="宋体"/>
          <w:snapToGrid w:val="0"/>
          <w:color w:val="auto"/>
          <w:kern w:val="0"/>
          <w:sz w:val="24"/>
          <w:szCs w:val="24"/>
          <w:highlight w:val="none"/>
          <w:lang w:val="en-US" w:eastAsia="zh-CN"/>
        </w:rPr>
        <w:t>60</w:t>
      </w:r>
      <w:r>
        <w:rPr>
          <w:rFonts w:hint="eastAsia" w:ascii="宋体" w:hAnsi="宋体" w:eastAsia="宋体" w:cs="宋体"/>
          <w:snapToGrid w:val="0"/>
          <w:color w:val="auto"/>
          <w:kern w:val="0"/>
          <w:sz w:val="24"/>
          <w:szCs w:val="24"/>
          <w:highlight w:val="none"/>
          <w:lang w:eastAsia="en-US"/>
        </w:rPr>
        <w:t>日历天</w:t>
      </w:r>
    </w:p>
    <w:p w14:paraId="7DEEB9FF">
      <w:pPr>
        <w:widowControl/>
        <w:kinsoku w:val="0"/>
        <w:autoSpaceDE w:val="0"/>
        <w:autoSpaceDN w:val="0"/>
        <w:adjustRightInd w:val="0"/>
        <w:snapToGrid w:val="0"/>
        <w:spacing w:line="360" w:lineRule="auto"/>
        <w:ind w:firstLine="482"/>
        <w:jc w:val="left"/>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eastAsia="en-US"/>
        </w:rPr>
        <w:t>2、供货地点：采购人指定地点</w:t>
      </w:r>
    </w:p>
    <w:p w14:paraId="33F9CD56">
      <w:pPr>
        <w:kinsoku w:val="0"/>
        <w:autoSpaceDE w:val="0"/>
        <w:autoSpaceDN w:val="0"/>
        <w:adjustRightInd w:val="0"/>
        <w:snapToGrid w:val="0"/>
        <w:spacing w:line="360" w:lineRule="auto"/>
        <w:ind w:left="0" w:firstLine="480" w:firstLineChars="200"/>
        <w:jc w:val="left"/>
        <w:textAlignment w:val="baseline"/>
        <w:outlineLvl w:val="9"/>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3、质量要求：合格，符合国家及行业规范标准</w:t>
      </w:r>
    </w:p>
    <w:p w14:paraId="1F530B46">
      <w:pPr>
        <w:widowControl/>
        <w:kinsoku w:val="0"/>
        <w:autoSpaceDE w:val="0"/>
        <w:autoSpaceDN w:val="0"/>
        <w:adjustRightInd w:val="0"/>
        <w:snapToGrid w:val="0"/>
        <w:spacing w:line="360" w:lineRule="auto"/>
        <w:ind w:firstLine="482"/>
        <w:jc w:val="left"/>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eastAsia="en-US"/>
        </w:rPr>
        <w:t>4、质保期限：</w:t>
      </w:r>
      <w:r>
        <w:rPr>
          <w:rFonts w:hint="eastAsia" w:ascii="宋体" w:hAnsi="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lang w:eastAsia="en-US"/>
        </w:rPr>
        <w:t>年</w:t>
      </w:r>
    </w:p>
    <w:p w14:paraId="1A357204">
      <w:pPr>
        <w:widowControl/>
        <w:kinsoku w:val="0"/>
        <w:autoSpaceDE w:val="0"/>
        <w:autoSpaceDN w:val="0"/>
        <w:adjustRightInd w:val="0"/>
        <w:snapToGrid w:val="0"/>
        <w:spacing w:line="360" w:lineRule="auto"/>
        <w:ind w:firstLine="480" w:firstLineChars="200"/>
        <w:jc w:val="left"/>
        <w:textAlignment w:val="baseline"/>
        <w:outlineLvl w:val="9"/>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eastAsia="en-US"/>
        </w:rPr>
        <w:t>5、付款方式：合同签订后，全部供货安装结束，该项目经过国家认可的第三方质量检测机构验收和检测合格后，据实支付合同总额的</w:t>
      </w:r>
      <w:r>
        <w:rPr>
          <w:rFonts w:hint="eastAsia" w:ascii="宋体" w:hAnsi="宋体" w:eastAsia="宋体" w:cs="宋体"/>
          <w:snapToGrid w:val="0"/>
          <w:color w:val="auto"/>
          <w:kern w:val="0"/>
          <w:sz w:val="24"/>
          <w:szCs w:val="24"/>
          <w:highlight w:val="none"/>
          <w:lang w:val="en-US" w:eastAsia="en-US"/>
        </w:rPr>
        <w:t>100%</w:t>
      </w:r>
      <w:r>
        <w:rPr>
          <w:rFonts w:hint="eastAsia" w:ascii="宋体" w:hAnsi="宋体" w:eastAsia="宋体" w:cs="宋体"/>
          <w:snapToGrid w:val="0"/>
          <w:color w:val="auto"/>
          <w:kern w:val="0"/>
          <w:sz w:val="24"/>
          <w:szCs w:val="24"/>
          <w:highlight w:val="none"/>
          <w:lang w:eastAsia="en-US"/>
        </w:rPr>
        <w:t>。</w:t>
      </w:r>
    </w:p>
    <w:bookmarkEnd w:id="300"/>
    <w:bookmarkEnd w:id="301"/>
    <w:p w14:paraId="66FC74B3">
      <w:pPr>
        <w:keepNext/>
        <w:keepLines/>
        <w:kinsoku w:val="0"/>
        <w:autoSpaceDE w:val="0"/>
        <w:autoSpaceDN w:val="0"/>
        <w:bidi w:val="0"/>
        <w:adjustRightInd w:val="0"/>
        <w:snapToGrid w:val="0"/>
        <w:spacing w:line="360" w:lineRule="auto"/>
        <w:jc w:val="left"/>
        <w:textAlignment w:val="baseline"/>
        <w:outlineLvl w:val="1"/>
        <w:rPr>
          <w:rFonts w:hint="eastAsia" w:ascii="宋体" w:hAnsi="宋体" w:eastAsia="宋体" w:cs="宋体"/>
          <w:b/>
          <w:bCs/>
          <w:snapToGrid w:val="0"/>
          <w:color w:val="auto"/>
          <w:kern w:val="0"/>
          <w:sz w:val="32"/>
          <w:szCs w:val="32"/>
          <w:highlight w:val="none"/>
          <w:lang w:val="en-US" w:eastAsia="en-US" w:bidi="ar-SA"/>
        </w:rPr>
      </w:pPr>
    </w:p>
    <w:p w14:paraId="648C0250">
      <w:pPr>
        <w:spacing w:line="360" w:lineRule="auto"/>
        <w:ind w:firstLine="440" w:firstLineChars="200"/>
        <w:outlineLvl w:val="9"/>
        <w:rPr>
          <w:rFonts w:hint="eastAsia" w:ascii="宋体" w:hAnsi="宋体" w:eastAsia="宋体" w:cs="宋体"/>
          <w:color w:val="auto"/>
          <w:sz w:val="22"/>
          <w:szCs w:val="22"/>
          <w:highlight w:val="none"/>
        </w:rPr>
      </w:pPr>
    </w:p>
    <w:p w14:paraId="6FAE5D64">
      <w:pPr>
        <w:spacing w:line="360" w:lineRule="auto"/>
        <w:ind w:firstLine="480" w:firstLineChars="200"/>
        <w:outlineLvl w:val="9"/>
        <w:rPr>
          <w:rFonts w:hint="eastAsia" w:ascii="宋体" w:hAnsi="宋体" w:eastAsia="宋体" w:cs="宋体"/>
          <w:color w:val="auto"/>
          <w:sz w:val="24"/>
          <w:szCs w:val="21"/>
          <w:highlight w:val="none"/>
        </w:rPr>
      </w:pPr>
    </w:p>
    <w:p w14:paraId="1FFC303B">
      <w:pPr>
        <w:spacing w:line="360" w:lineRule="auto"/>
        <w:outlineLvl w:val="9"/>
        <w:rPr>
          <w:rFonts w:hint="eastAsia" w:ascii="宋体" w:hAnsi="宋体" w:eastAsia="宋体" w:cs="宋体"/>
          <w:color w:val="auto"/>
          <w:sz w:val="24"/>
          <w:szCs w:val="21"/>
          <w:highlight w:val="none"/>
        </w:rPr>
      </w:pPr>
    </w:p>
    <w:p w14:paraId="410B92FA">
      <w:pPr>
        <w:pStyle w:val="33"/>
        <w:outlineLvl w:val="9"/>
        <w:rPr>
          <w:rFonts w:hint="eastAsia" w:ascii="宋体" w:hAnsi="宋体" w:eastAsia="宋体" w:cs="宋体"/>
          <w:color w:val="auto"/>
          <w:highlight w:val="none"/>
        </w:rPr>
      </w:pPr>
    </w:p>
    <w:p w14:paraId="2FBEF479">
      <w:pPr>
        <w:outlineLvl w:val="9"/>
        <w:rPr>
          <w:rFonts w:hint="eastAsia" w:ascii="宋体" w:hAnsi="宋体" w:eastAsia="宋体" w:cs="宋体"/>
          <w:color w:val="auto"/>
          <w:highlight w:val="none"/>
        </w:rPr>
      </w:pPr>
    </w:p>
    <w:p w14:paraId="10E046F8">
      <w:pPr>
        <w:pStyle w:val="33"/>
        <w:outlineLvl w:val="9"/>
        <w:rPr>
          <w:rFonts w:hint="eastAsia" w:ascii="宋体" w:hAnsi="宋体" w:eastAsia="宋体" w:cs="宋体"/>
          <w:color w:val="auto"/>
          <w:highlight w:val="none"/>
        </w:rPr>
      </w:pPr>
    </w:p>
    <w:bookmarkEnd w:id="290"/>
    <w:p w14:paraId="6E826161">
      <w:pPr>
        <w:rPr>
          <w:rFonts w:hint="eastAsia" w:ascii="宋体" w:hAnsi="宋体" w:eastAsia="宋体" w:cs="宋体"/>
          <w:color w:val="auto"/>
          <w:highlight w:val="none"/>
        </w:rPr>
      </w:pPr>
      <w:bookmarkStart w:id="302" w:name="_Toc18132"/>
      <w:bookmarkStart w:id="303" w:name="_Toc403122572"/>
      <w:bookmarkStart w:id="304" w:name="_Toc426369533"/>
      <w:bookmarkStart w:id="305" w:name="_Toc7906"/>
      <w:r>
        <w:rPr>
          <w:rFonts w:hint="eastAsia" w:ascii="宋体" w:hAnsi="宋体" w:eastAsia="宋体" w:cs="宋体"/>
          <w:color w:val="auto"/>
          <w:highlight w:val="none"/>
        </w:rPr>
        <w:br w:type="page"/>
      </w:r>
    </w:p>
    <w:p w14:paraId="2A8A57EF">
      <w:pPr>
        <w:pStyle w:val="2"/>
        <w:bidi w:val="0"/>
        <w:rPr>
          <w:rFonts w:hint="eastAsia" w:ascii="宋体" w:hAnsi="宋体" w:eastAsia="宋体" w:cs="宋体"/>
          <w:color w:val="auto"/>
          <w:highlight w:val="none"/>
        </w:rPr>
      </w:pPr>
      <w:bookmarkStart w:id="306" w:name="_Toc14766"/>
      <w:r>
        <w:rPr>
          <w:rFonts w:hint="eastAsia" w:ascii="宋体" w:hAnsi="宋体" w:eastAsia="宋体" w:cs="宋体"/>
          <w:color w:val="auto"/>
          <w:highlight w:val="none"/>
        </w:rPr>
        <w:t>第六章 质疑与投诉</w:t>
      </w:r>
      <w:bookmarkEnd w:id="302"/>
      <w:bookmarkEnd w:id="306"/>
    </w:p>
    <w:p w14:paraId="5F07BC1C">
      <w:pPr>
        <w:spacing w:line="500" w:lineRule="exact"/>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一、质疑与答复</w:t>
      </w:r>
    </w:p>
    <w:p w14:paraId="0FB26C5E">
      <w:pPr>
        <w:pStyle w:val="32"/>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 参与政府采购活动的投标人认为采购文件、采购过程、中标或者成交结果使自己的权益受到损害的，可以在知道或者应知其权益受到损害之日起7个工作日内，以书面形式向采购人、采购代理机构提出质疑。</w:t>
      </w:r>
    </w:p>
    <w:p w14:paraId="08203F21">
      <w:pPr>
        <w:pStyle w:val="33"/>
        <w:outlineLvl w:val="9"/>
        <w:rPr>
          <w:rFonts w:hint="eastAsia" w:ascii="宋体" w:hAnsi="宋体" w:eastAsia="宋体" w:cs="宋体"/>
          <w:color w:val="auto"/>
          <w:highlight w:val="none"/>
        </w:rPr>
      </w:pPr>
      <w:r>
        <w:rPr>
          <w:rFonts w:hint="eastAsia" w:ascii="宋体" w:hAnsi="宋体" w:eastAsia="宋体" w:cs="宋体"/>
          <w:color w:val="auto"/>
          <w:highlight w:val="none"/>
        </w:rPr>
        <w:t>2. 投标人提出质疑应当提交质疑函和必要的证明材料。政府采购投标人质疑函范本下载地址：</w:t>
      </w:r>
    </w:p>
    <w:p w14:paraId="7EBFE6C1">
      <w:pPr>
        <w:pStyle w:val="33"/>
        <w:outlineLvl w:val="9"/>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"http://download.ccgp.gov.cn/2018/zhiyihanfanben.zip；" </w:instrText>
      </w:r>
      <w:r>
        <w:rPr>
          <w:rFonts w:hint="eastAsia" w:ascii="宋体" w:hAnsi="宋体" w:eastAsia="宋体" w:cs="宋体"/>
          <w:color w:val="auto"/>
          <w:highlight w:val="none"/>
        </w:rPr>
        <w:fldChar w:fldCharType="separate"/>
      </w:r>
      <w:r>
        <w:rPr>
          <w:rStyle w:val="37"/>
          <w:rFonts w:hint="eastAsia" w:ascii="宋体" w:hAnsi="宋体" w:eastAsia="宋体" w:cs="宋体"/>
          <w:color w:val="auto"/>
          <w:highlight w:val="none"/>
        </w:rPr>
        <w:t>http://download.ccgp.gov.cn/2018/zhiyihanfanben.zip；</w:t>
      </w:r>
      <w:r>
        <w:rPr>
          <w:rStyle w:val="37"/>
          <w:rFonts w:hint="eastAsia" w:ascii="宋体" w:hAnsi="宋体" w:eastAsia="宋体" w:cs="宋体"/>
          <w:color w:val="auto"/>
          <w:highlight w:val="none"/>
        </w:rPr>
        <w:fldChar w:fldCharType="end"/>
      </w:r>
    </w:p>
    <w:p w14:paraId="551E844D">
      <w:pPr>
        <w:numPr>
          <w:ilvl w:val="0"/>
          <w:numId w:val="0"/>
        </w:num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highlight w:val="none"/>
        </w:rPr>
        <w:t>采购人、采购代理机构不得拒收质疑投标人在法定质疑期内发出的质疑函，应当在收到质疑函后7个工作日内作出答复，并以书面形式通知质疑投标人和其他有关投标人。</w:t>
      </w:r>
    </w:p>
    <w:p w14:paraId="5962E9B7">
      <w:pPr>
        <w:numPr>
          <w:ilvl w:val="0"/>
          <w:numId w:val="0"/>
        </w:num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highlight w:val="none"/>
        </w:rPr>
        <w:t>投标人提出质疑应当提交质疑函和必要的证明材料。质疑函应当包括下列内容：</w:t>
      </w:r>
    </w:p>
    <w:p w14:paraId="0B73B15E">
      <w:pPr>
        <w:numPr>
          <w:ilvl w:val="1"/>
          <w:numId w:val="0"/>
        </w:numPr>
        <w:spacing w:line="500" w:lineRule="exact"/>
        <w:ind w:left="420" w:leftChars="200" w:firstLine="0" w:firstLineChars="0"/>
        <w:outlineLvl w:val="9"/>
        <w:rPr>
          <w:rFonts w:hint="eastAsia" w:ascii="宋体" w:hAnsi="宋体" w:eastAsia="宋体" w:cs="宋体"/>
          <w:color w:val="auto"/>
          <w:sz w:val="24"/>
          <w:highlight w:val="none"/>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highlight w:val="none"/>
        </w:rPr>
        <w:t>投标人的姓名或者名称、地址、邮编、联系人及联系电话；</w:t>
      </w:r>
    </w:p>
    <w:p w14:paraId="589BAFF3">
      <w:pPr>
        <w:numPr>
          <w:ilvl w:val="1"/>
          <w:numId w:val="0"/>
        </w:numPr>
        <w:spacing w:line="500" w:lineRule="exact"/>
        <w:ind w:left="420" w:leftChars="200" w:firstLine="0" w:firstLineChars="0"/>
        <w:outlineLvl w:val="9"/>
        <w:rPr>
          <w:rFonts w:hint="eastAsia" w:ascii="宋体" w:hAnsi="宋体" w:eastAsia="宋体" w:cs="宋体"/>
          <w:color w:val="auto"/>
          <w:sz w:val="24"/>
          <w:highlight w:val="none"/>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highlight w:val="none"/>
        </w:rPr>
        <w:t>质疑项目的名称、编号；</w:t>
      </w:r>
    </w:p>
    <w:p w14:paraId="7E4EE44A">
      <w:pPr>
        <w:numPr>
          <w:ilvl w:val="1"/>
          <w:numId w:val="0"/>
        </w:numPr>
        <w:spacing w:line="500" w:lineRule="exact"/>
        <w:ind w:left="420" w:leftChars="200" w:firstLine="0" w:firstLineChars="0"/>
        <w:outlineLvl w:val="9"/>
        <w:rPr>
          <w:rFonts w:hint="eastAsia" w:ascii="宋体" w:hAnsi="宋体" w:eastAsia="宋体" w:cs="宋体"/>
          <w:color w:val="auto"/>
          <w:sz w:val="24"/>
          <w:highlight w:val="none"/>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highlight w:val="none"/>
        </w:rPr>
        <w:t>具体、明确的质疑事项和与质疑事项相关的请求；</w:t>
      </w:r>
    </w:p>
    <w:p w14:paraId="5A08626A">
      <w:pPr>
        <w:numPr>
          <w:ilvl w:val="1"/>
          <w:numId w:val="0"/>
        </w:numPr>
        <w:spacing w:line="500" w:lineRule="exact"/>
        <w:ind w:left="420" w:leftChars="200" w:firstLine="0" w:firstLineChars="0"/>
        <w:outlineLvl w:val="9"/>
        <w:rPr>
          <w:rFonts w:hint="eastAsia" w:ascii="宋体" w:hAnsi="宋体" w:eastAsia="宋体" w:cs="宋体"/>
          <w:color w:val="auto"/>
          <w:sz w:val="24"/>
          <w:highlight w:val="none"/>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highlight w:val="none"/>
        </w:rPr>
        <w:t>事实依据；</w:t>
      </w:r>
    </w:p>
    <w:p w14:paraId="41F01E5F">
      <w:pPr>
        <w:numPr>
          <w:ilvl w:val="1"/>
          <w:numId w:val="0"/>
        </w:numPr>
        <w:spacing w:line="500" w:lineRule="exact"/>
        <w:ind w:left="420" w:leftChars="200" w:firstLine="0" w:firstLineChars="0"/>
        <w:outlineLvl w:val="9"/>
        <w:rPr>
          <w:rFonts w:hint="eastAsia" w:ascii="宋体" w:hAnsi="宋体" w:eastAsia="宋体" w:cs="宋体"/>
          <w:color w:val="auto"/>
          <w:sz w:val="24"/>
          <w:highlight w:val="none"/>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sz w:val="24"/>
          <w:highlight w:val="none"/>
        </w:rPr>
        <w:t>必要的法律依据；</w:t>
      </w:r>
    </w:p>
    <w:p w14:paraId="33F564F3">
      <w:pPr>
        <w:numPr>
          <w:ilvl w:val="1"/>
          <w:numId w:val="0"/>
        </w:numPr>
        <w:spacing w:line="500" w:lineRule="exact"/>
        <w:ind w:left="420" w:leftChars="200" w:firstLine="0" w:firstLineChars="0"/>
        <w:outlineLvl w:val="9"/>
        <w:rPr>
          <w:rFonts w:hint="eastAsia" w:ascii="宋体" w:hAnsi="宋体" w:eastAsia="宋体" w:cs="宋体"/>
          <w:color w:val="auto"/>
          <w:sz w:val="24"/>
          <w:highlight w:val="none"/>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.6</w:t>
      </w:r>
      <w:r>
        <w:rPr>
          <w:rFonts w:hint="eastAsia" w:ascii="宋体" w:hAnsi="宋体" w:eastAsia="宋体" w:cs="宋体"/>
          <w:color w:val="auto"/>
          <w:sz w:val="24"/>
          <w:highlight w:val="none"/>
        </w:rPr>
        <w:t>提出质疑的日期；</w:t>
      </w:r>
    </w:p>
    <w:p w14:paraId="6AFC7324">
      <w:pPr>
        <w:numPr>
          <w:ilvl w:val="1"/>
          <w:numId w:val="0"/>
        </w:numPr>
        <w:spacing w:line="500" w:lineRule="exact"/>
        <w:ind w:left="420" w:leftChars="200" w:firstLine="0" w:firstLineChars="0"/>
        <w:outlineLvl w:val="9"/>
        <w:rPr>
          <w:rFonts w:hint="eastAsia" w:ascii="宋体" w:hAnsi="宋体" w:eastAsia="宋体" w:cs="宋体"/>
          <w:color w:val="auto"/>
          <w:sz w:val="24"/>
          <w:highlight w:val="none"/>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.7</w:t>
      </w:r>
      <w:r>
        <w:rPr>
          <w:rFonts w:hint="eastAsia" w:ascii="宋体" w:hAnsi="宋体" w:eastAsia="宋体" w:cs="宋体"/>
          <w:color w:val="auto"/>
          <w:sz w:val="24"/>
          <w:highlight w:val="none"/>
        </w:rPr>
        <w:t>获取招标文件的凭证；</w:t>
      </w:r>
    </w:p>
    <w:p w14:paraId="6DEBF8E3">
      <w:pPr>
        <w:numPr>
          <w:ilvl w:val="1"/>
          <w:numId w:val="0"/>
        </w:numPr>
        <w:spacing w:line="500" w:lineRule="exact"/>
        <w:ind w:left="420" w:leftChars="200" w:firstLine="0" w:firstLineChars="0"/>
        <w:outlineLvl w:val="9"/>
        <w:rPr>
          <w:rFonts w:hint="eastAsia" w:ascii="宋体" w:hAnsi="宋体" w:eastAsia="宋体" w:cs="宋体"/>
          <w:color w:val="auto"/>
          <w:sz w:val="24"/>
          <w:highlight w:val="none"/>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.8</w:t>
      </w:r>
      <w:r>
        <w:rPr>
          <w:rFonts w:hint="eastAsia" w:ascii="宋体" w:hAnsi="宋体" w:eastAsia="宋体" w:cs="宋体"/>
          <w:color w:val="auto"/>
          <w:sz w:val="24"/>
          <w:highlight w:val="none"/>
        </w:rPr>
        <w:t>如有委托人需提供授权委托人与公司的劳动关系证明；</w:t>
      </w:r>
    </w:p>
    <w:p w14:paraId="74A2B871">
      <w:pPr>
        <w:numPr>
          <w:ilvl w:val="1"/>
          <w:numId w:val="0"/>
        </w:numPr>
        <w:spacing w:line="500" w:lineRule="exact"/>
        <w:ind w:left="420" w:leftChars="200" w:firstLine="0" w:firstLineChars="0"/>
        <w:outlineLvl w:val="9"/>
        <w:rPr>
          <w:rFonts w:hint="eastAsia" w:ascii="宋体" w:hAnsi="宋体" w:eastAsia="宋体" w:cs="宋体"/>
          <w:color w:val="auto"/>
          <w:sz w:val="24"/>
          <w:highlight w:val="none"/>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.9</w:t>
      </w:r>
      <w:r>
        <w:rPr>
          <w:rFonts w:hint="eastAsia" w:ascii="宋体" w:hAnsi="宋体" w:eastAsia="宋体" w:cs="宋体"/>
          <w:color w:val="auto"/>
          <w:sz w:val="24"/>
          <w:highlight w:val="none"/>
        </w:rPr>
        <w:t>以上资料一式二份（采购人、采购代理机构各执一份）。</w:t>
      </w:r>
    </w:p>
    <w:p w14:paraId="6AE5091A">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0投标人不得虚假质疑和恶意质疑，并对质疑内容的真实性承担责任。</w:t>
      </w:r>
    </w:p>
    <w:p w14:paraId="47B2B2BA">
      <w:pPr>
        <w:spacing w:line="500" w:lineRule="exact"/>
        <w:ind w:firstLine="480" w:firstLineChars="200"/>
        <w:outlineLvl w:val="9"/>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5.供应商在法定质疑期内一次性提出针对同一采购程序环节的质疑、不得反复对不同的事项提出质疑。</w:t>
      </w:r>
    </w:p>
    <w:p w14:paraId="4785D608">
      <w:pPr>
        <w:spacing w:line="500" w:lineRule="exact"/>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二、投诉与处理</w:t>
      </w:r>
    </w:p>
    <w:p w14:paraId="366CAFC2">
      <w:pPr>
        <w:pStyle w:val="32"/>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1.质疑投标人对采购人、采购代理机构的答复不满意，或者采购人、采购代理机构未在规定时间内作出答复的，可以在答复期满后15个工作日内向本办法第六条规定的财政部门提起投诉。</w:t>
      </w:r>
    </w:p>
    <w:p w14:paraId="0374BE15">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2.质疑投标人对采购人、采购代理机构的答复不满意，或者采购人、采购代理机构未在规定时间内作出答复的，可以在答复期满后15个工作日内向财政部门提起投诉。</w:t>
      </w:r>
    </w:p>
    <w:p w14:paraId="6CBEA57B">
      <w:pPr>
        <w:pStyle w:val="32"/>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3.投诉人投诉时,应当提交投诉书和必要的证明材料，并按照被投诉采购人、采购代理机构（以下简称被投诉人）和与投诉事项有关的投标人数量提供投诉书的副本。政府采购投标人投诉书范本下载地址：</w:t>
      </w:r>
    </w:p>
    <w:p w14:paraId="2A04E35F">
      <w:pPr>
        <w:pStyle w:val="32"/>
        <w:spacing w:line="500" w:lineRule="exact"/>
        <w:ind w:firstLine="640" w:firstLineChars="200"/>
        <w:outlineLvl w:val="9"/>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"http://download.ccgp.gov.cn/2018/tousushufanben.zip" </w:instrText>
      </w:r>
      <w:r>
        <w:rPr>
          <w:rFonts w:hint="eastAsia" w:ascii="宋体" w:hAnsi="宋体" w:eastAsia="宋体" w:cs="宋体"/>
          <w:color w:val="auto"/>
          <w:highlight w:val="none"/>
        </w:rPr>
        <w:fldChar w:fldCharType="separate"/>
      </w:r>
      <w:r>
        <w:rPr>
          <w:rStyle w:val="37"/>
          <w:rFonts w:hint="eastAsia" w:ascii="宋体" w:hAnsi="宋体" w:eastAsia="宋体" w:cs="宋体"/>
          <w:color w:val="auto"/>
          <w:sz w:val="24"/>
          <w:highlight w:val="none"/>
        </w:rPr>
        <w:t>http://download.ccgp.gov.cn/2018/tousushufanben.zip</w:t>
      </w:r>
      <w:r>
        <w:rPr>
          <w:rStyle w:val="37"/>
          <w:rFonts w:hint="eastAsia" w:ascii="宋体" w:hAnsi="宋体" w:eastAsia="宋体" w:cs="宋体"/>
          <w:color w:val="auto"/>
          <w:sz w:val="24"/>
          <w:highlight w:val="none"/>
        </w:rPr>
        <w:fldChar w:fldCharType="end"/>
      </w:r>
    </w:p>
    <w:p w14:paraId="296D56BB">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4.财政部门自收到投诉之日起30个工作日内，对投诉事项作出处理决定并公示。</w:t>
      </w:r>
    </w:p>
    <w:p w14:paraId="02544D93">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投诉人在全国范围12个月内三次以上投诉查无实据的，由财政部门列入不良行为记录名单。</w:t>
      </w:r>
    </w:p>
    <w:p w14:paraId="13F0C9C9">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投诉人有财政部94号令第三十七条情形的，属于虚假、恶意投诉，由财政部门列入不良行为记录名单，禁止其1至3年内参加政府采购活动。</w:t>
      </w:r>
    </w:p>
    <w:p w14:paraId="0C3507E7">
      <w:pPr>
        <w:pStyle w:val="33"/>
        <w:outlineLvl w:val="9"/>
        <w:rPr>
          <w:rFonts w:hint="eastAsia" w:ascii="宋体" w:hAnsi="宋体" w:eastAsia="宋体" w:cs="宋体"/>
          <w:color w:val="auto"/>
          <w:highlight w:val="none"/>
        </w:rPr>
      </w:pPr>
    </w:p>
    <w:p w14:paraId="7A49A6F0">
      <w:p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投诉联系电话：0391-8683273  </w:t>
      </w:r>
    </w:p>
    <w:p w14:paraId="7E437DC7">
      <w:pPr>
        <w:spacing w:line="500" w:lineRule="exact"/>
        <w:ind w:firstLine="480" w:firstLineChars="200"/>
        <w:outlineLvl w:val="9"/>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地址：博爱县机关综合办公楼主楼1213室 </w:t>
      </w:r>
    </w:p>
    <w:p w14:paraId="4E24B719">
      <w:pPr>
        <w:outlineLvl w:val="9"/>
        <w:rPr>
          <w:rFonts w:hint="eastAsia" w:ascii="宋体" w:hAnsi="宋体" w:eastAsia="宋体" w:cs="宋体"/>
          <w:color w:val="auto"/>
          <w:szCs w:val="21"/>
          <w:highlight w:val="none"/>
        </w:rPr>
      </w:pPr>
    </w:p>
    <w:p w14:paraId="6764F052">
      <w:pPr>
        <w:outlineLvl w:val="9"/>
        <w:rPr>
          <w:rFonts w:hint="eastAsia" w:ascii="宋体" w:hAnsi="宋体" w:eastAsia="宋体" w:cs="宋体"/>
          <w:color w:val="auto"/>
          <w:szCs w:val="21"/>
          <w:highlight w:val="none"/>
        </w:rPr>
      </w:pPr>
    </w:p>
    <w:p w14:paraId="1646FDA2">
      <w:pPr>
        <w:outlineLvl w:val="9"/>
        <w:rPr>
          <w:rFonts w:hint="eastAsia" w:ascii="宋体" w:hAnsi="宋体" w:eastAsia="宋体" w:cs="宋体"/>
          <w:color w:val="auto"/>
          <w:szCs w:val="21"/>
          <w:highlight w:val="none"/>
        </w:rPr>
      </w:pPr>
    </w:p>
    <w:p w14:paraId="0C03F392">
      <w:pPr>
        <w:outlineLvl w:val="9"/>
        <w:rPr>
          <w:rFonts w:hint="eastAsia" w:ascii="宋体" w:hAnsi="宋体" w:eastAsia="宋体" w:cs="宋体"/>
          <w:color w:val="auto"/>
          <w:szCs w:val="21"/>
          <w:highlight w:val="none"/>
        </w:rPr>
      </w:pPr>
    </w:p>
    <w:p w14:paraId="2CD55C5E">
      <w:pPr>
        <w:outlineLvl w:val="9"/>
        <w:rPr>
          <w:rFonts w:hint="eastAsia" w:ascii="宋体" w:hAnsi="宋体" w:eastAsia="宋体" w:cs="宋体"/>
          <w:color w:val="auto"/>
          <w:szCs w:val="21"/>
          <w:highlight w:val="none"/>
        </w:rPr>
      </w:pPr>
    </w:p>
    <w:p w14:paraId="7E0BE3AA">
      <w:pPr>
        <w:outlineLvl w:val="9"/>
        <w:rPr>
          <w:rFonts w:hint="eastAsia" w:ascii="宋体" w:hAnsi="宋体" w:eastAsia="宋体" w:cs="宋体"/>
          <w:color w:val="auto"/>
          <w:szCs w:val="21"/>
          <w:highlight w:val="none"/>
        </w:rPr>
      </w:pPr>
    </w:p>
    <w:p w14:paraId="35DA33ED">
      <w:pPr>
        <w:outlineLvl w:val="9"/>
        <w:rPr>
          <w:rFonts w:hint="eastAsia" w:ascii="宋体" w:hAnsi="宋体" w:eastAsia="宋体" w:cs="宋体"/>
          <w:color w:val="auto"/>
          <w:highlight w:val="none"/>
        </w:rPr>
      </w:pPr>
    </w:p>
    <w:p w14:paraId="456DB0BA">
      <w:pPr>
        <w:outlineLvl w:val="9"/>
        <w:rPr>
          <w:rFonts w:hint="eastAsia" w:ascii="宋体" w:hAnsi="宋体" w:eastAsia="宋体" w:cs="宋体"/>
          <w:color w:val="auto"/>
          <w:highlight w:val="none"/>
        </w:rPr>
      </w:pPr>
    </w:p>
    <w:p w14:paraId="24E93FDF">
      <w:pPr>
        <w:pStyle w:val="17"/>
        <w:outlineLvl w:val="9"/>
        <w:rPr>
          <w:rFonts w:hint="eastAsia" w:ascii="宋体" w:hAnsi="宋体" w:eastAsia="宋体" w:cs="宋体"/>
          <w:color w:val="auto"/>
          <w:highlight w:val="none"/>
        </w:rPr>
      </w:pPr>
    </w:p>
    <w:p w14:paraId="7A0D5E21">
      <w:pPr>
        <w:pStyle w:val="28"/>
        <w:outlineLvl w:val="9"/>
        <w:rPr>
          <w:rFonts w:hint="eastAsia" w:ascii="宋体" w:hAnsi="宋体" w:eastAsia="宋体" w:cs="宋体"/>
          <w:color w:val="auto"/>
          <w:highlight w:val="none"/>
        </w:rPr>
      </w:pPr>
    </w:p>
    <w:p w14:paraId="1DAE012F">
      <w:pPr>
        <w:pStyle w:val="17"/>
        <w:outlineLvl w:val="9"/>
        <w:rPr>
          <w:rFonts w:hint="eastAsia" w:ascii="宋体" w:hAnsi="宋体" w:eastAsia="宋体" w:cs="宋体"/>
          <w:color w:val="auto"/>
          <w:highlight w:val="none"/>
        </w:rPr>
      </w:pPr>
    </w:p>
    <w:p w14:paraId="16B79ACD">
      <w:pPr>
        <w:pStyle w:val="24"/>
        <w:outlineLvl w:val="9"/>
        <w:rPr>
          <w:rFonts w:hint="eastAsia" w:ascii="宋体" w:hAnsi="宋体" w:eastAsia="宋体" w:cs="宋体"/>
          <w:color w:val="auto"/>
          <w:highlight w:val="none"/>
        </w:rPr>
      </w:pPr>
    </w:p>
    <w:p w14:paraId="6EA5D232">
      <w:pPr>
        <w:pStyle w:val="22"/>
        <w:outlineLvl w:val="9"/>
        <w:rPr>
          <w:rFonts w:hint="eastAsia" w:ascii="宋体" w:hAnsi="宋体" w:eastAsia="宋体" w:cs="宋体"/>
          <w:color w:val="auto"/>
          <w:highlight w:val="none"/>
        </w:rPr>
      </w:pPr>
    </w:p>
    <w:p w14:paraId="2ECFFCF7">
      <w:pPr>
        <w:pStyle w:val="22"/>
        <w:outlineLvl w:val="9"/>
        <w:rPr>
          <w:rFonts w:hint="eastAsia" w:ascii="宋体" w:hAnsi="宋体" w:eastAsia="宋体" w:cs="宋体"/>
          <w:color w:val="auto"/>
          <w:highlight w:val="none"/>
        </w:rPr>
      </w:pPr>
    </w:p>
    <w:p w14:paraId="5126323A">
      <w:pPr>
        <w:pStyle w:val="28"/>
        <w:outlineLvl w:val="9"/>
        <w:rPr>
          <w:rFonts w:hint="eastAsia" w:ascii="宋体" w:hAnsi="宋体" w:eastAsia="宋体" w:cs="宋体"/>
          <w:color w:val="auto"/>
          <w:highlight w:val="none"/>
        </w:rPr>
      </w:pPr>
    </w:p>
    <w:p w14:paraId="6DF4E807">
      <w:pPr>
        <w:pStyle w:val="2"/>
        <w:bidi w:val="0"/>
        <w:rPr>
          <w:rFonts w:hint="eastAsia" w:ascii="宋体" w:hAnsi="宋体" w:eastAsia="宋体" w:cs="宋体"/>
          <w:color w:val="auto"/>
          <w:highlight w:val="none"/>
        </w:rPr>
      </w:pPr>
      <w:bookmarkStart w:id="307" w:name="_Toc5609"/>
      <w:bookmarkStart w:id="308" w:name="_Toc3861"/>
      <w:r>
        <w:rPr>
          <w:rFonts w:hint="eastAsia" w:ascii="宋体" w:hAnsi="宋体" w:eastAsia="宋体" w:cs="宋体"/>
          <w:color w:val="auto"/>
          <w:highlight w:val="none"/>
        </w:rPr>
        <w:t>第七章 履约验收</w:t>
      </w:r>
      <w:bookmarkEnd w:id="307"/>
      <w:bookmarkEnd w:id="308"/>
    </w:p>
    <w:p w14:paraId="1C141F16">
      <w:pPr>
        <w:pStyle w:val="32"/>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投标人履约完成后，向采购人提出验收建议，采购人自收到验收建议之日起五个工作日内，采购人组织投标人参与，共同完成验收。技术复杂、专业性强等项目可适当延长验收时间。验收流程如下：</w:t>
      </w:r>
    </w:p>
    <w:p w14:paraId="65256AED">
      <w:pPr>
        <w:pStyle w:val="32"/>
        <w:numPr>
          <w:ilvl w:val="0"/>
          <w:numId w:val="10"/>
        </w:num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编制验收方案。明确验收时间、方式、程序等内容。技术复杂、社会影响较大的货物类项目，可以根据需要设置出厂检验、到货检验、安装调试检验、配套服务检验等多重验收环节；服务类项目、可根据项目特点对服务期内的服务实施情况分期考核，结合考核情况和服务效果进行验收；工程类项目按照行业部门规定的标准、方法和内容进行验收。</w:t>
      </w:r>
    </w:p>
    <w:p w14:paraId="42D8E6F6">
      <w:pPr>
        <w:pStyle w:val="32"/>
        <w:numPr>
          <w:ilvl w:val="0"/>
          <w:numId w:val="10"/>
        </w:num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完善验收方式。对于采购人和使用人分离的采购项目，应邀请使用人参与验收。采购人可邀请参与本项目的其他投标人或第三方机构及专家参与验收。相关验收意见作为验收书的参考资料。政府向社会公众提供的公共服务项目，验收时应邀请服务对象参与并出具意见，验收结果应在焦作市政府采购网公示。</w:t>
      </w:r>
    </w:p>
    <w:p w14:paraId="1DB51721">
      <w:pPr>
        <w:pStyle w:val="32"/>
        <w:numPr>
          <w:ilvl w:val="0"/>
          <w:numId w:val="10"/>
        </w:num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按照合同履约验收。验收时，应当按照采购合同的约定对每一项技术、服务、安全标准的履约情况进行确认。验收后，应当出具验收书，列明各项标准的验收情况及项目的总体评价，由验收双方共同签署。采购人将履约验收情况在焦作市政府采购网公示，履约验收各项资料采购人应当存档备查。</w:t>
      </w:r>
    </w:p>
    <w:p w14:paraId="5243291C">
      <w:pPr>
        <w:pStyle w:val="32"/>
        <w:numPr>
          <w:ilvl w:val="0"/>
          <w:numId w:val="10"/>
        </w:numPr>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落实履约验收责任。验收合格的项目，采购人应当按照合同约定及时支付资金。验收不合格的项目，采购人应当依法及时处理。合同履行、违约责任和解决争议的方式使用《中华人民共和国民法典》。投标人在履约过程中有政府采购法律法规规定的违法情形，采购人应及时报财政部门。</w:t>
      </w:r>
    </w:p>
    <w:p w14:paraId="131FCE36">
      <w:pPr>
        <w:pStyle w:val="17"/>
        <w:spacing w:line="500" w:lineRule="exact"/>
        <w:outlineLvl w:val="9"/>
        <w:rPr>
          <w:rFonts w:hint="eastAsia" w:ascii="宋体" w:hAnsi="宋体" w:eastAsia="宋体" w:cs="宋体"/>
          <w:color w:val="auto"/>
          <w:sz w:val="24"/>
          <w:highlight w:val="none"/>
        </w:rPr>
      </w:pPr>
    </w:p>
    <w:p w14:paraId="03838AD1">
      <w:pPr>
        <w:pStyle w:val="28"/>
        <w:spacing w:line="500" w:lineRule="exact"/>
        <w:outlineLvl w:val="9"/>
        <w:rPr>
          <w:rFonts w:hint="eastAsia" w:ascii="宋体" w:hAnsi="宋体" w:eastAsia="宋体" w:cs="宋体"/>
          <w:color w:val="auto"/>
          <w:sz w:val="24"/>
          <w:highlight w:val="none"/>
        </w:rPr>
      </w:pPr>
    </w:p>
    <w:p w14:paraId="36CBBB36">
      <w:pPr>
        <w:pStyle w:val="17"/>
        <w:outlineLvl w:val="9"/>
        <w:rPr>
          <w:rFonts w:hint="eastAsia" w:ascii="宋体" w:hAnsi="宋体" w:eastAsia="宋体" w:cs="宋体"/>
          <w:color w:val="auto"/>
          <w:szCs w:val="21"/>
          <w:highlight w:val="none"/>
        </w:rPr>
      </w:pPr>
    </w:p>
    <w:p w14:paraId="04157809">
      <w:pPr>
        <w:pStyle w:val="28"/>
        <w:outlineLvl w:val="9"/>
        <w:rPr>
          <w:rFonts w:hint="eastAsia" w:ascii="宋体" w:hAnsi="宋体" w:eastAsia="宋体" w:cs="宋体"/>
          <w:color w:val="auto"/>
          <w:szCs w:val="21"/>
          <w:highlight w:val="none"/>
        </w:rPr>
      </w:pPr>
    </w:p>
    <w:p w14:paraId="510B7312">
      <w:pPr>
        <w:pStyle w:val="17"/>
        <w:outlineLvl w:val="9"/>
        <w:rPr>
          <w:rFonts w:hint="eastAsia" w:ascii="宋体" w:hAnsi="宋体" w:eastAsia="宋体" w:cs="宋体"/>
          <w:color w:val="auto"/>
          <w:szCs w:val="21"/>
          <w:highlight w:val="none"/>
        </w:rPr>
      </w:pPr>
    </w:p>
    <w:p w14:paraId="17FFE22D">
      <w:pPr>
        <w:pStyle w:val="17"/>
        <w:outlineLvl w:val="9"/>
        <w:rPr>
          <w:rFonts w:hint="eastAsia" w:ascii="宋体" w:hAnsi="宋体" w:eastAsia="宋体" w:cs="宋体"/>
          <w:color w:val="auto"/>
          <w:highlight w:val="none"/>
        </w:rPr>
      </w:pPr>
    </w:p>
    <w:p w14:paraId="44DD73E3">
      <w:pPr>
        <w:pStyle w:val="2"/>
        <w:numPr>
          <w:ilvl w:val="0"/>
          <w:numId w:val="11"/>
        </w:numPr>
        <w:bidi w:val="0"/>
        <w:rPr>
          <w:rFonts w:hint="eastAsia" w:ascii="宋体" w:hAnsi="宋体" w:eastAsia="宋体" w:cs="宋体"/>
          <w:color w:val="auto"/>
          <w:highlight w:val="none"/>
        </w:rPr>
      </w:pPr>
      <w:bookmarkStart w:id="309" w:name="_Toc12999"/>
      <w:bookmarkStart w:id="310" w:name="_Toc21125"/>
      <w:r>
        <w:rPr>
          <w:rFonts w:hint="eastAsia" w:ascii="宋体" w:hAnsi="宋体" w:eastAsia="宋体" w:cs="宋体"/>
          <w:color w:val="auto"/>
          <w:highlight w:val="none"/>
        </w:rPr>
        <w:t xml:space="preserve"> </w:t>
      </w:r>
      <w:bookmarkStart w:id="311" w:name="_Toc1524"/>
      <w:r>
        <w:rPr>
          <w:rFonts w:hint="eastAsia" w:ascii="宋体" w:hAnsi="宋体" w:eastAsia="宋体" w:cs="宋体"/>
          <w:color w:val="auto"/>
          <w:highlight w:val="none"/>
        </w:rPr>
        <w:t>投标文件格式</w:t>
      </w:r>
      <w:bookmarkEnd w:id="303"/>
      <w:bookmarkEnd w:id="304"/>
      <w:bookmarkEnd w:id="305"/>
      <w:bookmarkEnd w:id="309"/>
      <w:bookmarkEnd w:id="310"/>
      <w:bookmarkEnd w:id="311"/>
    </w:p>
    <w:p w14:paraId="16628D05">
      <w:pPr>
        <w:numPr>
          <w:ilvl w:val="0"/>
          <w:numId w:val="0"/>
        </w:numPr>
        <w:ind w:firstLine="5421" w:firstLineChars="1500"/>
        <w:jc w:val="both"/>
        <w:outlineLvl w:val="9"/>
        <w:rPr>
          <w:rFonts w:hint="eastAsia" w:ascii="宋体" w:hAnsi="宋体" w:eastAsia="宋体" w:cs="宋体"/>
          <w:b/>
          <w:color w:val="auto"/>
          <w:sz w:val="36"/>
          <w:szCs w:val="36"/>
          <w:highlight w:val="none"/>
        </w:rPr>
      </w:pPr>
    </w:p>
    <w:p w14:paraId="36F9D6C2">
      <w:pPr>
        <w:numPr>
          <w:ilvl w:val="0"/>
          <w:numId w:val="0"/>
        </w:numPr>
        <w:jc w:val="center"/>
        <w:outlineLvl w:val="9"/>
        <w:rPr>
          <w:rFonts w:hint="default" w:ascii="宋体" w:hAnsi="宋体" w:eastAsia="宋体" w:cs="宋体"/>
          <w:color w:val="auto"/>
          <w:highlight w:val="none"/>
          <w:u w:val="single"/>
          <w:lang w:val="en-US" w:eastAsia="zh-CN"/>
        </w:rPr>
      </w:pPr>
      <w:r>
        <w:rPr>
          <w:rFonts w:hint="eastAsia" w:ascii="宋体" w:hAnsi="宋体" w:eastAsia="宋体" w:cs="宋体"/>
          <w:b/>
          <w:color w:val="auto"/>
          <w:sz w:val="36"/>
          <w:szCs w:val="36"/>
          <w:highlight w:val="none"/>
          <w:u w:val="single"/>
        </w:rPr>
        <w:t>（项目名称）</w:t>
      </w:r>
    </w:p>
    <w:p w14:paraId="6B9B4EA0">
      <w:pPr>
        <w:pStyle w:val="33"/>
        <w:ind w:left="0" w:leftChars="0" w:firstLine="0" w:firstLineChars="0"/>
        <w:outlineLvl w:val="9"/>
        <w:rPr>
          <w:rFonts w:hint="eastAsia" w:ascii="宋体" w:hAnsi="宋体" w:eastAsia="宋体" w:cs="宋体"/>
          <w:color w:val="auto"/>
          <w:highlight w:val="none"/>
        </w:rPr>
      </w:pPr>
    </w:p>
    <w:p w14:paraId="5DC4CADB">
      <w:pPr>
        <w:pStyle w:val="33"/>
        <w:outlineLvl w:val="9"/>
        <w:rPr>
          <w:rFonts w:hint="eastAsia" w:ascii="宋体" w:hAnsi="宋体" w:eastAsia="宋体" w:cs="宋体"/>
          <w:color w:val="auto"/>
          <w:highlight w:val="none"/>
        </w:rPr>
      </w:pPr>
    </w:p>
    <w:p w14:paraId="6E8A7815">
      <w:pPr>
        <w:spacing w:line="360" w:lineRule="auto"/>
        <w:jc w:val="center"/>
        <w:outlineLvl w:val="9"/>
        <w:rPr>
          <w:rFonts w:hint="eastAsia" w:ascii="宋体" w:hAnsi="宋体" w:eastAsia="宋体" w:cs="宋体"/>
          <w:b/>
          <w:color w:val="auto"/>
          <w:spacing w:val="24"/>
          <w:kern w:val="10"/>
          <w:sz w:val="52"/>
          <w:szCs w:val="52"/>
          <w:highlight w:val="none"/>
        </w:rPr>
      </w:pPr>
      <w:r>
        <w:rPr>
          <w:rFonts w:hint="eastAsia" w:ascii="宋体" w:hAnsi="宋体" w:eastAsia="宋体" w:cs="宋体"/>
          <w:b/>
          <w:color w:val="auto"/>
          <w:spacing w:val="24"/>
          <w:kern w:val="10"/>
          <w:sz w:val="52"/>
          <w:szCs w:val="52"/>
          <w:highlight w:val="none"/>
        </w:rPr>
        <w:t>投  标  文  件</w:t>
      </w:r>
    </w:p>
    <w:p w14:paraId="44108DF6">
      <w:pPr>
        <w:jc w:val="center"/>
        <w:outlineLvl w:val="9"/>
        <w:rPr>
          <w:rFonts w:hint="eastAsia" w:ascii="宋体" w:hAnsi="宋体" w:eastAsia="宋体" w:cs="宋体"/>
          <w:color w:val="auto"/>
          <w:sz w:val="24"/>
          <w:highlight w:val="none"/>
        </w:rPr>
      </w:pPr>
    </w:p>
    <w:p w14:paraId="31ABCACE">
      <w:pPr>
        <w:jc w:val="center"/>
        <w:outlineLvl w:val="9"/>
        <w:rPr>
          <w:rFonts w:hint="eastAsia" w:ascii="宋体" w:hAnsi="宋体" w:eastAsia="宋体" w:cs="宋体"/>
          <w:color w:val="auto"/>
          <w:sz w:val="24"/>
          <w:highlight w:val="none"/>
        </w:rPr>
      </w:pPr>
    </w:p>
    <w:p w14:paraId="4E8FD741">
      <w:pPr>
        <w:jc w:val="center"/>
        <w:outlineLvl w:val="9"/>
        <w:rPr>
          <w:rFonts w:hint="eastAsia" w:ascii="宋体" w:hAnsi="宋体" w:eastAsia="宋体" w:cs="宋体"/>
          <w:color w:val="auto"/>
          <w:sz w:val="24"/>
          <w:highlight w:val="none"/>
        </w:rPr>
      </w:pPr>
    </w:p>
    <w:p w14:paraId="1A3B6571">
      <w:pPr>
        <w:jc w:val="center"/>
        <w:outlineLvl w:val="9"/>
        <w:rPr>
          <w:rFonts w:hint="eastAsia" w:ascii="宋体" w:hAnsi="宋体" w:eastAsia="宋体" w:cs="宋体"/>
          <w:color w:val="auto"/>
          <w:sz w:val="24"/>
          <w:highlight w:val="none"/>
        </w:rPr>
      </w:pPr>
    </w:p>
    <w:p w14:paraId="2E5831F6">
      <w:pPr>
        <w:outlineLvl w:val="9"/>
        <w:rPr>
          <w:rFonts w:hint="eastAsia" w:ascii="宋体" w:hAnsi="宋体" w:eastAsia="宋体" w:cs="宋体"/>
          <w:color w:val="auto"/>
          <w:sz w:val="24"/>
          <w:highlight w:val="none"/>
        </w:rPr>
      </w:pPr>
    </w:p>
    <w:p w14:paraId="25716392">
      <w:pPr>
        <w:jc w:val="center"/>
        <w:outlineLvl w:val="9"/>
        <w:rPr>
          <w:rFonts w:hint="eastAsia" w:ascii="宋体" w:hAnsi="宋体" w:eastAsia="宋体" w:cs="宋体"/>
          <w:color w:val="auto"/>
          <w:sz w:val="24"/>
          <w:highlight w:val="none"/>
        </w:rPr>
      </w:pPr>
    </w:p>
    <w:p w14:paraId="5A8FAAAF">
      <w:pPr>
        <w:jc w:val="center"/>
        <w:outlineLvl w:val="9"/>
        <w:rPr>
          <w:rFonts w:hint="eastAsia" w:ascii="宋体" w:hAnsi="宋体" w:eastAsia="宋体" w:cs="宋体"/>
          <w:color w:val="auto"/>
          <w:sz w:val="24"/>
          <w:highlight w:val="none"/>
        </w:rPr>
      </w:pPr>
    </w:p>
    <w:p w14:paraId="1C9D578F">
      <w:pPr>
        <w:jc w:val="center"/>
        <w:outlineLvl w:val="9"/>
        <w:rPr>
          <w:rFonts w:hint="eastAsia" w:ascii="宋体" w:hAnsi="宋体" w:eastAsia="宋体" w:cs="宋体"/>
          <w:color w:val="auto"/>
          <w:sz w:val="24"/>
          <w:highlight w:val="none"/>
        </w:rPr>
      </w:pPr>
    </w:p>
    <w:p w14:paraId="6055C98A">
      <w:pPr>
        <w:jc w:val="center"/>
        <w:outlineLvl w:val="9"/>
        <w:rPr>
          <w:rFonts w:hint="eastAsia" w:ascii="宋体" w:hAnsi="宋体" w:eastAsia="宋体" w:cs="宋体"/>
          <w:color w:val="auto"/>
          <w:sz w:val="24"/>
          <w:highlight w:val="none"/>
        </w:rPr>
      </w:pPr>
    </w:p>
    <w:p w14:paraId="611D8E74">
      <w:pPr>
        <w:jc w:val="center"/>
        <w:outlineLvl w:val="9"/>
        <w:rPr>
          <w:rFonts w:hint="eastAsia" w:ascii="宋体" w:hAnsi="宋体" w:eastAsia="宋体" w:cs="宋体"/>
          <w:color w:val="auto"/>
          <w:sz w:val="24"/>
          <w:highlight w:val="none"/>
        </w:rPr>
      </w:pPr>
    </w:p>
    <w:p w14:paraId="5CBF686E">
      <w:pPr>
        <w:jc w:val="center"/>
        <w:outlineLvl w:val="9"/>
        <w:rPr>
          <w:rFonts w:hint="eastAsia" w:ascii="宋体" w:hAnsi="宋体" w:eastAsia="宋体" w:cs="宋体"/>
          <w:color w:val="auto"/>
          <w:sz w:val="24"/>
          <w:highlight w:val="none"/>
        </w:rPr>
      </w:pPr>
    </w:p>
    <w:p w14:paraId="1BC9E19A">
      <w:pPr>
        <w:jc w:val="center"/>
        <w:outlineLvl w:val="9"/>
        <w:rPr>
          <w:rFonts w:hint="eastAsia" w:ascii="宋体" w:hAnsi="宋体" w:eastAsia="宋体" w:cs="宋体"/>
          <w:b/>
          <w:color w:val="auto"/>
          <w:sz w:val="24"/>
          <w:highlight w:val="none"/>
        </w:rPr>
      </w:pPr>
    </w:p>
    <w:p w14:paraId="28BDC80D">
      <w:pPr>
        <w:pStyle w:val="20"/>
        <w:spacing w:line="600" w:lineRule="exact"/>
        <w:ind w:firstLine="768" w:firstLineChars="300"/>
        <w:outlineLvl w:val="9"/>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投标人名称：</w:t>
      </w:r>
      <w:r>
        <w:rPr>
          <w:rFonts w:hint="eastAsia" w:ascii="宋体" w:hAnsi="宋体" w:eastAsia="宋体" w:cs="宋体"/>
          <w:color w:val="auto"/>
          <w:spacing w:val="8"/>
          <w:sz w:val="24"/>
          <w:highlight w:val="none"/>
          <w:u w:val="single"/>
        </w:rPr>
        <w:t xml:space="preserve">                  </w:t>
      </w:r>
      <w:r>
        <w:rPr>
          <w:rFonts w:hint="eastAsia" w:ascii="宋体" w:hAnsi="宋体" w:eastAsia="宋体" w:cs="宋体"/>
          <w:color w:val="auto"/>
          <w:sz w:val="24"/>
          <w:highlight w:val="none"/>
        </w:rPr>
        <w:t>（单位电子签章）</w:t>
      </w:r>
    </w:p>
    <w:p w14:paraId="0E867D3E">
      <w:pPr>
        <w:pStyle w:val="20"/>
        <w:spacing w:line="600" w:lineRule="exact"/>
        <w:ind w:firstLine="720" w:firstLineChars="3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bCs/>
          <w:color w:val="auto"/>
          <w:sz w:val="24"/>
          <w:szCs w:val="20"/>
          <w:highlight w:val="none"/>
        </w:rPr>
        <w:t>其</w:t>
      </w:r>
      <w:r>
        <w:rPr>
          <w:rFonts w:hint="eastAsia" w:ascii="宋体" w:hAnsi="宋体" w:eastAsia="宋体" w:cs="宋体"/>
          <w:color w:val="auto"/>
          <w:spacing w:val="12"/>
          <w:sz w:val="24"/>
          <w:highlight w:val="none"/>
        </w:rPr>
        <w:t>委托代理人：</w:t>
      </w:r>
      <w:r>
        <w:rPr>
          <w:rFonts w:hint="eastAsia" w:ascii="宋体" w:hAnsi="宋体" w:eastAsia="宋体" w:cs="宋体"/>
          <w:color w:val="auto"/>
          <w:spacing w:val="8"/>
          <w:sz w:val="24"/>
          <w:highlight w:val="none"/>
          <w:u w:val="single"/>
        </w:rPr>
        <w:t xml:space="preserve">                </w:t>
      </w:r>
      <w:r>
        <w:rPr>
          <w:rFonts w:hint="eastAsia" w:ascii="宋体" w:hAnsi="宋体" w:eastAsia="宋体" w:cs="宋体"/>
          <w:color w:val="auto"/>
          <w:sz w:val="24"/>
          <w:highlight w:val="none"/>
        </w:rPr>
        <w:t xml:space="preserve">（签字或盖章）  </w:t>
      </w:r>
    </w:p>
    <w:p w14:paraId="2B51A7F8">
      <w:pPr>
        <w:pStyle w:val="20"/>
        <w:spacing w:line="600" w:lineRule="exact"/>
        <w:ind w:firstLine="720" w:firstLineChars="300"/>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24"/>
          <w:highlight w:val="none"/>
        </w:rPr>
        <w:t>日       期：       年    月    日</w:t>
      </w:r>
    </w:p>
    <w:p w14:paraId="3E91ABEA">
      <w:pPr>
        <w:ind w:firstLine="540" w:firstLineChars="192"/>
        <w:jc w:val="center"/>
        <w:outlineLvl w:val="9"/>
        <w:rPr>
          <w:rFonts w:hint="eastAsia" w:ascii="宋体" w:hAnsi="宋体" w:eastAsia="宋体" w:cs="宋体"/>
          <w:b/>
          <w:bCs/>
          <w:color w:val="auto"/>
          <w:sz w:val="28"/>
          <w:szCs w:val="28"/>
          <w:highlight w:val="none"/>
        </w:rPr>
      </w:pPr>
    </w:p>
    <w:p w14:paraId="0A4A4E71">
      <w:pPr>
        <w:ind w:firstLine="848" w:firstLineChars="192"/>
        <w:jc w:val="center"/>
        <w:outlineLvl w:val="9"/>
        <w:rPr>
          <w:rFonts w:hint="eastAsia" w:ascii="宋体" w:hAnsi="宋体" w:eastAsia="宋体" w:cs="宋体"/>
          <w:b/>
          <w:bCs/>
          <w:color w:val="auto"/>
          <w:sz w:val="44"/>
          <w:szCs w:val="44"/>
          <w:highlight w:val="none"/>
        </w:rPr>
      </w:pPr>
    </w:p>
    <w:p w14:paraId="4D369820">
      <w:pPr>
        <w:outlineLvl w:val="9"/>
        <w:rPr>
          <w:rFonts w:hint="eastAsia" w:ascii="宋体" w:hAnsi="宋体" w:eastAsia="宋体" w:cs="宋体"/>
          <w:color w:val="auto"/>
          <w:highlight w:val="none"/>
        </w:rPr>
      </w:pPr>
      <w:bookmarkStart w:id="312" w:name="_Toc19407"/>
    </w:p>
    <w:p w14:paraId="494D41A2">
      <w:pPr>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bookmarkEnd w:id="312"/>
    </w:p>
    <w:p w14:paraId="44FB9D57">
      <w:pPr>
        <w:spacing w:line="360" w:lineRule="auto"/>
        <w:jc w:val="center"/>
        <w:outlineLvl w:val="9"/>
        <w:rPr>
          <w:rFonts w:hint="eastAsia" w:ascii="宋体" w:hAnsi="宋体" w:eastAsia="宋体" w:cs="宋体"/>
          <w:color w:val="auto"/>
          <w:sz w:val="24"/>
          <w:szCs w:val="32"/>
          <w:highlight w:val="none"/>
        </w:rPr>
      </w:pPr>
      <w:bookmarkStart w:id="313" w:name="_Toc31547"/>
      <w:bookmarkStart w:id="314" w:name="_Toc2130"/>
      <w:r>
        <w:rPr>
          <w:rFonts w:hint="eastAsia" w:ascii="宋体" w:hAnsi="宋体" w:eastAsia="宋体" w:cs="宋体"/>
          <w:color w:val="auto"/>
          <w:sz w:val="24"/>
          <w:szCs w:val="32"/>
          <w:highlight w:val="none"/>
        </w:rPr>
        <w:t>（供应商根据要求自行编制目录及页码）</w:t>
      </w:r>
    </w:p>
    <w:p w14:paraId="5A9973E3">
      <w:pPr>
        <w:pStyle w:val="3"/>
        <w:bidi w:val="0"/>
        <w:rPr>
          <w:rFonts w:hint="eastAsia" w:ascii="宋体" w:hAnsi="宋体" w:eastAsia="宋体" w:cs="宋体"/>
          <w:b/>
          <w:bCs/>
          <w:color w:val="auto"/>
          <w:szCs w:val="28"/>
          <w:highlight w:val="none"/>
        </w:rPr>
      </w:pPr>
      <w:r>
        <w:rPr>
          <w:rFonts w:hint="eastAsia" w:ascii="宋体" w:hAnsi="宋体" w:eastAsia="宋体" w:cs="宋体"/>
          <w:color w:val="auto"/>
          <w:szCs w:val="21"/>
          <w:highlight w:val="none"/>
        </w:rPr>
        <w:br w:type="page"/>
      </w:r>
      <w:bookmarkStart w:id="315" w:name="_Toc2997"/>
      <w:bookmarkStart w:id="316" w:name="_Toc1921"/>
      <w:r>
        <w:rPr>
          <w:rFonts w:hint="eastAsia" w:ascii="宋体" w:hAnsi="宋体" w:eastAsia="宋体" w:cs="宋体"/>
          <w:color w:val="auto"/>
          <w:highlight w:val="none"/>
        </w:rPr>
        <w:t>一、投标函</w:t>
      </w:r>
      <w:bookmarkEnd w:id="313"/>
      <w:r>
        <w:rPr>
          <w:rFonts w:hint="eastAsia" w:ascii="宋体" w:hAnsi="宋体" w:eastAsia="宋体" w:cs="宋体"/>
          <w:color w:val="auto"/>
          <w:highlight w:val="none"/>
        </w:rPr>
        <w:t>及开标一览表</w:t>
      </w:r>
      <w:bookmarkEnd w:id="314"/>
      <w:bookmarkEnd w:id="315"/>
      <w:bookmarkEnd w:id="316"/>
    </w:p>
    <w:p w14:paraId="6C11E8E1">
      <w:pPr>
        <w:pStyle w:val="4"/>
        <w:numPr>
          <w:ilvl w:val="0"/>
          <w:numId w:val="12"/>
        </w:numPr>
        <w:bidi w:val="0"/>
        <w:rPr>
          <w:rFonts w:hint="eastAsia" w:ascii="宋体" w:hAnsi="宋体" w:eastAsia="宋体" w:cs="宋体"/>
          <w:color w:val="auto"/>
          <w:highlight w:val="none"/>
        </w:rPr>
      </w:pPr>
      <w:bookmarkStart w:id="317" w:name="_Toc27218"/>
      <w:bookmarkStart w:id="318" w:name="_Toc23891"/>
      <w:bookmarkStart w:id="319" w:name="_Toc28684"/>
      <w:bookmarkStart w:id="320" w:name="_Toc12044"/>
      <w:bookmarkStart w:id="321" w:name="_Toc600"/>
      <w:r>
        <w:rPr>
          <w:rFonts w:hint="eastAsia" w:ascii="宋体" w:hAnsi="宋体" w:eastAsia="宋体" w:cs="宋体"/>
          <w:color w:val="auto"/>
          <w:highlight w:val="none"/>
        </w:rPr>
        <w:t>投标函</w:t>
      </w:r>
      <w:bookmarkEnd w:id="317"/>
      <w:bookmarkEnd w:id="318"/>
      <w:bookmarkEnd w:id="319"/>
      <w:bookmarkEnd w:id="320"/>
      <w:bookmarkEnd w:id="321"/>
    </w:p>
    <w:p w14:paraId="0A3A1258">
      <w:pPr>
        <w:pStyle w:val="33"/>
        <w:outlineLvl w:val="9"/>
        <w:rPr>
          <w:rFonts w:hint="eastAsia" w:ascii="宋体" w:hAnsi="宋体" w:eastAsia="宋体" w:cs="宋体"/>
          <w:color w:val="auto"/>
          <w:highlight w:val="none"/>
        </w:rPr>
      </w:pPr>
    </w:p>
    <w:p w14:paraId="439EB0CB">
      <w:pPr>
        <w:widowControl/>
        <w:spacing w:line="360" w:lineRule="auto"/>
        <w:ind w:firstLine="482" w:firstLineChars="200"/>
        <w:outlineLvl w:val="9"/>
        <w:rPr>
          <w:rFonts w:hint="eastAsia" w:ascii="宋体" w:hAnsi="宋体" w:eastAsia="宋体" w:cs="宋体"/>
          <w:b/>
          <w:bCs/>
          <w:color w:val="auto"/>
          <w:kern w:val="0"/>
          <w:sz w:val="24"/>
          <w:szCs w:val="24"/>
          <w:highlight w:val="none"/>
          <w:u w:val="single"/>
        </w:rPr>
      </w:pPr>
      <w:r>
        <w:rPr>
          <w:rFonts w:hint="eastAsia" w:ascii="宋体" w:hAnsi="宋体" w:eastAsia="宋体" w:cs="宋体"/>
          <w:b/>
          <w:bCs/>
          <w:color w:val="auto"/>
          <w:kern w:val="0"/>
          <w:sz w:val="24"/>
          <w:szCs w:val="24"/>
          <w:highlight w:val="none"/>
        </w:rPr>
        <w:t>致：</w:t>
      </w:r>
      <w:r>
        <w:rPr>
          <w:rFonts w:hint="eastAsia" w:ascii="宋体" w:hAnsi="宋体" w:eastAsia="宋体" w:cs="宋体"/>
          <w:b/>
          <w:bCs/>
          <w:color w:val="auto"/>
          <w:kern w:val="0"/>
          <w:sz w:val="24"/>
          <w:szCs w:val="24"/>
          <w:highlight w:val="none"/>
          <w:u w:val="single"/>
        </w:rPr>
        <w:t xml:space="preserve">                    （采购人名称） </w:t>
      </w:r>
    </w:p>
    <w:p w14:paraId="4AE67C10">
      <w:pPr>
        <w:pStyle w:val="32"/>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我单位已收到的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w:t>
      </w:r>
      <w:r>
        <w:rPr>
          <w:rFonts w:ascii="宋体" w:hAnsi="宋体" w:eastAsia="宋体" w:cs="宋体"/>
          <w:spacing w:val="-14"/>
          <w:sz w:val="24"/>
          <w:szCs w:val="24"/>
          <w:highlight w:val="none"/>
        </w:rPr>
        <w:t>（</w:t>
      </w:r>
      <w:r>
        <w:rPr>
          <w:rFonts w:ascii="宋体" w:hAnsi="宋体" w:eastAsia="宋体" w:cs="宋体"/>
          <w:spacing w:val="-1"/>
          <w:sz w:val="24"/>
          <w:szCs w:val="24"/>
          <w:highlight w:val="none"/>
        </w:rPr>
        <w:t>采购编号</w:t>
      </w:r>
      <w:r>
        <w:rPr>
          <w:rFonts w:ascii="宋体" w:hAnsi="宋体" w:eastAsia="宋体" w:cs="宋体"/>
          <w:spacing w:val="-14"/>
          <w:sz w:val="24"/>
          <w:szCs w:val="24"/>
          <w:highlight w:val="none"/>
        </w:rPr>
        <w:t>：</w:t>
      </w:r>
      <w:r>
        <w:rPr>
          <w:rFonts w:ascii="宋体" w:hAnsi="宋体" w:eastAsia="宋体" w:cs="宋体"/>
          <w:sz w:val="24"/>
          <w:szCs w:val="24"/>
          <w:highlight w:val="none"/>
          <w:u w:val="single" w:color="auto"/>
        </w:rPr>
        <w:t xml:space="preserve"> </w:t>
      </w:r>
      <w:r>
        <w:rPr>
          <w:rFonts w:hint="eastAsia" w:ascii="宋体" w:hAnsi="宋体" w:eastAsia="宋体" w:cs="宋体"/>
          <w:sz w:val="24"/>
          <w:szCs w:val="24"/>
          <w:highlight w:val="none"/>
          <w:u w:val="single" w:color="auto"/>
        </w:rPr>
        <w:t>博政采购（2025</w:t>
      </w:r>
      <w:r>
        <w:rPr>
          <w:rFonts w:hint="eastAsia" w:ascii="宋体" w:hAnsi="宋体" w:eastAsia="宋体" w:cs="宋体"/>
          <w:sz w:val="24"/>
          <w:szCs w:val="24"/>
          <w:highlight w:val="none"/>
          <w:u w:val="single" w:color="auto"/>
          <w:lang w:eastAsia="zh-CN"/>
        </w:rPr>
        <w:t>）</w:t>
      </w:r>
      <w:r>
        <w:rPr>
          <w:rFonts w:hint="eastAsia" w:ascii="宋体" w:hAnsi="宋体" w:eastAsia="宋体" w:cs="宋体"/>
          <w:sz w:val="24"/>
          <w:szCs w:val="24"/>
          <w:highlight w:val="none"/>
          <w:u w:val="single" w:color="auto"/>
          <w:lang w:val="en-US" w:eastAsia="zh-CN"/>
        </w:rPr>
        <w:t>102</w:t>
      </w:r>
      <w:r>
        <w:rPr>
          <w:rFonts w:hint="eastAsia" w:ascii="宋体" w:hAnsi="宋体" w:eastAsia="宋体" w:cs="宋体"/>
          <w:sz w:val="24"/>
          <w:szCs w:val="24"/>
          <w:highlight w:val="none"/>
          <w:u w:val="single" w:color="auto"/>
        </w:rPr>
        <w:t>号</w:t>
      </w:r>
      <w:r>
        <w:rPr>
          <w:rFonts w:ascii="宋体" w:hAnsi="宋体" w:eastAsia="宋体" w:cs="宋体"/>
          <w:sz w:val="24"/>
          <w:szCs w:val="24"/>
          <w:highlight w:val="none"/>
          <w:u w:val="single" w:color="auto"/>
        </w:rPr>
        <w:t xml:space="preserve"> </w:t>
      </w:r>
      <w:r>
        <w:rPr>
          <w:rFonts w:ascii="宋体" w:hAnsi="宋体" w:eastAsia="宋体" w:cs="宋体"/>
          <w:spacing w:val="-78"/>
          <w:sz w:val="24"/>
          <w:szCs w:val="24"/>
          <w:highlight w:val="none"/>
        </w:rPr>
        <w:t xml:space="preserve"> </w:t>
      </w:r>
      <w:r>
        <w:rPr>
          <w:rFonts w:ascii="宋体" w:hAnsi="宋体" w:eastAsia="宋体" w:cs="宋体"/>
          <w:spacing w:val="-14"/>
          <w:sz w:val="24"/>
          <w:szCs w:val="24"/>
          <w:highlight w:val="none"/>
        </w:rPr>
        <w:t>）</w:t>
      </w:r>
      <w:r>
        <w:rPr>
          <w:rFonts w:hint="eastAsia" w:ascii="宋体" w:hAnsi="宋体" w:eastAsia="宋体" w:cs="宋体"/>
          <w:color w:val="auto"/>
          <w:sz w:val="24"/>
          <w:highlight w:val="none"/>
        </w:rPr>
        <w:t>采购文件及有关纪要通知，现对参与投标及中标后工作，做出如下郑重承诺：</w:t>
      </w:r>
    </w:p>
    <w:p w14:paraId="2680EE84">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1.我方愿以总价为人民币（大写）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（小写）￥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元，合同履行期限（供货安装期）：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，按合同约定实施和完成本项目。 </w:t>
      </w:r>
    </w:p>
    <w:p w14:paraId="76A8BA51">
      <w:pPr>
        <w:widowControl/>
        <w:spacing w:line="360" w:lineRule="auto"/>
        <w:ind w:firstLine="480" w:firstLineChars="200"/>
        <w:outlineLvl w:val="9"/>
        <w:rPr>
          <w:rFonts w:hint="eastAsia" w:ascii="宋体" w:hAnsi="宋体" w:eastAsia="宋体" w:cs="宋体"/>
          <w:strike/>
          <w:color w:val="auto"/>
          <w:sz w:val="24"/>
          <w:highlight w:val="none"/>
        </w:rPr>
      </w:pPr>
      <w:r>
        <w:rPr>
          <w:rFonts w:hint="eastAsia" w:ascii="宋体" w:hAnsi="宋体" w:eastAsia="宋体" w:cs="宋体"/>
          <w:color w:val="auto"/>
          <w:sz w:val="24"/>
          <w:highlight w:val="none"/>
        </w:rPr>
        <w:t>2.在投标文件递交截止时间后至确定中标人的</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"https://baike.so.com/doc/5394983-5632135.html" \t "https://baike.so.com/doc/_blank"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投标有效期</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内，我单位不得要求退出竞标或者修改投标文件。</w:t>
      </w:r>
    </w:p>
    <w:p w14:paraId="78104717">
      <w:pPr>
        <w:widowControl/>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3.我方明白采购人不一定接纳最低投标报价的采购，也不需要采购人解释选择或否决任何投标人的原因和理由。</w:t>
      </w:r>
    </w:p>
    <w:p w14:paraId="13194EDC">
      <w:pPr>
        <w:widowControl/>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参与本项目投标的所有资料真实有效，未在投标文件中提供虚假材料，无陪标、串标等违法行为。若相关部门查实或被不见面开标系统提示为“投标文件制作机器码一致”的，同意被视为投标无效，接受报监管部门依法作出的处理。</w:t>
      </w:r>
    </w:p>
    <w:p w14:paraId="5A70A6CE">
      <w:pPr>
        <w:spacing w:line="360" w:lineRule="auto"/>
        <w:ind w:firstLine="480" w:firstLineChars="200"/>
        <w:jc w:val="left"/>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5.一旦我方中标，我方在收到中标通知书后15日内，依据采购文件、投标文件与采购人签订合同。若由于我方原因在15日内因非不可抗力拒绝与采购人签订合同的，愿意接受相关部门依法作出的处罚。合同签订后严格按照合同履约，并配合采购人完成履约验收。</w:t>
      </w:r>
    </w:p>
    <w:p w14:paraId="1D58D3E0">
      <w:pPr>
        <w:adjustRightInd w:val="0"/>
        <w:snapToGrid w:val="0"/>
        <w:spacing w:before="190" w:beforeLines="50" w:line="360" w:lineRule="auto"/>
        <w:ind w:right="96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pacing w:val="8"/>
          <w:sz w:val="24"/>
          <w:highlight w:val="none"/>
          <w:u w:val="single"/>
        </w:rPr>
        <w:t xml:space="preserve">                  </w:t>
      </w:r>
      <w:r>
        <w:rPr>
          <w:rFonts w:hint="eastAsia" w:ascii="宋体" w:hAnsi="宋体" w:eastAsia="宋体" w:cs="宋体"/>
          <w:color w:val="auto"/>
          <w:sz w:val="24"/>
          <w:highlight w:val="none"/>
        </w:rPr>
        <w:t>（单位电子签章）</w:t>
      </w:r>
    </w:p>
    <w:p w14:paraId="633DBDA3">
      <w:pPr>
        <w:adjustRightInd w:val="0"/>
        <w:snapToGrid w:val="0"/>
        <w:spacing w:before="190" w:beforeLines="50" w:line="360" w:lineRule="auto"/>
        <w:ind w:right="420"/>
        <w:outlineLvl w:val="9"/>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法定代表人或</w:t>
      </w:r>
      <w:r>
        <w:rPr>
          <w:rFonts w:hint="eastAsia" w:ascii="宋体" w:hAnsi="宋体" w:eastAsia="宋体" w:cs="宋体"/>
          <w:bCs/>
          <w:color w:val="auto"/>
          <w:sz w:val="24"/>
          <w:szCs w:val="20"/>
          <w:highlight w:val="none"/>
        </w:rPr>
        <w:t>其</w:t>
      </w:r>
      <w:r>
        <w:rPr>
          <w:rFonts w:hint="eastAsia" w:ascii="宋体" w:hAnsi="宋体" w:eastAsia="宋体" w:cs="宋体"/>
          <w:color w:val="auto"/>
          <w:kern w:val="0"/>
          <w:sz w:val="24"/>
          <w:highlight w:val="none"/>
        </w:rPr>
        <w:t>委托代理人：</w:t>
      </w:r>
      <w:r>
        <w:rPr>
          <w:rFonts w:hint="eastAsia" w:ascii="宋体" w:hAnsi="宋体" w:eastAsia="宋体" w:cs="宋体"/>
          <w:color w:val="auto"/>
          <w:spacing w:val="8"/>
          <w:sz w:val="24"/>
          <w:highlight w:val="none"/>
          <w:u w:val="single"/>
        </w:rPr>
        <w:t xml:space="preserve">                  </w:t>
      </w:r>
      <w:r>
        <w:rPr>
          <w:rFonts w:hint="eastAsia" w:ascii="宋体" w:hAnsi="宋体" w:eastAsia="宋体" w:cs="宋体"/>
          <w:color w:val="auto"/>
          <w:kern w:val="0"/>
          <w:sz w:val="24"/>
          <w:highlight w:val="none"/>
        </w:rPr>
        <w:t>（签字或盖章）</w:t>
      </w:r>
    </w:p>
    <w:p w14:paraId="16DB1ABB">
      <w:pPr>
        <w:adjustRightInd w:val="0"/>
        <w:snapToGri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日期：    </w:t>
      </w:r>
      <w:r>
        <w:rPr>
          <w:rFonts w:hint="eastAsia" w:ascii="宋体" w:hAnsi="宋体" w:eastAsia="宋体" w:cs="宋体"/>
          <w:color w:val="auto"/>
          <w:sz w:val="24"/>
          <w:highlight w:val="none"/>
        </w:rPr>
        <w:t>年   月    日</w:t>
      </w:r>
    </w:p>
    <w:p w14:paraId="1E8FEE2C">
      <w:pPr>
        <w:pStyle w:val="4"/>
        <w:bidi w:val="0"/>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br w:type="page"/>
      </w:r>
      <w:bookmarkStart w:id="322" w:name="_Toc14778"/>
      <w:bookmarkStart w:id="323" w:name="_Toc31291"/>
      <w:bookmarkStart w:id="324" w:name="_Toc9543"/>
      <w:bookmarkStart w:id="325" w:name="_Toc208"/>
      <w:bookmarkStart w:id="326" w:name="_Toc9084"/>
      <w:r>
        <w:rPr>
          <w:rFonts w:hint="eastAsia" w:ascii="宋体" w:hAnsi="宋体" w:eastAsia="宋体" w:cs="宋体"/>
          <w:color w:val="auto"/>
          <w:highlight w:val="none"/>
        </w:rPr>
        <w:t>（二） 开标一览表</w:t>
      </w:r>
      <w:bookmarkEnd w:id="322"/>
      <w:bookmarkEnd w:id="323"/>
      <w:bookmarkEnd w:id="324"/>
      <w:bookmarkEnd w:id="325"/>
      <w:bookmarkEnd w:id="326"/>
    </w:p>
    <w:p w14:paraId="6E229060">
      <w:pPr>
        <w:jc w:val="center"/>
        <w:outlineLvl w:val="9"/>
        <w:rPr>
          <w:rFonts w:hint="eastAsia" w:ascii="宋体" w:hAnsi="宋体" w:eastAsia="宋体" w:cs="宋体"/>
          <w:b/>
          <w:bCs/>
          <w:color w:val="auto"/>
          <w:sz w:val="28"/>
          <w:highlight w:val="none"/>
        </w:rPr>
      </w:pPr>
    </w:p>
    <w:tbl>
      <w:tblPr>
        <w:tblStyle w:val="34"/>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1"/>
        <w:gridCol w:w="5768"/>
      </w:tblGrid>
      <w:tr w14:paraId="6A73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jc w:val="center"/>
        </w:trPr>
        <w:tc>
          <w:tcPr>
            <w:tcW w:w="2891" w:type="dxa"/>
            <w:vAlign w:val="center"/>
          </w:tcPr>
          <w:p w14:paraId="6E1AE57B">
            <w:pPr>
              <w:spacing w:line="30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5768" w:type="dxa"/>
            <w:vAlign w:val="center"/>
          </w:tcPr>
          <w:p w14:paraId="4662E627">
            <w:pPr>
              <w:pStyle w:val="18"/>
              <w:spacing w:line="400" w:lineRule="exact"/>
              <w:ind w:firstLine="480"/>
              <w:outlineLvl w:val="9"/>
              <w:rPr>
                <w:rFonts w:hint="eastAsia" w:ascii="宋体" w:hAnsi="宋体" w:eastAsia="宋体" w:cs="宋体"/>
                <w:color w:val="auto"/>
                <w:sz w:val="24"/>
                <w:szCs w:val="20"/>
                <w:highlight w:val="none"/>
              </w:rPr>
            </w:pPr>
          </w:p>
        </w:tc>
      </w:tr>
      <w:tr w14:paraId="79E0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2891" w:type="dxa"/>
            <w:vAlign w:val="center"/>
          </w:tcPr>
          <w:p w14:paraId="11941779">
            <w:pPr>
              <w:spacing w:line="30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p>
        </w:tc>
        <w:tc>
          <w:tcPr>
            <w:tcW w:w="5768" w:type="dxa"/>
            <w:vAlign w:val="center"/>
          </w:tcPr>
          <w:p w14:paraId="3465AC12">
            <w:pPr>
              <w:pStyle w:val="18"/>
              <w:spacing w:line="400" w:lineRule="exact"/>
              <w:ind w:firstLine="480"/>
              <w:outlineLvl w:val="9"/>
              <w:rPr>
                <w:rFonts w:hint="eastAsia" w:ascii="宋体" w:hAnsi="宋体" w:eastAsia="宋体" w:cs="宋体"/>
                <w:color w:val="auto"/>
                <w:sz w:val="24"/>
                <w:szCs w:val="20"/>
                <w:highlight w:val="none"/>
              </w:rPr>
            </w:pPr>
          </w:p>
        </w:tc>
      </w:tr>
      <w:tr w14:paraId="2DC1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jc w:val="center"/>
        </w:trPr>
        <w:tc>
          <w:tcPr>
            <w:tcW w:w="2891" w:type="dxa"/>
            <w:vAlign w:val="center"/>
          </w:tcPr>
          <w:p w14:paraId="7E9414CA">
            <w:pPr>
              <w:spacing w:line="30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投标总报价</w:t>
            </w:r>
          </w:p>
        </w:tc>
        <w:tc>
          <w:tcPr>
            <w:tcW w:w="5768" w:type="dxa"/>
            <w:vAlign w:val="center"/>
          </w:tcPr>
          <w:p w14:paraId="4CE891F5">
            <w:pPr>
              <w:pStyle w:val="18"/>
              <w:spacing w:line="400" w:lineRule="exact"/>
              <w:ind w:firstLine="480"/>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（大写）                                </w:t>
            </w:r>
          </w:p>
          <w:p w14:paraId="35091794">
            <w:pPr>
              <w:pStyle w:val="18"/>
              <w:spacing w:line="400" w:lineRule="exact"/>
              <w:ind w:firstLine="480"/>
              <w:outlineLvl w:val="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（小写）                                </w:t>
            </w:r>
          </w:p>
        </w:tc>
      </w:tr>
      <w:tr w14:paraId="2147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2891" w:type="dxa"/>
            <w:vAlign w:val="center"/>
          </w:tcPr>
          <w:p w14:paraId="3B2597DC">
            <w:pPr>
              <w:spacing w:line="30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质量标准</w:t>
            </w:r>
          </w:p>
        </w:tc>
        <w:tc>
          <w:tcPr>
            <w:tcW w:w="5768" w:type="dxa"/>
            <w:vAlign w:val="center"/>
          </w:tcPr>
          <w:p w14:paraId="4376DE0A">
            <w:pPr>
              <w:pStyle w:val="18"/>
              <w:spacing w:line="400" w:lineRule="exact"/>
              <w:ind w:firstLine="480"/>
              <w:outlineLvl w:val="9"/>
              <w:rPr>
                <w:rFonts w:hint="eastAsia" w:ascii="宋体" w:hAnsi="宋体" w:eastAsia="宋体" w:cs="宋体"/>
                <w:color w:val="auto"/>
                <w:sz w:val="24"/>
                <w:szCs w:val="20"/>
                <w:highlight w:val="none"/>
              </w:rPr>
            </w:pPr>
          </w:p>
        </w:tc>
      </w:tr>
      <w:tr w14:paraId="2B99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2891" w:type="dxa"/>
            <w:vAlign w:val="center"/>
          </w:tcPr>
          <w:p w14:paraId="56933656">
            <w:pPr>
              <w:spacing w:line="30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合同履行期限</w:t>
            </w:r>
          </w:p>
          <w:p w14:paraId="11551F47">
            <w:pPr>
              <w:spacing w:line="30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（供货安装期）</w:t>
            </w:r>
          </w:p>
        </w:tc>
        <w:tc>
          <w:tcPr>
            <w:tcW w:w="5768" w:type="dxa"/>
            <w:vAlign w:val="center"/>
          </w:tcPr>
          <w:p w14:paraId="3990C3DF">
            <w:pPr>
              <w:pStyle w:val="18"/>
              <w:spacing w:line="400" w:lineRule="exact"/>
              <w:ind w:firstLine="480"/>
              <w:outlineLvl w:val="9"/>
              <w:rPr>
                <w:rFonts w:hint="eastAsia" w:ascii="宋体" w:hAnsi="宋体" w:eastAsia="宋体" w:cs="宋体"/>
                <w:color w:val="auto"/>
                <w:sz w:val="24"/>
                <w:szCs w:val="20"/>
                <w:highlight w:val="none"/>
              </w:rPr>
            </w:pPr>
          </w:p>
        </w:tc>
      </w:tr>
      <w:tr w14:paraId="0504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2891" w:type="dxa"/>
            <w:vAlign w:val="center"/>
          </w:tcPr>
          <w:p w14:paraId="5A89E755">
            <w:pPr>
              <w:spacing w:line="300" w:lineRule="exact"/>
              <w:jc w:val="center"/>
              <w:outlineLvl w:val="9"/>
              <w:rPr>
                <w:rFonts w:hint="eastAsia" w:ascii="宋体" w:hAnsi="宋体" w:eastAsia="宋体" w:cs="宋体"/>
                <w:bCs/>
                <w:iCs/>
                <w:color w:val="auto"/>
                <w:sz w:val="24"/>
                <w:highlight w:val="none"/>
              </w:rPr>
            </w:pPr>
            <w:r>
              <w:rPr>
                <w:rFonts w:hint="eastAsia" w:ascii="宋体" w:hAnsi="宋体" w:eastAsia="宋体" w:cs="宋体"/>
                <w:bCs/>
                <w:iCs/>
                <w:color w:val="auto"/>
                <w:sz w:val="24"/>
                <w:highlight w:val="none"/>
              </w:rPr>
              <w:t>质保期</w:t>
            </w:r>
          </w:p>
        </w:tc>
        <w:tc>
          <w:tcPr>
            <w:tcW w:w="5768" w:type="dxa"/>
            <w:vAlign w:val="center"/>
          </w:tcPr>
          <w:p w14:paraId="6DC8667D">
            <w:pPr>
              <w:pStyle w:val="18"/>
              <w:spacing w:line="400" w:lineRule="exact"/>
              <w:ind w:firstLine="480"/>
              <w:outlineLvl w:val="9"/>
              <w:rPr>
                <w:rFonts w:hint="eastAsia" w:ascii="宋体" w:hAnsi="宋体" w:eastAsia="宋体" w:cs="宋体"/>
                <w:color w:val="auto"/>
                <w:sz w:val="24"/>
                <w:szCs w:val="20"/>
                <w:highlight w:val="none"/>
              </w:rPr>
            </w:pPr>
          </w:p>
        </w:tc>
      </w:tr>
      <w:tr w14:paraId="506C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2891" w:type="dxa"/>
            <w:vAlign w:val="center"/>
          </w:tcPr>
          <w:p w14:paraId="050B5DBF">
            <w:pPr>
              <w:spacing w:line="300" w:lineRule="exact"/>
              <w:jc w:val="center"/>
              <w:outlineLvl w:val="9"/>
              <w:rPr>
                <w:rFonts w:hint="eastAsia" w:ascii="宋体" w:hAnsi="宋体" w:eastAsia="宋体" w:cs="宋体"/>
                <w:bCs/>
                <w:iCs/>
                <w:color w:val="auto"/>
                <w:sz w:val="24"/>
                <w:highlight w:val="none"/>
              </w:rPr>
            </w:pPr>
            <w:r>
              <w:rPr>
                <w:rFonts w:hint="eastAsia" w:ascii="宋体" w:hAnsi="宋体" w:eastAsia="宋体" w:cs="宋体"/>
                <w:bCs/>
                <w:iCs/>
                <w:color w:val="auto"/>
                <w:sz w:val="24"/>
                <w:highlight w:val="none"/>
              </w:rPr>
              <w:t>投标有效期</w:t>
            </w:r>
          </w:p>
        </w:tc>
        <w:tc>
          <w:tcPr>
            <w:tcW w:w="5768" w:type="dxa"/>
            <w:vAlign w:val="center"/>
          </w:tcPr>
          <w:p w14:paraId="0DDA7D15">
            <w:pPr>
              <w:pStyle w:val="18"/>
              <w:spacing w:line="400" w:lineRule="exact"/>
              <w:ind w:firstLine="480"/>
              <w:outlineLvl w:val="9"/>
              <w:rPr>
                <w:rFonts w:hint="eastAsia" w:ascii="宋体" w:hAnsi="宋体" w:eastAsia="宋体" w:cs="宋体"/>
                <w:color w:val="auto"/>
                <w:sz w:val="24"/>
                <w:szCs w:val="20"/>
                <w:highlight w:val="none"/>
              </w:rPr>
            </w:pPr>
          </w:p>
        </w:tc>
      </w:tr>
      <w:tr w14:paraId="7C70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2891" w:type="dxa"/>
            <w:vAlign w:val="center"/>
          </w:tcPr>
          <w:p w14:paraId="105D50CF">
            <w:pPr>
              <w:widowControl/>
              <w:kinsoku w:val="0"/>
              <w:autoSpaceDE w:val="0"/>
              <w:autoSpaceDN w:val="0"/>
              <w:adjustRightInd w:val="0"/>
              <w:snapToGrid w:val="0"/>
              <w:spacing w:line="360" w:lineRule="exact"/>
              <w:jc w:val="center"/>
              <w:textAlignment w:val="baseline"/>
              <w:outlineLvl w:val="9"/>
              <w:rPr>
                <w:rFonts w:hint="eastAsia" w:ascii="宋体" w:hAnsi="宋体" w:eastAsia="宋体" w:cs="宋体"/>
                <w:bCs/>
                <w:iCs/>
                <w:color w:val="auto"/>
                <w:sz w:val="24"/>
                <w:highlight w:val="none"/>
              </w:rPr>
            </w:pPr>
            <w:r>
              <w:rPr>
                <w:rFonts w:hint="eastAsia" w:ascii="宋体" w:hAnsi="宋体" w:eastAsia="宋体" w:cs="宋体"/>
                <w:color w:val="auto"/>
                <w:sz w:val="24"/>
                <w:highlight w:val="none"/>
              </w:rPr>
              <w:t>权利义务</w:t>
            </w:r>
          </w:p>
        </w:tc>
        <w:tc>
          <w:tcPr>
            <w:tcW w:w="5768" w:type="dxa"/>
            <w:vAlign w:val="center"/>
          </w:tcPr>
          <w:p w14:paraId="450F5513">
            <w:pPr>
              <w:widowControl/>
              <w:kinsoku w:val="0"/>
              <w:autoSpaceDE w:val="0"/>
              <w:autoSpaceDN w:val="0"/>
              <w:adjustRightInd w:val="0"/>
              <w:snapToGrid w:val="0"/>
              <w:spacing w:line="360" w:lineRule="exact"/>
              <w:textAlignment w:val="baseline"/>
              <w:outlineLvl w:val="9"/>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符合招标文件第四章“合同条款及格式”规定</w:t>
            </w:r>
          </w:p>
        </w:tc>
      </w:tr>
      <w:tr w14:paraId="1658E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2891" w:type="dxa"/>
            <w:vAlign w:val="center"/>
          </w:tcPr>
          <w:p w14:paraId="203DB45A">
            <w:pPr>
              <w:widowControl/>
              <w:kinsoku w:val="0"/>
              <w:autoSpaceDE w:val="0"/>
              <w:autoSpaceDN w:val="0"/>
              <w:adjustRightInd w:val="0"/>
              <w:snapToGrid w:val="0"/>
              <w:spacing w:line="360" w:lineRule="exact"/>
              <w:jc w:val="center"/>
              <w:textAlignment w:val="baseline"/>
              <w:outlineLvl w:val="9"/>
              <w:rPr>
                <w:rFonts w:hint="eastAsia" w:ascii="宋体" w:hAnsi="宋体" w:eastAsia="宋体" w:cs="宋体"/>
                <w:bCs/>
                <w:iCs/>
                <w:color w:val="auto"/>
                <w:sz w:val="24"/>
                <w:highlight w:val="none"/>
              </w:rPr>
            </w:pPr>
            <w:r>
              <w:rPr>
                <w:rFonts w:hint="eastAsia" w:ascii="宋体" w:hAnsi="宋体" w:eastAsia="宋体" w:cs="宋体"/>
                <w:color w:val="auto"/>
                <w:sz w:val="24"/>
                <w:highlight w:val="none"/>
              </w:rPr>
              <w:t>采购内容及要求</w:t>
            </w:r>
          </w:p>
        </w:tc>
        <w:tc>
          <w:tcPr>
            <w:tcW w:w="5768" w:type="dxa"/>
            <w:vAlign w:val="center"/>
          </w:tcPr>
          <w:p w14:paraId="7E0B00DB">
            <w:pPr>
              <w:widowControl/>
              <w:kinsoku w:val="0"/>
              <w:autoSpaceDE w:val="0"/>
              <w:autoSpaceDN w:val="0"/>
              <w:adjustRightInd w:val="0"/>
              <w:snapToGrid w:val="0"/>
              <w:spacing w:line="360" w:lineRule="exact"/>
              <w:textAlignment w:val="baseline"/>
              <w:outlineLvl w:val="9"/>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符合第五章“采购内容及要求”规定</w:t>
            </w:r>
          </w:p>
        </w:tc>
      </w:tr>
      <w:tr w14:paraId="31E0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2891" w:type="dxa"/>
            <w:vAlign w:val="center"/>
          </w:tcPr>
          <w:p w14:paraId="3C16143D">
            <w:pPr>
              <w:pStyle w:val="18"/>
              <w:spacing w:line="400" w:lineRule="exact"/>
              <w:ind w:firstLine="0" w:firstLineChars="0"/>
              <w:jc w:val="center"/>
              <w:outlineLvl w:val="9"/>
              <w:rPr>
                <w:rFonts w:hint="eastAsia" w:ascii="宋体" w:hAnsi="宋体" w:eastAsia="宋体" w:cs="宋体"/>
                <w:bCs/>
                <w:iCs/>
                <w:color w:val="auto"/>
                <w:sz w:val="24"/>
                <w:highlight w:val="none"/>
              </w:rPr>
            </w:pPr>
            <w:r>
              <w:rPr>
                <w:rFonts w:hint="eastAsia" w:ascii="宋体" w:hAnsi="宋体" w:eastAsia="宋体" w:cs="宋体"/>
                <w:color w:val="auto"/>
                <w:sz w:val="24"/>
                <w:szCs w:val="20"/>
                <w:highlight w:val="none"/>
              </w:rPr>
              <w:t>备注</w:t>
            </w:r>
          </w:p>
        </w:tc>
        <w:tc>
          <w:tcPr>
            <w:tcW w:w="5768" w:type="dxa"/>
            <w:vAlign w:val="center"/>
          </w:tcPr>
          <w:p w14:paraId="7C97940C">
            <w:pPr>
              <w:pStyle w:val="18"/>
              <w:spacing w:line="400" w:lineRule="exact"/>
              <w:ind w:firstLine="480"/>
              <w:outlineLvl w:val="9"/>
              <w:rPr>
                <w:rFonts w:hint="eastAsia" w:ascii="宋体" w:hAnsi="宋体" w:eastAsia="宋体" w:cs="宋体"/>
                <w:color w:val="auto"/>
                <w:sz w:val="24"/>
                <w:szCs w:val="20"/>
                <w:highlight w:val="none"/>
              </w:rPr>
            </w:pPr>
          </w:p>
        </w:tc>
      </w:tr>
    </w:tbl>
    <w:p w14:paraId="7F2881C9">
      <w:pPr>
        <w:spacing w:line="360" w:lineRule="exact"/>
        <w:jc w:val="right"/>
        <w:outlineLvl w:val="9"/>
        <w:rPr>
          <w:rFonts w:hint="eastAsia" w:ascii="宋体" w:hAnsi="宋体" w:eastAsia="宋体" w:cs="宋体"/>
          <w:color w:val="auto"/>
          <w:sz w:val="24"/>
          <w:highlight w:val="none"/>
        </w:rPr>
      </w:pPr>
    </w:p>
    <w:p w14:paraId="689F53DB">
      <w:pPr>
        <w:pStyle w:val="17"/>
        <w:outlineLvl w:val="9"/>
        <w:rPr>
          <w:rFonts w:hint="eastAsia" w:ascii="宋体" w:hAnsi="宋体" w:eastAsia="宋体" w:cs="宋体"/>
          <w:color w:val="auto"/>
          <w:highlight w:val="none"/>
        </w:rPr>
      </w:pPr>
    </w:p>
    <w:p w14:paraId="5005C879">
      <w:pPr>
        <w:adjustRightInd w:val="0"/>
        <w:snapToGrid w:val="0"/>
        <w:spacing w:before="190" w:beforeLines="50" w:line="360" w:lineRule="auto"/>
        <w:ind w:right="96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pacing w:val="8"/>
          <w:sz w:val="24"/>
          <w:highlight w:val="none"/>
          <w:u w:val="single"/>
        </w:rPr>
        <w:t xml:space="preserve">                  </w:t>
      </w:r>
      <w:r>
        <w:rPr>
          <w:rFonts w:hint="eastAsia" w:ascii="宋体" w:hAnsi="宋体" w:eastAsia="宋体" w:cs="宋体"/>
          <w:color w:val="auto"/>
          <w:sz w:val="24"/>
          <w:highlight w:val="none"/>
        </w:rPr>
        <w:t>（单位电子签章）</w:t>
      </w:r>
    </w:p>
    <w:p w14:paraId="76664A0F">
      <w:pPr>
        <w:adjustRightInd w:val="0"/>
        <w:snapToGrid w:val="0"/>
        <w:spacing w:before="190" w:beforeLines="50" w:line="360" w:lineRule="auto"/>
        <w:ind w:right="420"/>
        <w:outlineLvl w:val="9"/>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法定代表人或</w:t>
      </w:r>
      <w:r>
        <w:rPr>
          <w:rFonts w:hint="eastAsia" w:ascii="宋体" w:hAnsi="宋体" w:eastAsia="宋体" w:cs="宋体"/>
          <w:bCs/>
          <w:color w:val="auto"/>
          <w:sz w:val="24"/>
          <w:szCs w:val="20"/>
          <w:highlight w:val="none"/>
        </w:rPr>
        <w:t>其</w:t>
      </w:r>
      <w:r>
        <w:rPr>
          <w:rFonts w:hint="eastAsia" w:ascii="宋体" w:hAnsi="宋体" w:eastAsia="宋体" w:cs="宋体"/>
          <w:color w:val="auto"/>
          <w:kern w:val="0"/>
          <w:sz w:val="24"/>
          <w:highlight w:val="none"/>
        </w:rPr>
        <w:t>委托代理人：</w:t>
      </w:r>
      <w:r>
        <w:rPr>
          <w:rFonts w:hint="eastAsia" w:ascii="宋体" w:hAnsi="宋体" w:eastAsia="宋体" w:cs="宋体"/>
          <w:color w:val="auto"/>
          <w:spacing w:val="8"/>
          <w:sz w:val="24"/>
          <w:highlight w:val="none"/>
          <w:u w:val="single"/>
        </w:rPr>
        <w:t xml:space="preserve">                  </w:t>
      </w:r>
      <w:r>
        <w:rPr>
          <w:rFonts w:hint="eastAsia" w:ascii="宋体" w:hAnsi="宋体" w:eastAsia="宋体" w:cs="宋体"/>
          <w:color w:val="auto"/>
          <w:kern w:val="0"/>
          <w:sz w:val="24"/>
          <w:highlight w:val="none"/>
        </w:rPr>
        <w:t>（签字或盖章）</w:t>
      </w:r>
    </w:p>
    <w:p w14:paraId="64E60889">
      <w:pPr>
        <w:adjustRightInd w:val="0"/>
        <w:snapToGri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日期：    </w:t>
      </w:r>
      <w:r>
        <w:rPr>
          <w:rFonts w:hint="eastAsia" w:ascii="宋体" w:hAnsi="宋体" w:eastAsia="宋体" w:cs="宋体"/>
          <w:color w:val="auto"/>
          <w:sz w:val="24"/>
          <w:highlight w:val="none"/>
        </w:rPr>
        <w:t>年   月    日</w:t>
      </w:r>
    </w:p>
    <w:p w14:paraId="4DC1BE7E">
      <w:pPr>
        <w:outlineLvl w:val="9"/>
        <w:rPr>
          <w:rFonts w:hint="eastAsia" w:ascii="宋体" w:hAnsi="宋体" w:eastAsia="宋体" w:cs="宋体"/>
          <w:color w:val="auto"/>
          <w:highlight w:val="none"/>
        </w:rPr>
      </w:pPr>
    </w:p>
    <w:p w14:paraId="6345EEB7">
      <w:pPr>
        <w:pStyle w:val="30"/>
        <w:spacing w:before="120" w:after="120" w:line="500" w:lineRule="exact"/>
        <w:ind w:right="29" w:rightChars="14"/>
        <w:outlineLvl w:val="9"/>
        <w:rPr>
          <w:rFonts w:hint="eastAsia" w:ascii="宋体" w:hAnsi="宋体" w:eastAsia="宋体" w:cs="宋体"/>
          <w:color w:val="auto"/>
          <w:sz w:val="24"/>
          <w:highlight w:val="none"/>
        </w:rPr>
      </w:pPr>
    </w:p>
    <w:p w14:paraId="58C60C8D">
      <w:pPr>
        <w:pStyle w:val="30"/>
        <w:spacing w:before="120" w:after="120" w:line="500" w:lineRule="exact"/>
        <w:ind w:right="29" w:rightChars="14"/>
        <w:outlineLvl w:val="9"/>
        <w:rPr>
          <w:rFonts w:hint="eastAsia" w:ascii="宋体" w:hAnsi="宋体" w:eastAsia="宋体" w:cs="宋体"/>
          <w:color w:val="auto"/>
          <w:sz w:val="24"/>
          <w:highlight w:val="none"/>
        </w:rPr>
        <w:sectPr>
          <w:footerReference r:id="rId6" w:type="default"/>
          <w:pgSz w:w="11907" w:h="16840"/>
          <w:pgMar w:top="1440" w:right="1803" w:bottom="1440" w:left="1803" w:header="850" w:footer="998" w:gutter="0"/>
          <w:pgNumType w:fmt="decimal"/>
          <w:cols w:space="720" w:num="1"/>
          <w:docGrid w:type="lines" w:linePitch="380" w:charSpace="0"/>
        </w:sectPr>
      </w:pPr>
    </w:p>
    <w:p w14:paraId="2D37BD55">
      <w:pPr>
        <w:pStyle w:val="4"/>
        <w:bidi w:val="0"/>
        <w:rPr>
          <w:rFonts w:hint="eastAsia" w:ascii="宋体" w:hAnsi="宋体" w:eastAsia="宋体" w:cs="宋体"/>
          <w:color w:val="auto"/>
          <w:highlight w:val="none"/>
        </w:rPr>
      </w:pPr>
      <w:bookmarkStart w:id="327" w:name="_Toc4903"/>
      <w:r>
        <w:rPr>
          <w:rFonts w:hint="eastAsia" w:ascii="宋体" w:hAnsi="宋体" w:eastAsia="宋体" w:cs="宋体"/>
          <w:color w:val="auto"/>
          <w:highlight w:val="none"/>
        </w:rPr>
        <w:t>（三）报价明细表</w:t>
      </w:r>
      <w:bookmarkEnd w:id="327"/>
    </w:p>
    <w:p w14:paraId="1964AC50">
      <w:pPr>
        <w:spacing w:line="440" w:lineRule="exact"/>
        <w:ind w:firstLine="308" w:firstLineChars="147"/>
        <w:outlineLvl w:val="9"/>
        <w:rPr>
          <w:rFonts w:hint="eastAsia" w:ascii="宋体" w:hAnsi="宋体" w:eastAsia="宋体" w:cs="宋体"/>
          <w:bCs/>
          <w:color w:val="auto"/>
          <w:szCs w:val="21"/>
          <w:highlight w:val="none"/>
        </w:rPr>
      </w:pPr>
    </w:p>
    <w:tbl>
      <w:tblPr>
        <w:tblStyle w:val="34"/>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851"/>
        <w:gridCol w:w="849"/>
        <w:gridCol w:w="2518"/>
        <w:gridCol w:w="772"/>
        <w:gridCol w:w="723"/>
        <w:gridCol w:w="818"/>
        <w:gridCol w:w="937"/>
        <w:gridCol w:w="1142"/>
      </w:tblGrid>
      <w:tr w14:paraId="2405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1307" w:type="dxa"/>
            <w:vMerge w:val="restart"/>
            <w:tcBorders>
              <w:top w:val="single" w:color="auto" w:sz="4" w:space="0"/>
              <w:left w:val="single" w:color="auto" w:sz="4" w:space="0"/>
              <w:right w:val="single" w:color="auto" w:sz="4" w:space="0"/>
            </w:tcBorders>
            <w:noWrap/>
            <w:vAlign w:val="center"/>
          </w:tcPr>
          <w:p w14:paraId="1EF21B73">
            <w:pPr>
              <w:pStyle w:val="29"/>
              <w:widowControl w:val="0"/>
              <w:adjustRightInd w:val="0"/>
              <w:spacing w:before="0" w:beforeAutospacing="0" w:after="0" w:afterAutospacing="0" w:line="480" w:lineRule="exact"/>
              <w:jc w:val="center"/>
              <w:outlineLvl w:val="9"/>
              <w:rPr>
                <w:rFonts w:hint="eastAsia" w:ascii="宋体" w:hAnsi="宋体" w:eastAsia="宋体" w:cs="宋体"/>
                <w:bCs/>
                <w:color w:val="auto"/>
                <w:highlight w:val="none"/>
              </w:rPr>
            </w:pPr>
            <w:r>
              <w:rPr>
                <w:rFonts w:hint="eastAsia" w:ascii="宋体" w:hAnsi="宋体" w:eastAsia="宋体" w:cs="宋体"/>
                <w:bCs/>
                <w:color w:val="auto"/>
                <w:highlight w:val="none"/>
              </w:rPr>
              <w:t>名称</w:t>
            </w:r>
          </w:p>
        </w:tc>
        <w:tc>
          <w:tcPr>
            <w:tcW w:w="4218" w:type="dxa"/>
            <w:gridSpan w:val="3"/>
            <w:tcBorders>
              <w:top w:val="single" w:color="auto" w:sz="4" w:space="0"/>
              <w:left w:val="single" w:color="auto" w:sz="4" w:space="0"/>
              <w:bottom w:val="single" w:color="auto" w:sz="4" w:space="0"/>
              <w:right w:val="single" w:color="auto" w:sz="4" w:space="0"/>
            </w:tcBorders>
            <w:noWrap/>
            <w:vAlign w:val="center"/>
          </w:tcPr>
          <w:p w14:paraId="544770B8">
            <w:pPr>
              <w:pStyle w:val="29"/>
              <w:widowControl w:val="0"/>
              <w:adjustRightInd w:val="0"/>
              <w:spacing w:before="0" w:beforeAutospacing="0" w:after="0" w:afterAutospacing="0" w:line="480" w:lineRule="exact"/>
              <w:jc w:val="center"/>
              <w:outlineLvl w:val="9"/>
              <w:rPr>
                <w:rFonts w:hint="eastAsia" w:ascii="宋体" w:hAnsi="宋体" w:eastAsia="宋体" w:cs="宋体"/>
                <w:bCs/>
                <w:color w:val="auto"/>
                <w:highlight w:val="none"/>
              </w:rPr>
            </w:pPr>
            <w:r>
              <w:rPr>
                <w:rFonts w:hint="eastAsia" w:ascii="宋体" w:hAnsi="宋体" w:eastAsia="宋体" w:cs="宋体"/>
                <w:bCs/>
                <w:color w:val="auto"/>
                <w:highlight w:val="none"/>
              </w:rPr>
              <w:t>所投设备</w:t>
            </w:r>
          </w:p>
        </w:tc>
        <w:tc>
          <w:tcPr>
            <w:tcW w:w="772" w:type="dxa"/>
            <w:vMerge w:val="restart"/>
            <w:tcBorders>
              <w:top w:val="single" w:color="auto" w:sz="4" w:space="0"/>
              <w:left w:val="single" w:color="auto" w:sz="4" w:space="0"/>
              <w:right w:val="single" w:color="auto" w:sz="4" w:space="0"/>
            </w:tcBorders>
            <w:noWrap/>
            <w:vAlign w:val="center"/>
          </w:tcPr>
          <w:p w14:paraId="289FE484">
            <w:pPr>
              <w:pStyle w:val="29"/>
              <w:widowControl w:val="0"/>
              <w:adjustRightInd w:val="0"/>
              <w:spacing w:before="0" w:beforeAutospacing="0" w:after="0" w:afterAutospacing="0" w:line="480" w:lineRule="exact"/>
              <w:jc w:val="center"/>
              <w:outlineLvl w:val="9"/>
              <w:rPr>
                <w:rFonts w:hint="eastAsia" w:ascii="宋体" w:hAnsi="宋体" w:eastAsia="宋体" w:cs="宋体"/>
                <w:bCs/>
                <w:color w:val="auto"/>
                <w:highlight w:val="none"/>
              </w:rPr>
            </w:pPr>
            <w:r>
              <w:rPr>
                <w:rFonts w:hint="eastAsia" w:ascii="宋体" w:hAnsi="宋体" w:eastAsia="宋体" w:cs="宋体"/>
                <w:bCs/>
                <w:color w:val="auto"/>
                <w:highlight w:val="none"/>
              </w:rPr>
              <w:t>数量</w:t>
            </w:r>
          </w:p>
        </w:tc>
        <w:tc>
          <w:tcPr>
            <w:tcW w:w="723" w:type="dxa"/>
            <w:vMerge w:val="restart"/>
            <w:tcBorders>
              <w:top w:val="single" w:color="auto" w:sz="4" w:space="0"/>
              <w:left w:val="single" w:color="auto" w:sz="4" w:space="0"/>
              <w:right w:val="single" w:color="auto" w:sz="4" w:space="0"/>
            </w:tcBorders>
            <w:noWrap/>
            <w:vAlign w:val="center"/>
          </w:tcPr>
          <w:p w14:paraId="614CA2EC">
            <w:pPr>
              <w:pStyle w:val="29"/>
              <w:widowControl w:val="0"/>
              <w:adjustRightInd w:val="0"/>
              <w:spacing w:before="0" w:beforeAutospacing="0" w:after="0" w:afterAutospacing="0" w:line="480" w:lineRule="exact"/>
              <w:jc w:val="center"/>
              <w:outlineLvl w:val="9"/>
              <w:rPr>
                <w:rFonts w:hint="eastAsia" w:ascii="宋体" w:hAnsi="宋体" w:eastAsia="宋体" w:cs="宋体"/>
                <w:bCs/>
                <w:color w:val="auto"/>
                <w:highlight w:val="none"/>
              </w:rPr>
            </w:pPr>
            <w:r>
              <w:rPr>
                <w:rFonts w:hint="eastAsia" w:ascii="宋体" w:hAnsi="宋体" w:eastAsia="宋体" w:cs="宋体"/>
                <w:bCs/>
                <w:color w:val="auto"/>
                <w:highlight w:val="none"/>
              </w:rPr>
              <w:t>单位</w:t>
            </w:r>
          </w:p>
        </w:tc>
        <w:tc>
          <w:tcPr>
            <w:tcW w:w="818" w:type="dxa"/>
            <w:vMerge w:val="restart"/>
            <w:tcBorders>
              <w:top w:val="single" w:color="auto" w:sz="4" w:space="0"/>
              <w:left w:val="single" w:color="auto" w:sz="4" w:space="0"/>
              <w:right w:val="single" w:color="auto" w:sz="4" w:space="0"/>
            </w:tcBorders>
            <w:noWrap/>
            <w:vAlign w:val="center"/>
          </w:tcPr>
          <w:p w14:paraId="207CFFFA">
            <w:pPr>
              <w:pStyle w:val="29"/>
              <w:widowControl w:val="0"/>
              <w:adjustRightInd w:val="0"/>
              <w:spacing w:before="0" w:beforeAutospacing="0" w:after="0" w:afterAutospacing="0" w:line="480" w:lineRule="exact"/>
              <w:ind w:firstLine="235" w:firstLineChars="98"/>
              <w:jc w:val="center"/>
              <w:outlineLvl w:val="9"/>
              <w:rPr>
                <w:rFonts w:hint="eastAsia" w:ascii="宋体" w:hAnsi="宋体" w:eastAsia="宋体" w:cs="宋体"/>
                <w:bCs/>
                <w:color w:val="auto"/>
                <w:highlight w:val="none"/>
              </w:rPr>
            </w:pPr>
          </w:p>
          <w:p w14:paraId="07426380">
            <w:pPr>
              <w:pStyle w:val="29"/>
              <w:widowControl w:val="0"/>
              <w:adjustRightInd w:val="0"/>
              <w:spacing w:before="0" w:beforeAutospacing="0" w:after="0" w:afterAutospacing="0" w:line="480" w:lineRule="exact"/>
              <w:jc w:val="center"/>
              <w:outlineLvl w:val="9"/>
              <w:rPr>
                <w:rFonts w:hint="eastAsia" w:ascii="宋体" w:hAnsi="宋体" w:eastAsia="宋体" w:cs="宋体"/>
                <w:bCs/>
                <w:color w:val="auto"/>
                <w:highlight w:val="none"/>
              </w:rPr>
            </w:pPr>
            <w:r>
              <w:rPr>
                <w:rFonts w:hint="eastAsia" w:ascii="宋体" w:hAnsi="宋体" w:eastAsia="宋体" w:cs="宋体"/>
                <w:bCs/>
                <w:color w:val="auto"/>
                <w:highlight w:val="none"/>
              </w:rPr>
              <w:t>单价（元）</w:t>
            </w:r>
          </w:p>
          <w:p w14:paraId="0CAFDDCD">
            <w:pPr>
              <w:pStyle w:val="29"/>
              <w:widowControl w:val="0"/>
              <w:adjustRightInd w:val="0"/>
              <w:spacing w:before="0" w:beforeAutospacing="0" w:after="0" w:afterAutospacing="0" w:line="480" w:lineRule="exact"/>
              <w:ind w:firstLine="235" w:firstLineChars="98"/>
              <w:jc w:val="center"/>
              <w:outlineLvl w:val="9"/>
              <w:rPr>
                <w:rFonts w:hint="eastAsia" w:ascii="宋体" w:hAnsi="宋体" w:eastAsia="宋体" w:cs="宋体"/>
                <w:bCs/>
                <w:color w:val="auto"/>
                <w:highlight w:val="none"/>
              </w:rPr>
            </w:pPr>
          </w:p>
        </w:tc>
        <w:tc>
          <w:tcPr>
            <w:tcW w:w="937" w:type="dxa"/>
            <w:vMerge w:val="restart"/>
            <w:tcBorders>
              <w:top w:val="single" w:color="auto" w:sz="4" w:space="0"/>
              <w:left w:val="single" w:color="auto" w:sz="4" w:space="0"/>
              <w:right w:val="single" w:color="auto" w:sz="4" w:space="0"/>
            </w:tcBorders>
            <w:noWrap/>
            <w:vAlign w:val="center"/>
          </w:tcPr>
          <w:p w14:paraId="6C94B4B9">
            <w:pPr>
              <w:pStyle w:val="29"/>
              <w:widowControl w:val="0"/>
              <w:adjustRightInd w:val="0"/>
              <w:spacing w:before="0" w:beforeAutospacing="0" w:after="0" w:afterAutospacing="0" w:line="480" w:lineRule="exact"/>
              <w:jc w:val="center"/>
              <w:outlineLvl w:val="9"/>
              <w:rPr>
                <w:rFonts w:hint="eastAsia" w:ascii="宋体" w:hAnsi="宋体" w:eastAsia="宋体" w:cs="宋体"/>
                <w:bCs/>
                <w:color w:val="auto"/>
                <w:highlight w:val="none"/>
              </w:rPr>
            </w:pPr>
            <w:r>
              <w:rPr>
                <w:rFonts w:hint="eastAsia" w:ascii="宋体" w:hAnsi="宋体" w:eastAsia="宋体" w:cs="宋体"/>
                <w:bCs/>
                <w:color w:val="auto"/>
                <w:highlight w:val="none"/>
              </w:rPr>
              <w:t>合价（元）</w:t>
            </w:r>
          </w:p>
        </w:tc>
        <w:tc>
          <w:tcPr>
            <w:tcW w:w="1142" w:type="dxa"/>
            <w:vMerge w:val="restart"/>
            <w:tcBorders>
              <w:top w:val="single" w:color="auto" w:sz="4" w:space="0"/>
              <w:left w:val="single" w:color="auto" w:sz="4" w:space="0"/>
              <w:right w:val="single" w:color="auto" w:sz="4" w:space="0"/>
            </w:tcBorders>
            <w:noWrap/>
          </w:tcPr>
          <w:p w14:paraId="008A285B">
            <w:pPr>
              <w:pStyle w:val="29"/>
              <w:widowControl w:val="0"/>
              <w:adjustRightInd w:val="0"/>
              <w:spacing w:before="0" w:beforeAutospacing="0" w:after="0" w:afterAutospacing="0" w:line="480" w:lineRule="exact"/>
              <w:jc w:val="both"/>
              <w:outlineLvl w:val="9"/>
              <w:rPr>
                <w:rFonts w:hint="eastAsia" w:ascii="宋体" w:hAnsi="宋体" w:eastAsia="宋体" w:cs="宋体"/>
                <w:bCs/>
                <w:color w:val="auto"/>
                <w:highlight w:val="none"/>
              </w:rPr>
            </w:pPr>
            <w:r>
              <w:rPr>
                <w:rFonts w:hint="eastAsia" w:ascii="宋体" w:hAnsi="宋体" w:eastAsia="宋体" w:cs="宋体"/>
                <w:bCs/>
                <w:color w:val="auto"/>
                <w:highlight w:val="none"/>
              </w:rPr>
              <w:t xml:space="preserve"> </w:t>
            </w:r>
          </w:p>
          <w:p w14:paraId="6C14E0AB">
            <w:pPr>
              <w:pStyle w:val="29"/>
              <w:widowControl w:val="0"/>
              <w:adjustRightInd w:val="0"/>
              <w:spacing w:before="0" w:beforeAutospacing="0" w:after="0" w:afterAutospacing="0" w:line="480" w:lineRule="exact"/>
              <w:jc w:val="both"/>
              <w:outlineLvl w:val="9"/>
              <w:rPr>
                <w:rFonts w:hint="eastAsia" w:ascii="宋体" w:hAnsi="宋体" w:eastAsia="宋体" w:cs="宋体"/>
                <w:bCs/>
                <w:color w:val="auto"/>
                <w:highlight w:val="none"/>
              </w:rPr>
            </w:pPr>
            <w:r>
              <w:rPr>
                <w:rFonts w:hint="eastAsia" w:ascii="宋体" w:hAnsi="宋体" w:eastAsia="宋体" w:cs="宋体"/>
                <w:bCs/>
                <w:color w:val="auto"/>
                <w:highlight w:val="none"/>
              </w:rPr>
              <w:t>执行标准</w:t>
            </w:r>
          </w:p>
        </w:tc>
      </w:tr>
      <w:tr w14:paraId="5DC1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jc w:val="center"/>
        </w:trPr>
        <w:tc>
          <w:tcPr>
            <w:tcW w:w="1307" w:type="dxa"/>
            <w:vMerge w:val="continue"/>
            <w:tcBorders>
              <w:left w:val="single" w:color="auto" w:sz="4" w:space="0"/>
              <w:bottom w:val="single" w:color="auto" w:sz="4" w:space="0"/>
              <w:right w:val="single" w:color="auto" w:sz="4" w:space="0"/>
            </w:tcBorders>
            <w:noWrap/>
            <w:vAlign w:val="center"/>
          </w:tcPr>
          <w:p w14:paraId="16A2BAC0">
            <w:pPr>
              <w:pStyle w:val="29"/>
              <w:widowControl w:val="0"/>
              <w:adjustRightInd w:val="0"/>
              <w:spacing w:before="0" w:beforeAutospacing="0" w:after="0" w:afterAutospacing="0" w:line="480" w:lineRule="exact"/>
              <w:jc w:val="center"/>
              <w:outlineLvl w:val="9"/>
              <w:rPr>
                <w:rFonts w:hint="eastAsia" w:ascii="宋体" w:hAnsi="宋体" w:eastAsia="宋体" w:cs="宋体"/>
                <w:bCs/>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226A01B4">
            <w:pPr>
              <w:pStyle w:val="29"/>
              <w:widowControl w:val="0"/>
              <w:adjustRightInd w:val="0"/>
              <w:spacing w:before="0" w:beforeAutospacing="0" w:after="0" w:afterAutospacing="0" w:line="480" w:lineRule="exact"/>
              <w:jc w:val="center"/>
              <w:outlineLvl w:val="9"/>
              <w:rPr>
                <w:rFonts w:hint="eastAsia" w:ascii="宋体" w:hAnsi="宋体" w:eastAsia="宋体" w:cs="宋体"/>
                <w:bCs/>
                <w:color w:val="auto"/>
                <w:highlight w:val="none"/>
              </w:rPr>
            </w:pPr>
            <w:r>
              <w:rPr>
                <w:rFonts w:hint="eastAsia" w:ascii="宋体" w:hAnsi="宋体" w:eastAsia="宋体" w:cs="宋体"/>
                <w:bCs/>
                <w:color w:val="auto"/>
                <w:highlight w:val="none"/>
              </w:rPr>
              <w:t>品牌</w:t>
            </w:r>
          </w:p>
        </w:tc>
        <w:tc>
          <w:tcPr>
            <w:tcW w:w="849" w:type="dxa"/>
            <w:tcBorders>
              <w:top w:val="single" w:color="auto" w:sz="4" w:space="0"/>
              <w:left w:val="single" w:color="auto" w:sz="4" w:space="0"/>
              <w:bottom w:val="single" w:color="auto" w:sz="4" w:space="0"/>
              <w:right w:val="single" w:color="auto" w:sz="4" w:space="0"/>
            </w:tcBorders>
            <w:noWrap/>
            <w:vAlign w:val="center"/>
          </w:tcPr>
          <w:p w14:paraId="6899CC75">
            <w:pPr>
              <w:pStyle w:val="29"/>
              <w:widowControl w:val="0"/>
              <w:adjustRightInd w:val="0"/>
              <w:spacing w:before="0" w:beforeAutospacing="0" w:after="0" w:afterAutospacing="0" w:line="480" w:lineRule="exact"/>
              <w:jc w:val="center"/>
              <w:outlineLvl w:val="9"/>
              <w:rPr>
                <w:rFonts w:hint="eastAsia" w:ascii="宋体" w:hAnsi="宋体" w:eastAsia="宋体" w:cs="宋体"/>
                <w:bCs/>
                <w:color w:val="auto"/>
                <w:highlight w:val="none"/>
              </w:rPr>
            </w:pPr>
            <w:r>
              <w:rPr>
                <w:rFonts w:hint="eastAsia" w:ascii="宋体" w:hAnsi="宋体" w:eastAsia="宋体" w:cs="宋体"/>
                <w:bCs/>
                <w:color w:val="auto"/>
                <w:highlight w:val="none"/>
              </w:rPr>
              <w:t>型号</w:t>
            </w:r>
          </w:p>
        </w:tc>
        <w:tc>
          <w:tcPr>
            <w:tcW w:w="2518" w:type="dxa"/>
            <w:tcBorders>
              <w:top w:val="single" w:color="auto" w:sz="4" w:space="0"/>
              <w:left w:val="single" w:color="auto" w:sz="4" w:space="0"/>
              <w:bottom w:val="single" w:color="auto" w:sz="4" w:space="0"/>
              <w:right w:val="single" w:color="auto" w:sz="4" w:space="0"/>
            </w:tcBorders>
            <w:noWrap/>
            <w:vAlign w:val="center"/>
          </w:tcPr>
          <w:p w14:paraId="5C0A00C5">
            <w:pPr>
              <w:pStyle w:val="29"/>
              <w:widowControl w:val="0"/>
              <w:adjustRightInd w:val="0"/>
              <w:spacing w:before="0" w:beforeAutospacing="0" w:after="0" w:afterAutospacing="0" w:line="480" w:lineRule="exact"/>
              <w:jc w:val="center"/>
              <w:outlineLvl w:val="9"/>
              <w:rPr>
                <w:rFonts w:hint="eastAsia" w:ascii="宋体" w:hAnsi="宋体" w:eastAsia="宋体" w:cs="宋体"/>
                <w:bCs/>
                <w:color w:val="auto"/>
                <w:highlight w:val="none"/>
              </w:rPr>
            </w:pPr>
            <w:r>
              <w:rPr>
                <w:rFonts w:hint="eastAsia" w:ascii="宋体" w:hAnsi="宋体" w:eastAsia="宋体" w:cs="宋体"/>
                <w:bCs/>
                <w:color w:val="auto"/>
                <w:highlight w:val="none"/>
              </w:rPr>
              <w:t>技术参数</w:t>
            </w:r>
          </w:p>
        </w:tc>
        <w:tc>
          <w:tcPr>
            <w:tcW w:w="772" w:type="dxa"/>
            <w:vMerge w:val="continue"/>
            <w:tcBorders>
              <w:left w:val="single" w:color="auto" w:sz="4" w:space="0"/>
              <w:bottom w:val="single" w:color="auto" w:sz="4" w:space="0"/>
              <w:right w:val="single" w:color="auto" w:sz="4" w:space="0"/>
            </w:tcBorders>
            <w:noWrap/>
            <w:vAlign w:val="center"/>
          </w:tcPr>
          <w:p w14:paraId="2BDEEBEC">
            <w:pPr>
              <w:pStyle w:val="29"/>
              <w:widowControl w:val="0"/>
              <w:adjustRightInd w:val="0"/>
              <w:spacing w:before="0" w:beforeAutospacing="0" w:after="0" w:afterAutospacing="0" w:line="480" w:lineRule="exact"/>
              <w:jc w:val="center"/>
              <w:outlineLvl w:val="9"/>
              <w:rPr>
                <w:rFonts w:hint="eastAsia" w:ascii="宋体" w:hAnsi="宋体" w:eastAsia="宋体" w:cs="宋体"/>
                <w:bCs/>
                <w:color w:val="auto"/>
                <w:highlight w:val="none"/>
              </w:rPr>
            </w:pPr>
          </w:p>
        </w:tc>
        <w:tc>
          <w:tcPr>
            <w:tcW w:w="723" w:type="dxa"/>
            <w:vMerge w:val="continue"/>
            <w:tcBorders>
              <w:left w:val="single" w:color="auto" w:sz="4" w:space="0"/>
              <w:bottom w:val="single" w:color="auto" w:sz="4" w:space="0"/>
              <w:right w:val="single" w:color="auto" w:sz="4" w:space="0"/>
            </w:tcBorders>
            <w:noWrap/>
            <w:vAlign w:val="center"/>
          </w:tcPr>
          <w:p w14:paraId="261D915A">
            <w:pPr>
              <w:pStyle w:val="29"/>
              <w:widowControl w:val="0"/>
              <w:adjustRightInd w:val="0"/>
              <w:spacing w:before="0" w:beforeAutospacing="0" w:after="0" w:afterAutospacing="0" w:line="480" w:lineRule="exact"/>
              <w:jc w:val="center"/>
              <w:outlineLvl w:val="9"/>
              <w:rPr>
                <w:rFonts w:hint="eastAsia" w:ascii="宋体" w:hAnsi="宋体" w:eastAsia="宋体" w:cs="宋体"/>
                <w:bCs/>
                <w:color w:val="auto"/>
                <w:highlight w:val="none"/>
              </w:rPr>
            </w:pPr>
          </w:p>
        </w:tc>
        <w:tc>
          <w:tcPr>
            <w:tcW w:w="818" w:type="dxa"/>
            <w:vMerge w:val="continue"/>
            <w:tcBorders>
              <w:left w:val="single" w:color="auto" w:sz="4" w:space="0"/>
              <w:bottom w:val="single" w:color="auto" w:sz="4" w:space="0"/>
              <w:right w:val="single" w:color="auto" w:sz="4" w:space="0"/>
            </w:tcBorders>
            <w:noWrap/>
            <w:vAlign w:val="center"/>
          </w:tcPr>
          <w:p w14:paraId="12F09081">
            <w:pPr>
              <w:pStyle w:val="29"/>
              <w:widowControl w:val="0"/>
              <w:adjustRightInd w:val="0"/>
              <w:spacing w:before="0" w:beforeAutospacing="0" w:after="0" w:afterAutospacing="0" w:line="480" w:lineRule="exact"/>
              <w:ind w:firstLine="235" w:firstLineChars="98"/>
              <w:jc w:val="center"/>
              <w:outlineLvl w:val="9"/>
              <w:rPr>
                <w:rFonts w:hint="eastAsia" w:ascii="宋体" w:hAnsi="宋体" w:eastAsia="宋体" w:cs="宋体"/>
                <w:bCs/>
                <w:color w:val="auto"/>
                <w:highlight w:val="none"/>
              </w:rPr>
            </w:pPr>
          </w:p>
        </w:tc>
        <w:tc>
          <w:tcPr>
            <w:tcW w:w="937" w:type="dxa"/>
            <w:vMerge w:val="continue"/>
            <w:tcBorders>
              <w:left w:val="single" w:color="auto" w:sz="4" w:space="0"/>
              <w:bottom w:val="single" w:color="auto" w:sz="4" w:space="0"/>
              <w:right w:val="single" w:color="auto" w:sz="4" w:space="0"/>
            </w:tcBorders>
            <w:noWrap/>
            <w:vAlign w:val="center"/>
          </w:tcPr>
          <w:p w14:paraId="712F3386">
            <w:pPr>
              <w:pStyle w:val="29"/>
              <w:widowControl w:val="0"/>
              <w:adjustRightInd w:val="0"/>
              <w:spacing w:before="0" w:beforeAutospacing="0" w:after="0" w:afterAutospacing="0" w:line="480" w:lineRule="exact"/>
              <w:jc w:val="center"/>
              <w:outlineLvl w:val="9"/>
              <w:rPr>
                <w:rFonts w:hint="eastAsia" w:ascii="宋体" w:hAnsi="宋体" w:eastAsia="宋体" w:cs="宋体"/>
                <w:bCs/>
                <w:color w:val="auto"/>
                <w:highlight w:val="none"/>
              </w:rPr>
            </w:pPr>
          </w:p>
        </w:tc>
        <w:tc>
          <w:tcPr>
            <w:tcW w:w="1142" w:type="dxa"/>
            <w:vMerge w:val="continue"/>
            <w:tcBorders>
              <w:left w:val="single" w:color="auto" w:sz="4" w:space="0"/>
              <w:bottom w:val="single" w:color="auto" w:sz="4" w:space="0"/>
              <w:right w:val="single" w:color="auto" w:sz="4" w:space="0"/>
            </w:tcBorders>
            <w:noWrap/>
          </w:tcPr>
          <w:p w14:paraId="1A82BC3D">
            <w:pPr>
              <w:pStyle w:val="29"/>
              <w:widowControl w:val="0"/>
              <w:adjustRightInd w:val="0"/>
              <w:spacing w:before="0" w:beforeAutospacing="0" w:after="0" w:afterAutospacing="0" w:line="480" w:lineRule="exact"/>
              <w:ind w:left="105" w:leftChars="50" w:firstLine="115" w:firstLineChars="48"/>
              <w:jc w:val="center"/>
              <w:outlineLvl w:val="9"/>
              <w:rPr>
                <w:rFonts w:hint="eastAsia" w:ascii="宋体" w:hAnsi="宋体" w:eastAsia="宋体" w:cs="宋体"/>
                <w:bCs/>
                <w:color w:val="auto"/>
                <w:highlight w:val="none"/>
              </w:rPr>
            </w:pPr>
          </w:p>
        </w:tc>
      </w:tr>
      <w:tr w14:paraId="18F65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atLeast"/>
          <w:jc w:val="center"/>
        </w:trPr>
        <w:tc>
          <w:tcPr>
            <w:tcW w:w="1307" w:type="dxa"/>
            <w:tcBorders>
              <w:top w:val="single" w:color="auto" w:sz="4" w:space="0"/>
              <w:left w:val="single" w:color="auto" w:sz="4" w:space="0"/>
              <w:bottom w:val="single" w:color="auto" w:sz="4" w:space="0"/>
              <w:right w:val="single" w:color="auto" w:sz="4" w:space="0"/>
            </w:tcBorders>
            <w:noWrap/>
          </w:tcPr>
          <w:p w14:paraId="59467E6B">
            <w:pPr>
              <w:spacing w:line="480" w:lineRule="exact"/>
              <w:jc w:val="center"/>
              <w:outlineLvl w:val="9"/>
              <w:rPr>
                <w:rFonts w:hint="eastAsia" w:ascii="宋体" w:hAnsi="宋体" w:eastAsia="宋体" w:cs="宋体"/>
                <w:bCs/>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noWrap/>
          </w:tcPr>
          <w:p w14:paraId="2D02D17C">
            <w:pPr>
              <w:spacing w:line="480" w:lineRule="exact"/>
              <w:jc w:val="center"/>
              <w:outlineLvl w:val="9"/>
              <w:rPr>
                <w:rFonts w:hint="eastAsia" w:ascii="宋体" w:hAnsi="宋体" w:eastAsia="宋体" w:cs="宋体"/>
                <w:bCs/>
                <w:color w:val="auto"/>
                <w:sz w:val="24"/>
                <w:highlight w:val="none"/>
              </w:rPr>
            </w:pPr>
          </w:p>
        </w:tc>
        <w:tc>
          <w:tcPr>
            <w:tcW w:w="849" w:type="dxa"/>
            <w:tcBorders>
              <w:top w:val="single" w:color="auto" w:sz="4" w:space="0"/>
              <w:left w:val="single" w:color="auto" w:sz="4" w:space="0"/>
              <w:bottom w:val="single" w:color="auto" w:sz="4" w:space="0"/>
              <w:right w:val="single" w:color="auto" w:sz="4" w:space="0"/>
            </w:tcBorders>
            <w:noWrap/>
          </w:tcPr>
          <w:p w14:paraId="753B5CF7">
            <w:pPr>
              <w:spacing w:line="480" w:lineRule="exact"/>
              <w:jc w:val="center"/>
              <w:outlineLvl w:val="9"/>
              <w:rPr>
                <w:rFonts w:hint="eastAsia" w:ascii="宋体" w:hAnsi="宋体" w:eastAsia="宋体" w:cs="宋体"/>
                <w:bCs/>
                <w:color w:val="auto"/>
                <w:sz w:val="24"/>
                <w:highlight w:val="none"/>
              </w:rPr>
            </w:pPr>
          </w:p>
        </w:tc>
        <w:tc>
          <w:tcPr>
            <w:tcW w:w="2518" w:type="dxa"/>
            <w:tcBorders>
              <w:top w:val="single" w:color="auto" w:sz="4" w:space="0"/>
              <w:left w:val="single" w:color="auto" w:sz="4" w:space="0"/>
              <w:bottom w:val="single" w:color="auto" w:sz="4" w:space="0"/>
              <w:right w:val="single" w:color="auto" w:sz="4" w:space="0"/>
            </w:tcBorders>
            <w:noWrap/>
          </w:tcPr>
          <w:p w14:paraId="42CDE574">
            <w:pPr>
              <w:spacing w:line="480" w:lineRule="exact"/>
              <w:jc w:val="center"/>
              <w:outlineLvl w:val="9"/>
              <w:rPr>
                <w:rFonts w:hint="eastAsia" w:ascii="宋体" w:hAnsi="宋体" w:eastAsia="宋体" w:cs="宋体"/>
                <w:bCs/>
                <w:color w:val="auto"/>
                <w:sz w:val="24"/>
                <w:highlight w:val="none"/>
              </w:rPr>
            </w:pPr>
          </w:p>
        </w:tc>
        <w:tc>
          <w:tcPr>
            <w:tcW w:w="772" w:type="dxa"/>
            <w:tcBorders>
              <w:top w:val="single" w:color="auto" w:sz="4" w:space="0"/>
              <w:left w:val="single" w:color="auto" w:sz="4" w:space="0"/>
              <w:bottom w:val="single" w:color="auto" w:sz="4" w:space="0"/>
              <w:right w:val="single" w:color="auto" w:sz="4" w:space="0"/>
            </w:tcBorders>
            <w:noWrap/>
          </w:tcPr>
          <w:p w14:paraId="478F3F30">
            <w:pPr>
              <w:spacing w:line="480" w:lineRule="exact"/>
              <w:jc w:val="center"/>
              <w:outlineLvl w:val="9"/>
              <w:rPr>
                <w:rFonts w:hint="eastAsia" w:ascii="宋体" w:hAnsi="宋体" w:eastAsia="宋体" w:cs="宋体"/>
                <w:bCs/>
                <w:color w:val="auto"/>
                <w:sz w:val="24"/>
                <w:highlight w:val="none"/>
              </w:rPr>
            </w:pPr>
          </w:p>
        </w:tc>
        <w:tc>
          <w:tcPr>
            <w:tcW w:w="723" w:type="dxa"/>
            <w:tcBorders>
              <w:top w:val="single" w:color="auto" w:sz="4" w:space="0"/>
              <w:left w:val="single" w:color="auto" w:sz="4" w:space="0"/>
              <w:bottom w:val="single" w:color="auto" w:sz="4" w:space="0"/>
              <w:right w:val="single" w:color="auto" w:sz="4" w:space="0"/>
            </w:tcBorders>
            <w:noWrap/>
          </w:tcPr>
          <w:p w14:paraId="5CD6829D">
            <w:pPr>
              <w:spacing w:line="480" w:lineRule="exact"/>
              <w:jc w:val="center"/>
              <w:outlineLvl w:val="9"/>
              <w:rPr>
                <w:rFonts w:hint="eastAsia" w:ascii="宋体" w:hAnsi="宋体" w:eastAsia="宋体" w:cs="宋体"/>
                <w:bCs/>
                <w:color w:val="auto"/>
                <w:sz w:val="24"/>
                <w:highlight w:val="none"/>
              </w:rPr>
            </w:pPr>
          </w:p>
        </w:tc>
        <w:tc>
          <w:tcPr>
            <w:tcW w:w="818" w:type="dxa"/>
            <w:tcBorders>
              <w:top w:val="single" w:color="auto" w:sz="4" w:space="0"/>
              <w:left w:val="single" w:color="auto" w:sz="4" w:space="0"/>
              <w:bottom w:val="single" w:color="auto" w:sz="4" w:space="0"/>
              <w:right w:val="single" w:color="auto" w:sz="4" w:space="0"/>
            </w:tcBorders>
            <w:noWrap/>
          </w:tcPr>
          <w:p w14:paraId="595BF54A">
            <w:pPr>
              <w:spacing w:line="480" w:lineRule="exact"/>
              <w:jc w:val="center"/>
              <w:outlineLvl w:val="9"/>
              <w:rPr>
                <w:rFonts w:hint="eastAsia" w:ascii="宋体" w:hAnsi="宋体" w:eastAsia="宋体" w:cs="宋体"/>
                <w:bCs/>
                <w:color w:val="auto"/>
                <w:sz w:val="24"/>
                <w:highlight w:val="none"/>
              </w:rPr>
            </w:pPr>
          </w:p>
        </w:tc>
        <w:tc>
          <w:tcPr>
            <w:tcW w:w="937" w:type="dxa"/>
            <w:tcBorders>
              <w:top w:val="single" w:color="auto" w:sz="4" w:space="0"/>
              <w:left w:val="single" w:color="auto" w:sz="4" w:space="0"/>
              <w:bottom w:val="single" w:color="auto" w:sz="4" w:space="0"/>
              <w:right w:val="single" w:color="auto" w:sz="4" w:space="0"/>
            </w:tcBorders>
            <w:noWrap/>
          </w:tcPr>
          <w:p w14:paraId="4B098F45">
            <w:pPr>
              <w:spacing w:line="480" w:lineRule="exact"/>
              <w:jc w:val="center"/>
              <w:outlineLvl w:val="9"/>
              <w:rPr>
                <w:rFonts w:hint="eastAsia" w:ascii="宋体" w:hAnsi="宋体" w:eastAsia="宋体" w:cs="宋体"/>
                <w:bCs/>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noWrap/>
          </w:tcPr>
          <w:p w14:paraId="2456C538">
            <w:pPr>
              <w:spacing w:line="480" w:lineRule="exact"/>
              <w:jc w:val="center"/>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如：国家/行业标准...</w:t>
            </w:r>
          </w:p>
        </w:tc>
      </w:tr>
      <w:tr w14:paraId="2621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307" w:type="dxa"/>
            <w:tcBorders>
              <w:top w:val="single" w:color="auto" w:sz="4" w:space="0"/>
              <w:left w:val="single" w:color="auto" w:sz="4" w:space="0"/>
              <w:bottom w:val="single" w:color="auto" w:sz="4" w:space="0"/>
              <w:right w:val="single" w:color="auto" w:sz="4" w:space="0"/>
            </w:tcBorders>
            <w:noWrap/>
          </w:tcPr>
          <w:p w14:paraId="5BA6B1C3">
            <w:pPr>
              <w:spacing w:line="480" w:lineRule="exact"/>
              <w:jc w:val="center"/>
              <w:outlineLvl w:val="9"/>
              <w:rPr>
                <w:rFonts w:hint="eastAsia" w:ascii="宋体" w:hAnsi="宋体" w:eastAsia="宋体" w:cs="宋体"/>
                <w:bCs/>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noWrap/>
          </w:tcPr>
          <w:p w14:paraId="0FC927D4">
            <w:pPr>
              <w:spacing w:line="480" w:lineRule="exact"/>
              <w:jc w:val="center"/>
              <w:outlineLvl w:val="9"/>
              <w:rPr>
                <w:rFonts w:hint="eastAsia" w:ascii="宋体" w:hAnsi="宋体" w:eastAsia="宋体" w:cs="宋体"/>
                <w:bCs/>
                <w:color w:val="auto"/>
                <w:sz w:val="24"/>
                <w:highlight w:val="none"/>
              </w:rPr>
            </w:pPr>
          </w:p>
        </w:tc>
        <w:tc>
          <w:tcPr>
            <w:tcW w:w="849" w:type="dxa"/>
            <w:tcBorders>
              <w:top w:val="single" w:color="auto" w:sz="4" w:space="0"/>
              <w:left w:val="single" w:color="auto" w:sz="4" w:space="0"/>
              <w:bottom w:val="single" w:color="auto" w:sz="4" w:space="0"/>
              <w:right w:val="single" w:color="auto" w:sz="4" w:space="0"/>
            </w:tcBorders>
            <w:noWrap/>
          </w:tcPr>
          <w:p w14:paraId="07A13071">
            <w:pPr>
              <w:spacing w:line="480" w:lineRule="exact"/>
              <w:jc w:val="center"/>
              <w:outlineLvl w:val="9"/>
              <w:rPr>
                <w:rFonts w:hint="eastAsia" w:ascii="宋体" w:hAnsi="宋体" w:eastAsia="宋体" w:cs="宋体"/>
                <w:bCs/>
                <w:color w:val="auto"/>
                <w:sz w:val="24"/>
                <w:highlight w:val="none"/>
              </w:rPr>
            </w:pPr>
          </w:p>
        </w:tc>
        <w:tc>
          <w:tcPr>
            <w:tcW w:w="2518" w:type="dxa"/>
            <w:tcBorders>
              <w:top w:val="single" w:color="auto" w:sz="4" w:space="0"/>
              <w:left w:val="single" w:color="auto" w:sz="4" w:space="0"/>
              <w:bottom w:val="single" w:color="auto" w:sz="4" w:space="0"/>
              <w:right w:val="single" w:color="auto" w:sz="4" w:space="0"/>
            </w:tcBorders>
            <w:noWrap/>
          </w:tcPr>
          <w:p w14:paraId="19585074">
            <w:pPr>
              <w:spacing w:line="480" w:lineRule="exact"/>
              <w:jc w:val="center"/>
              <w:outlineLvl w:val="9"/>
              <w:rPr>
                <w:rFonts w:hint="eastAsia" w:ascii="宋体" w:hAnsi="宋体" w:eastAsia="宋体" w:cs="宋体"/>
                <w:bCs/>
                <w:color w:val="auto"/>
                <w:sz w:val="24"/>
                <w:highlight w:val="none"/>
              </w:rPr>
            </w:pPr>
          </w:p>
        </w:tc>
        <w:tc>
          <w:tcPr>
            <w:tcW w:w="772" w:type="dxa"/>
            <w:tcBorders>
              <w:top w:val="single" w:color="auto" w:sz="4" w:space="0"/>
              <w:left w:val="single" w:color="auto" w:sz="4" w:space="0"/>
              <w:bottom w:val="single" w:color="auto" w:sz="4" w:space="0"/>
              <w:right w:val="single" w:color="auto" w:sz="4" w:space="0"/>
            </w:tcBorders>
            <w:noWrap/>
          </w:tcPr>
          <w:p w14:paraId="7A7B0FE6">
            <w:pPr>
              <w:spacing w:line="480" w:lineRule="exact"/>
              <w:jc w:val="center"/>
              <w:outlineLvl w:val="9"/>
              <w:rPr>
                <w:rFonts w:hint="eastAsia" w:ascii="宋体" w:hAnsi="宋体" w:eastAsia="宋体" w:cs="宋体"/>
                <w:bCs/>
                <w:color w:val="auto"/>
                <w:sz w:val="24"/>
                <w:highlight w:val="none"/>
              </w:rPr>
            </w:pPr>
          </w:p>
        </w:tc>
        <w:tc>
          <w:tcPr>
            <w:tcW w:w="723" w:type="dxa"/>
            <w:tcBorders>
              <w:top w:val="single" w:color="auto" w:sz="4" w:space="0"/>
              <w:left w:val="single" w:color="auto" w:sz="4" w:space="0"/>
              <w:bottom w:val="single" w:color="auto" w:sz="4" w:space="0"/>
              <w:right w:val="single" w:color="auto" w:sz="4" w:space="0"/>
            </w:tcBorders>
            <w:noWrap/>
          </w:tcPr>
          <w:p w14:paraId="6E7CC2B0">
            <w:pPr>
              <w:spacing w:line="480" w:lineRule="exact"/>
              <w:jc w:val="center"/>
              <w:outlineLvl w:val="9"/>
              <w:rPr>
                <w:rFonts w:hint="eastAsia" w:ascii="宋体" w:hAnsi="宋体" w:eastAsia="宋体" w:cs="宋体"/>
                <w:bCs/>
                <w:color w:val="auto"/>
                <w:sz w:val="24"/>
                <w:highlight w:val="none"/>
              </w:rPr>
            </w:pPr>
          </w:p>
        </w:tc>
        <w:tc>
          <w:tcPr>
            <w:tcW w:w="818" w:type="dxa"/>
            <w:tcBorders>
              <w:top w:val="single" w:color="auto" w:sz="4" w:space="0"/>
              <w:left w:val="single" w:color="auto" w:sz="4" w:space="0"/>
              <w:bottom w:val="single" w:color="auto" w:sz="4" w:space="0"/>
              <w:right w:val="single" w:color="auto" w:sz="4" w:space="0"/>
            </w:tcBorders>
            <w:noWrap/>
          </w:tcPr>
          <w:p w14:paraId="59D748A1">
            <w:pPr>
              <w:spacing w:line="480" w:lineRule="exact"/>
              <w:jc w:val="center"/>
              <w:outlineLvl w:val="9"/>
              <w:rPr>
                <w:rFonts w:hint="eastAsia" w:ascii="宋体" w:hAnsi="宋体" w:eastAsia="宋体" w:cs="宋体"/>
                <w:bCs/>
                <w:color w:val="auto"/>
                <w:sz w:val="24"/>
                <w:highlight w:val="none"/>
              </w:rPr>
            </w:pPr>
          </w:p>
        </w:tc>
        <w:tc>
          <w:tcPr>
            <w:tcW w:w="937" w:type="dxa"/>
            <w:tcBorders>
              <w:top w:val="single" w:color="auto" w:sz="4" w:space="0"/>
              <w:left w:val="single" w:color="auto" w:sz="4" w:space="0"/>
              <w:bottom w:val="single" w:color="auto" w:sz="4" w:space="0"/>
              <w:right w:val="single" w:color="auto" w:sz="4" w:space="0"/>
            </w:tcBorders>
            <w:noWrap/>
          </w:tcPr>
          <w:p w14:paraId="075884CA">
            <w:pPr>
              <w:spacing w:line="480" w:lineRule="exact"/>
              <w:jc w:val="center"/>
              <w:outlineLvl w:val="9"/>
              <w:rPr>
                <w:rFonts w:hint="eastAsia" w:ascii="宋体" w:hAnsi="宋体" w:eastAsia="宋体" w:cs="宋体"/>
                <w:bCs/>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noWrap/>
          </w:tcPr>
          <w:p w14:paraId="39E92037">
            <w:pPr>
              <w:spacing w:line="480" w:lineRule="exact"/>
              <w:jc w:val="center"/>
              <w:outlineLvl w:val="9"/>
              <w:rPr>
                <w:rFonts w:hint="eastAsia" w:ascii="宋体" w:hAnsi="宋体" w:eastAsia="宋体" w:cs="宋体"/>
                <w:bCs/>
                <w:color w:val="auto"/>
                <w:sz w:val="24"/>
                <w:highlight w:val="none"/>
              </w:rPr>
            </w:pPr>
          </w:p>
        </w:tc>
      </w:tr>
      <w:tr w14:paraId="028E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307" w:type="dxa"/>
            <w:tcBorders>
              <w:top w:val="single" w:color="auto" w:sz="4" w:space="0"/>
              <w:left w:val="single" w:color="auto" w:sz="4" w:space="0"/>
              <w:bottom w:val="single" w:color="auto" w:sz="4" w:space="0"/>
              <w:right w:val="single" w:color="auto" w:sz="4" w:space="0"/>
            </w:tcBorders>
            <w:noWrap/>
          </w:tcPr>
          <w:p w14:paraId="46451CE4">
            <w:pPr>
              <w:spacing w:line="480" w:lineRule="exact"/>
              <w:jc w:val="center"/>
              <w:outlineLvl w:val="9"/>
              <w:rPr>
                <w:rFonts w:hint="eastAsia" w:ascii="宋体" w:hAnsi="宋体" w:eastAsia="宋体" w:cs="宋体"/>
                <w:bCs/>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noWrap/>
          </w:tcPr>
          <w:p w14:paraId="0A51A028">
            <w:pPr>
              <w:spacing w:line="480" w:lineRule="exact"/>
              <w:jc w:val="center"/>
              <w:outlineLvl w:val="9"/>
              <w:rPr>
                <w:rFonts w:hint="eastAsia" w:ascii="宋体" w:hAnsi="宋体" w:eastAsia="宋体" w:cs="宋体"/>
                <w:bCs/>
                <w:color w:val="auto"/>
                <w:sz w:val="24"/>
                <w:highlight w:val="none"/>
              </w:rPr>
            </w:pPr>
          </w:p>
        </w:tc>
        <w:tc>
          <w:tcPr>
            <w:tcW w:w="849" w:type="dxa"/>
            <w:tcBorders>
              <w:top w:val="single" w:color="auto" w:sz="4" w:space="0"/>
              <w:left w:val="single" w:color="auto" w:sz="4" w:space="0"/>
              <w:bottom w:val="single" w:color="auto" w:sz="4" w:space="0"/>
              <w:right w:val="single" w:color="auto" w:sz="4" w:space="0"/>
            </w:tcBorders>
            <w:noWrap/>
          </w:tcPr>
          <w:p w14:paraId="0357A12E">
            <w:pPr>
              <w:spacing w:line="480" w:lineRule="exact"/>
              <w:jc w:val="center"/>
              <w:outlineLvl w:val="9"/>
              <w:rPr>
                <w:rFonts w:hint="eastAsia" w:ascii="宋体" w:hAnsi="宋体" w:eastAsia="宋体" w:cs="宋体"/>
                <w:bCs/>
                <w:color w:val="auto"/>
                <w:sz w:val="24"/>
                <w:highlight w:val="none"/>
              </w:rPr>
            </w:pPr>
          </w:p>
        </w:tc>
        <w:tc>
          <w:tcPr>
            <w:tcW w:w="2518" w:type="dxa"/>
            <w:tcBorders>
              <w:top w:val="single" w:color="auto" w:sz="4" w:space="0"/>
              <w:left w:val="single" w:color="auto" w:sz="4" w:space="0"/>
              <w:bottom w:val="single" w:color="auto" w:sz="4" w:space="0"/>
              <w:right w:val="single" w:color="auto" w:sz="4" w:space="0"/>
            </w:tcBorders>
            <w:noWrap/>
          </w:tcPr>
          <w:p w14:paraId="3D9A0C77">
            <w:pPr>
              <w:spacing w:line="480" w:lineRule="exact"/>
              <w:jc w:val="center"/>
              <w:outlineLvl w:val="9"/>
              <w:rPr>
                <w:rFonts w:hint="eastAsia" w:ascii="宋体" w:hAnsi="宋体" w:eastAsia="宋体" w:cs="宋体"/>
                <w:bCs/>
                <w:color w:val="auto"/>
                <w:sz w:val="24"/>
                <w:highlight w:val="none"/>
              </w:rPr>
            </w:pPr>
          </w:p>
        </w:tc>
        <w:tc>
          <w:tcPr>
            <w:tcW w:w="772" w:type="dxa"/>
            <w:tcBorders>
              <w:top w:val="single" w:color="auto" w:sz="4" w:space="0"/>
              <w:left w:val="single" w:color="auto" w:sz="4" w:space="0"/>
              <w:bottom w:val="single" w:color="auto" w:sz="4" w:space="0"/>
              <w:right w:val="single" w:color="auto" w:sz="4" w:space="0"/>
            </w:tcBorders>
            <w:noWrap/>
          </w:tcPr>
          <w:p w14:paraId="7825D602">
            <w:pPr>
              <w:spacing w:line="480" w:lineRule="exact"/>
              <w:jc w:val="center"/>
              <w:outlineLvl w:val="9"/>
              <w:rPr>
                <w:rFonts w:hint="eastAsia" w:ascii="宋体" w:hAnsi="宋体" w:eastAsia="宋体" w:cs="宋体"/>
                <w:bCs/>
                <w:color w:val="auto"/>
                <w:sz w:val="24"/>
                <w:highlight w:val="none"/>
              </w:rPr>
            </w:pPr>
          </w:p>
        </w:tc>
        <w:tc>
          <w:tcPr>
            <w:tcW w:w="723" w:type="dxa"/>
            <w:tcBorders>
              <w:top w:val="single" w:color="auto" w:sz="4" w:space="0"/>
              <w:left w:val="single" w:color="auto" w:sz="4" w:space="0"/>
              <w:bottom w:val="single" w:color="auto" w:sz="4" w:space="0"/>
              <w:right w:val="single" w:color="auto" w:sz="4" w:space="0"/>
            </w:tcBorders>
            <w:noWrap/>
          </w:tcPr>
          <w:p w14:paraId="707094F8">
            <w:pPr>
              <w:spacing w:line="480" w:lineRule="exact"/>
              <w:jc w:val="center"/>
              <w:outlineLvl w:val="9"/>
              <w:rPr>
                <w:rFonts w:hint="eastAsia" w:ascii="宋体" w:hAnsi="宋体" w:eastAsia="宋体" w:cs="宋体"/>
                <w:bCs/>
                <w:color w:val="auto"/>
                <w:sz w:val="24"/>
                <w:highlight w:val="none"/>
              </w:rPr>
            </w:pPr>
          </w:p>
        </w:tc>
        <w:tc>
          <w:tcPr>
            <w:tcW w:w="818" w:type="dxa"/>
            <w:tcBorders>
              <w:top w:val="single" w:color="auto" w:sz="4" w:space="0"/>
              <w:left w:val="single" w:color="auto" w:sz="4" w:space="0"/>
              <w:bottom w:val="single" w:color="auto" w:sz="4" w:space="0"/>
              <w:right w:val="single" w:color="auto" w:sz="4" w:space="0"/>
            </w:tcBorders>
            <w:noWrap/>
          </w:tcPr>
          <w:p w14:paraId="004BB4C2">
            <w:pPr>
              <w:spacing w:line="480" w:lineRule="exact"/>
              <w:jc w:val="center"/>
              <w:outlineLvl w:val="9"/>
              <w:rPr>
                <w:rFonts w:hint="eastAsia" w:ascii="宋体" w:hAnsi="宋体" w:eastAsia="宋体" w:cs="宋体"/>
                <w:bCs/>
                <w:color w:val="auto"/>
                <w:sz w:val="24"/>
                <w:highlight w:val="none"/>
              </w:rPr>
            </w:pPr>
          </w:p>
        </w:tc>
        <w:tc>
          <w:tcPr>
            <w:tcW w:w="937" w:type="dxa"/>
            <w:tcBorders>
              <w:top w:val="single" w:color="auto" w:sz="4" w:space="0"/>
              <w:left w:val="single" w:color="auto" w:sz="4" w:space="0"/>
              <w:bottom w:val="single" w:color="auto" w:sz="4" w:space="0"/>
              <w:right w:val="single" w:color="auto" w:sz="4" w:space="0"/>
            </w:tcBorders>
            <w:noWrap/>
          </w:tcPr>
          <w:p w14:paraId="3FD8E777">
            <w:pPr>
              <w:spacing w:line="480" w:lineRule="exact"/>
              <w:jc w:val="center"/>
              <w:outlineLvl w:val="9"/>
              <w:rPr>
                <w:rFonts w:hint="eastAsia" w:ascii="宋体" w:hAnsi="宋体" w:eastAsia="宋体" w:cs="宋体"/>
                <w:bCs/>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noWrap/>
          </w:tcPr>
          <w:p w14:paraId="37C75ABD">
            <w:pPr>
              <w:spacing w:line="480" w:lineRule="exact"/>
              <w:jc w:val="center"/>
              <w:outlineLvl w:val="9"/>
              <w:rPr>
                <w:rFonts w:hint="eastAsia" w:ascii="宋体" w:hAnsi="宋体" w:eastAsia="宋体" w:cs="宋体"/>
                <w:bCs/>
                <w:color w:val="auto"/>
                <w:sz w:val="24"/>
                <w:highlight w:val="none"/>
              </w:rPr>
            </w:pPr>
          </w:p>
        </w:tc>
      </w:tr>
      <w:tr w14:paraId="7B09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307" w:type="dxa"/>
            <w:tcBorders>
              <w:top w:val="single" w:color="auto" w:sz="4" w:space="0"/>
              <w:left w:val="single" w:color="auto" w:sz="4" w:space="0"/>
              <w:bottom w:val="single" w:color="auto" w:sz="4" w:space="0"/>
              <w:right w:val="single" w:color="auto" w:sz="4" w:space="0"/>
            </w:tcBorders>
            <w:noWrap/>
          </w:tcPr>
          <w:p w14:paraId="07D3AAF2">
            <w:pPr>
              <w:spacing w:line="480" w:lineRule="exact"/>
              <w:jc w:val="center"/>
              <w:outlineLvl w:val="9"/>
              <w:rPr>
                <w:rFonts w:hint="eastAsia" w:ascii="宋体" w:hAnsi="宋体" w:eastAsia="宋体" w:cs="宋体"/>
                <w:bCs/>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noWrap/>
          </w:tcPr>
          <w:p w14:paraId="4316C7F0">
            <w:pPr>
              <w:spacing w:line="480" w:lineRule="exact"/>
              <w:jc w:val="center"/>
              <w:outlineLvl w:val="9"/>
              <w:rPr>
                <w:rFonts w:hint="eastAsia" w:ascii="宋体" w:hAnsi="宋体" w:eastAsia="宋体" w:cs="宋体"/>
                <w:bCs/>
                <w:color w:val="auto"/>
                <w:sz w:val="24"/>
                <w:highlight w:val="none"/>
              </w:rPr>
            </w:pPr>
          </w:p>
        </w:tc>
        <w:tc>
          <w:tcPr>
            <w:tcW w:w="849" w:type="dxa"/>
            <w:tcBorders>
              <w:top w:val="single" w:color="auto" w:sz="4" w:space="0"/>
              <w:left w:val="single" w:color="auto" w:sz="4" w:space="0"/>
              <w:bottom w:val="single" w:color="auto" w:sz="4" w:space="0"/>
              <w:right w:val="single" w:color="auto" w:sz="4" w:space="0"/>
            </w:tcBorders>
            <w:noWrap/>
          </w:tcPr>
          <w:p w14:paraId="7F871A2D">
            <w:pPr>
              <w:spacing w:line="480" w:lineRule="exact"/>
              <w:jc w:val="center"/>
              <w:outlineLvl w:val="9"/>
              <w:rPr>
                <w:rFonts w:hint="eastAsia" w:ascii="宋体" w:hAnsi="宋体" w:eastAsia="宋体" w:cs="宋体"/>
                <w:bCs/>
                <w:color w:val="auto"/>
                <w:sz w:val="24"/>
                <w:highlight w:val="none"/>
              </w:rPr>
            </w:pPr>
          </w:p>
        </w:tc>
        <w:tc>
          <w:tcPr>
            <w:tcW w:w="2518" w:type="dxa"/>
            <w:tcBorders>
              <w:top w:val="single" w:color="auto" w:sz="4" w:space="0"/>
              <w:left w:val="single" w:color="auto" w:sz="4" w:space="0"/>
              <w:bottom w:val="single" w:color="auto" w:sz="4" w:space="0"/>
              <w:right w:val="single" w:color="auto" w:sz="4" w:space="0"/>
            </w:tcBorders>
            <w:noWrap/>
          </w:tcPr>
          <w:p w14:paraId="3D9D14FD">
            <w:pPr>
              <w:spacing w:line="480" w:lineRule="exact"/>
              <w:jc w:val="center"/>
              <w:outlineLvl w:val="9"/>
              <w:rPr>
                <w:rFonts w:hint="eastAsia" w:ascii="宋体" w:hAnsi="宋体" w:eastAsia="宋体" w:cs="宋体"/>
                <w:bCs/>
                <w:color w:val="auto"/>
                <w:sz w:val="24"/>
                <w:highlight w:val="none"/>
              </w:rPr>
            </w:pPr>
          </w:p>
        </w:tc>
        <w:tc>
          <w:tcPr>
            <w:tcW w:w="772" w:type="dxa"/>
            <w:tcBorders>
              <w:top w:val="single" w:color="auto" w:sz="4" w:space="0"/>
              <w:left w:val="single" w:color="auto" w:sz="4" w:space="0"/>
              <w:bottom w:val="single" w:color="auto" w:sz="4" w:space="0"/>
              <w:right w:val="single" w:color="auto" w:sz="4" w:space="0"/>
            </w:tcBorders>
            <w:noWrap/>
          </w:tcPr>
          <w:p w14:paraId="6A3292D7">
            <w:pPr>
              <w:spacing w:line="480" w:lineRule="exact"/>
              <w:jc w:val="center"/>
              <w:outlineLvl w:val="9"/>
              <w:rPr>
                <w:rFonts w:hint="eastAsia" w:ascii="宋体" w:hAnsi="宋体" w:eastAsia="宋体" w:cs="宋体"/>
                <w:bCs/>
                <w:color w:val="auto"/>
                <w:sz w:val="24"/>
                <w:highlight w:val="none"/>
              </w:rPr>
            </w:pPr>
          </w:p>
        </w:tc>
        <w:tc>
          <w:tcPr>
            <w:tcW w:w="723" w:type="dxa"/>
            <w:tcBorders>
              <w:top w:val="single" w:color="auto" w:sz="4" w:space="0"/>
              <w:left w:val="single" w:color="auto" w:sz="4" w:space="0"/>
              <w:bottom w:val="single" w:color="auto" w:sz="4" w:space="0"/>
              <w:right w:val="single" w:color="auto" w:sz="4" w:space="0"/>
            </w:tcBorders>
            <w:noWrap/>
          </w:tcPr>
          <w:p w14:paraId="60C25168">
            <w:pPr>
              <w:spacing w:line="480" w:lineRule="exact"/>
              <w:jc w:val="center"/>
              <w:outlineLvl w:val="9"/>
              <w:rPr>
                <w:rFonts w:hint="eastAsia" w:ascii="宋体" w:hAnsi="宋体" w:eastAsia="宋体" w:cs="宋体"/>
                <w:bCs/>
                <w:color w:val="auto"/>
                <w:sz w:val="24"/>
                <w:highlight w:val="none"/>
              </w:rPr>
            </w:pPr>
          </w:p>
        </w:tc>
        <w:tc>
          <w:tcPr>
            <w:tcW w:w="818" w:type="dxa"/>
            <w:tcBorders>
              <w:top w:val="single" w:color="auto" w:sz="4" w:space="0"/>
              <w:left w:val="single" w:color="auto" w:sz="4" w:space="0"/>
              <w:bottom w:val="single" w:color="auto" w:sz="4" w:space="0"/>
              <w:right w:val="single" w:color="auto" w:sz="4" w:space="0"/>
            </w:tcBorders>
            <w:noWrap/>
          </w:tcPr>
          <w:p w14:paraId="4FD1A056">
            <w:pPr>
              <w:spacing w:line="480" w:lineRule="exact"/>
              <w:jc w:val="center"/>
              <w:outlineLvl w:val="9"/>
              <w:rPr>
                <w:rFonts w:hint="eastAsia" w:ascii="宋体" w:hAnsi="宋体" w:eastAsia="宋体" w:cs="宋体"/>
                <w:bCs/>
                <w:color w:val="auto"/>
                <w:sz w:val="24"/>
                <w:highlight w:val="none"/>
              </w:rPr>
            </w:pPr>
          </w:p>
        </w:tc>
        <w:tc>
          <w:tcPr>
            <w:tcW w:w="937" w:type="dxa"/>
            <w:tcBorders>
              <w:top w:val="single" w:color="auto" w:sz="4" w:space="0"/>
              <w:left w:val="single" w:color="auto" w:sz="4" w:space="0"/>
              <w:bottom w:val="single" w:color="auto" w:sz="4" w:space="0"/>
              <w:right w:val="single" w:color="auto" w:sz="4" w:space="0"/>
            </w:tcBorders>
            <w:noWrap/>
          </w:tcPr>
          <w:p w14:paraId="6A6BAEBF">
            <w:pPr>
              <w:spacing w:line="480" w:lineRule="exact"/>
              <w:jc w:val="center"/>
              <w:outlineLvl w:val="9"/>
              <w:rPr>
                <w:rFonts w:hint="eastAsia" w:ascii="宋体" w:hAnsi="宋体" w:eastAsia="宋体" w:cs="宋体"/>
                <w:bCs/>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noWrap/>
          </w:tcPr>
          <w:p w14:paraId="13F9496E">
            <w:pPr>
              <w:spacing w:line="480" w:lineRule="exact"/>
              <w:jc w:val="center"/>
              <w:outlineLvl w:val="9"/>
              <w:rPr>
                <w:rFonts w:hint="eastAsia" w:ascii="宋体" w:hAnsi="宋体" w:eastAsia="宋体" w:cs="宋体"/>
                <w:bCs/>
                <w:color w:val="auto"/>
                <w:sz w:val="24"/>
                <w:highlight w:val="none"/>
              </w:rPr>
            </w:pPr>
          </w:p>
        </w:tc>
      </w:tr>
      <w:tr w14:paraId="44C9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307" w:type="dxa"/>
            <w:tcBorders>
              <w:top w:val="single" w:color="auto" w:sz="4" w:space="0"/>
              <w:left w:val="single" w:color="auto" w:sz="4" w:space="0"/>
              <w:bottom w:val="single" w:color="auto" w:sz="4" w:space="0"/>
              <w:right w:val="single" w:color="auto" w:sz="4" w:space="0"/>
            </w:tcBorders>
            <w:noWrap/>
          </w:tcPr>
          <w:p w14:paraId="25A1A0A7">
            <w:pPr>
              <w:spacing w:line="480" w:lineRule="exact"/>
              <w:jc w:val="center"/>
              <w:outlineLvl w:val="9"/>
              <w:rPr>
                <w:rFonts w:hint="eastAsia" w:ascii="宋体" w:hAnsi="宋体" w:eastAsia="宋体" w:cs="宋体"/>
                <w:bCs/>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noWrap/>
          </w:tcPr>
          <w:p w14:paraId="24638341">
            <w:pPr>
              <w:spacing w:line="480" w:lineRule="exact"/>
              <w:jc w:val="center"/>
              <w:outlineLvl w:val="9"/>
              <w:rPr>
                <w:rFonts w:hint="eastAsia" w:ascii="宋体" w:hAnsi="宋体" w:eastAsia="宋体" w:cs="宋体"/>
                <w:bCs/>
                <w:color w:val="auto"/>
                <w:sz w:val="24"/>
                <w:highlight w:val="none"/>
              </w:rPr>
            </w:pPr>
          </w:p>
        </w:tc>
        <w:tc>
          <w:tcPr>
            <w:tcW w:w="849" w:type="dxa"/>
            <w:tcBorders>
              <w:top w:val="single" w:color="auto" w:sz="4" w:space="0"/>
              <w:left w:val="single" w:color="auto" w:sz="4" w:space="0"/>
              <w:bottom w:val="single" w:color="auto" w:sz="4" w:space="0"/>
              <w:right w:val="single" w:color="auto" w:sz="4" w:space="0"/>
            </w:tcBorders>
            <w:noWrap/>
          </w:tcPr>
          <w:p w14:paraId="6884CFDE">
            <w:pPr>
              <w:spacing w:line="480" w:lineRule="exact"/>
              <w:jc w:val="center"/>
              <w:outlineLvl w:val="9"/>
              <w:rPr>
                <w:rFonts w:hint="eastAsia" w:ascii="宋体" w:hAnsi="宋体" w:eastAsia="宋体" w:cs="宋体"/>
                <w:bCs/>
                <w:color w:val="auto"/>
                <w:sz w:val="24"/>
                <w:highlight w:val="none"/>
              </w:rPr>
            </w:pPr>
          </w:p>
        </w:tc>
        <w:tc>
          <w:tcPr>
            <w:tcW w:w="2518" w:type="dxa"/>
            <w:tcBorders>
              <w:top w:val="single" w:color="auto" w:sz="4" w:space="0"/>
              <w:left w:val="single" w:color="auto" w:sz="4" w:space="0"/>
              <w:bottom w:val="single" w:color="auto" w:sz="4" w:space="0"/>
              <w:right w:val="single" w:color="auto" w:sz="4" w:space="0"/>
            </w:tcBorders>
            <w:noWrap/>
          </w:tcPr>
          <w:p w14:paraId="29206723">
            <w:pPr>
              <w:spacing w:line="480" w:lineRule="exact"/>
              <w:jc w:val="center"/>
              <w:outlineLvl w:val="9"/>
              <w:rPr>
                <w:rFonts w:hint="eastAsia" w:ascii="宋体" w:hAnsi="宋体" w:eastAsia="宋体" w:cs="宋体"/>
                <w:bCs/>
                <w:color w:val="auto"/>
                <w:sz w:val="24"/>
                <w:highlight w:val="none"/>
              </w:rPr>
            </w:pPr>
          </w:p>
        </w:tc>
        <w:tc>
          <w:tcPr>
            <w:tcW w:w="772" w:type="dxa"/>
            <w:tcBorders>
              <w:top w:val="single" w:color="auto" w:sz="4" w:space="0"/>
              <w:left w:val="single" w:color="auto" w:sz="4" w:space="0"/>
              <w:bottom w:val="single" w:color="auto" w:sz="4" w:space="0"/>
              <w:right w:val="single" w:color="auto" w:sz="4" w:space="0"/>
            </w:tcBorders>
            <w:noWrap/>
          </w:tcPr>
          <w:p w14:paraId="0A71353B">
            <w:pPr>
              <w:spacing w:line="480" w:lineRule="exact"/>
              <w:jc w:val="center"/>
              <w:outlineLvl w:val="9"/>
              <w:rPr>
                <w:rFonts w:hint="eastAsia" w:ascii="宋体" w:hAnsi="宋体" w:eastAsia="宋体" w:cs="宋体"/>
                <w:bCs/>
                <w:color w:val="auto"/>
                <w:sz w:val="24"/>
                <w:highlight w:val="none"/>
              </w:rPr>
            </w:pPr>
          </w:p>
        </w:tc>
        <w:tc>
          <w:tcPr>
            <w:tcW w:w="723" w:type="dxa"/>
            <w:tcBorders>
              <w:top w:val="single" w:color="auto" w:sz="4" w:space="0"/>
              <w:left w:val="single" w:color="auto" w:sz="4" w:space="0"/>
              <w:bottom w:val="single" w:color="auto" w:sz="4" w:space="0"/>
              <w:right w:val="single" w:color="auto" w:sz="4" w:space="0"/>
            </w:tcBorders>
            <w:noWrap/>
          </w:tcPr>
          <w:p w14:paraId="2E79D179">
            <w:pPr>
              <w:spacing w:line="480" w:lineRule="exact"/>
              <w:jc w:val="center"/>
              <w:outlineLvl w:val="9"/>
              <w:rPr>
                <w:rFonts w:hint="eastAsia" w:ascii="宋体" w:hAnsi="宋体" w:eastAsia="宋体" w:cs="宋体"/>
                <w:bCs/>
                <w:color w:val="auto"/>
                <w:sz w:val="24"/>
                <w:highlight w:val="none"/>
              </w:rPr>
            </w:pPr>
          </w:p>
        </w:tc>
        <w:tc>
          <w:tcPr>
            <w:tcW w:w="818" w:type="dxa"/>
            <w:tcBorders>
              <w:top w:val="single" w:color="auto" w:sz="4" w:space="0"/>
              <w:left w:val="single" w:color="auto" w:sz="4" w:space="0"/>
              <w:bottom w:val="single" w:color="auto" w:sz="4" w:space="0"/>
              <w:right w:val="single" w:color="auto" w:sz="4" w:space="0"/>
            </w:tcBorders>
            <w:noWrap/>
          </w:tcPr>
          <w:p w14:paraId="3E5B8DB0">
            <w:pPr>
              <w:spacing w:line="480" w:lineRule="exact"/>
              <w:jc w:val="center"/>
              <w:outlineLvl w:val="9"/>
              <w:rPr>
                <w:rFonts w:hint="eastAsia" w:ascii="宋体" w:hAnsi="宋体" w:eastAsia="宋体" w:cs="宋体"/>
                <w:bCs/>
                <w:color w:val="auto"/>
                <w:sz w:val="24"/>
                <w:highlight w:val="none"/>
              </w:rPr>
            </w:pPr>
          </w:p>
        </w:tc>
        <w:tc>
          <w:tcPr>
            <w:tcW w:w="937" w:type="dxa"/>
            <w:tcBorders>
              <w:top w:val="single" w:color="auto" w:sz="4" w:space="0"/>
              <w:left w:val="single" w:color="auto" w:sz="4" w:space="0"/>
              <w:bottom w:val="single" w:color="auto" w:sz="4" w:space="0"/>
              <w:right w:val="single" w:color="auto" w:sz="4" w:space="0"/>
            </w:tcBorders>
            <w:noWrap/>
          </w:tcPr>
          <w:p w14:paraId="12E68CC8">
            <w:pPr>
              <w:spacing w:line="480" w:lineRule="exact"/>
              <w:jc w:val="center"/>
              <w:outlineLvl w:val="9"/>
              <w:rPr>
                <w:rFonts w:hint="eastAsia" w:ascii="宋体" w:hAnsi="宋体" w:eastAsia="宋体" w:cs="宋体"/>
                <w:bCs/>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noWrap/>
          </w:tcPr>
          <w:p w14:paraId="3BDCDD70">
            <w:pPr>
              <w:spacing w:line="480" w:lineRule="exact"/>
              <w:jc w:val="center"/>
              <w:outlineLvl w:val="9"/>
              <w:rPr>
                <w:rFonts w:hint="eastAsia" w:ascii="宋体" w:hAnsi="宋体" w:eastAsia="宋体" w:cs="宋体"/>
                <w:bCs/>
                <w:color w:val="auto"/>
                <w:sz w:val="24"/>
                <w:highlight w:val="none"/>
              </w:rPr>
            </w:pPr>
          </w:p>
        </w:tc>
      </w:tr>
      <w:tr w14:paraId="333C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307" w:type="dxa"/>
            <w:tcBorders>
              <w:top w:val="single" w:color="auto" w:sz="4" w:space="0"/>
              <w:left w:val="single" w:color="auto" w:sz="4" w:space="0"/>
              <w:bottom w:val="single" w:color="auto" w:sz="4" w:space="0"/>
              <w:right w:val="single" w:color="auto" w:sz="4" w:space="0"/>
            </w:tcBorders>
            <w:noWrap/>
          </w:tcPr>
          <w:p w14:paraId="762E3A56">
            <w:pPr>
              <w:spacing w:line="480" w:lineRule="exact"/>
              <w:jc w:val="center"/>
              <w:outlineLvl w:val="9"/>
              <w:rPr>
                <w:rFonts w:hint="eastAsia" w:ascii="宋体" w:hAnsi="宋体" w:eastAsia="宋体" w:cs="宋体"/>
                <w:bCs/>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noWrap/>
          </w:tcPr>
          <w:p w14:paraId="7888A4EE">
            <w:pPr>
              <w:spacing w:line="480" w:lineRule="exact"/>
              <w:jc w:val="center"/>
              <w:outlineLvl w:val="9"/>
              <w:rPr>
                <w:rFonts w:hint="eastAsia" w:ascii="宋体" w:hAnsi="宋体" w:eastAsia="宋体" w:cs="宋体"/>
                <w:bCs/>
                <w:color w:val="auto"/>
                <w:sz w:val="24"/>
                <w:highlight w:val="none"/>
              </w:rPr>
            </w:pPr>
          </w:p>
        </w:tc>
        <w:tc>
          <w:tcPr>
            <w:tcW w:w="849" w:type="dxa"/>
            <w:tcBorders>
              <w:top w:val="single" w:color="auto" w:sz="4" w:space="0"/>
              <w:left w:val="single" w:color="auto" w:sz="4" w:space="0"/>
              <w:bottom w:val="single" w:color="auto" w:sz="4" w:space="0"/>
              <w:right w:val="single" w:color="auto" w:sz="4" w:space="0"/>
            </w:tcBorders>
            <w:noWrap/>
          </w:tcPr>
          <w:p w14:paraId="18AEB299">
            <w:pPr>
              <w:spacing w:line="480" w:lineRule="exact"/>
              <w:jc w:val="center"/>
              <w:outlineLvl w:val="9"/>
              <w:rPr>
                <w:rFonts w:hint="eastAsia" w:ascii="宋体" w:hAnsi="宋体" w:eastAsia="宋体" w:cs="宋体"/>
                <w:bCs/>
                <w:color w:val="auto"/>
                <w:sz w:val="24"/>
                <w:highlight w:val="none"/>
              </w:rPr>
            </w:pPr>
          </w:p>
        </w:tc>
        <w:tc>
          <w:tcPr>
            <w:tcW w:w="2518" w:type="dxa"/>
            <w:tcBorders>
              <w:top w:val="single" w:color="auto" w:sz="4" w:space="0"/>
              <w:left w:val="single" w:color="auto" w:sz="4" w:space="0"/>
              <w:bottom w:val="single" w:color="auto" w:sz="4" w:space="0"/>
              <w:right w:val="single" w:color="auto" w:sz="4" w:space="0"/>
            </w:tcBorders>
            <w:noWrap/>
          </w:tcPr>
          <w:p w14:paraId="5A72BB27">
            <w:pPr>
              <w:spacing w:line="480" w:lineRule="exact"/>
              <w:jc w:val="center"/>
              <w:outlineLvl w:val="9"/>
              <w:rPr>
                <w:rFonts w:hint="eastAsia" w:ascii="宋体" w:hAnsi="宋体" w:eastAsia="宋体" w:cs="宋体"/>
                <w:bCs/>
                <w:color w:val="auto"/>
                <w:sz w:val="24"/>
                <w:highlight w:val="none"/>
              </w:rPr>
            </w:pPr>
          </w:p>
        </w:tc>
        <w:tc>
          <w:tcPr>
            <w:tcW w:w="772" w:type="dxa"/>
            <w:tcBorders>
              <w:top w:val="single" w:color="auto" w:sz="4" w:space="0"/>
              <w:left w:val="single" w:color="auto" w:sz="4" w:space="0"/>
              <w:bottom w:val="single" w:color="auto" w:sz="4" w:space="0"/>
              <w:right w:val="single" w:color="auto" w:sz="4" w:space="0"/>
            </w:tcBorders>
            <w:noWrap/>
          </w:tcPr>
          <w:p w14:paraId="195592D5">
            <w:pPr>
              <w:spacing w:line="480" w:lineRule="exact"/>
              <w:jc w:val="center"/>
              <w:outlineLvl w:val="9"/>
              <w:rPr>
                <w:rFonts w:hint="eastAsia" w:ascii="宋体" w:hAnsi="宋体" w:eastAsia="宋体" w:cs="宋体"/>
                <w:bCs/>
                <w:color w:val="auto"/>
                <w:sz w:val="24"/>
                <w:highlight w:val="none"/>
              </w:rPr>
            </w:pPr>
          </w:p>
        </w:tc>
        <w:tc>
          <w:tcPr>
            <w:tcW w:w="723" w:type="dxa"/>
            <w:tcBorders>
              <w:top w:val="single" w:color="auto" w:sz="4" w:space="0"/>
              <w:left w:val="single" w:color="auto" w:sz="4" w:space="0"/>
              <w:bottom w:val="single" w:color="auto" w:sz="4" w:space="0"/>
              <w:right w:val="single" w:color="auto" w:sz="4" w:space="0"/>
            </w:tcBorders>
            <w:noWrap/>
          </w:tcPr>
          <w:p w14:paraId="49802147">
            <w:pPr>
              <w:spacing w:line="480" w:lineRule="exact"/>
              <w:jc w:val="center"/>
              <w:outlineLvl w:val="9"/>
              <w:rPr>
                <w:rFonts w:hint="eastAsia" w:ascii="宋体" w:hAnsi="宋体" w:eastAsia="宋体" w:cs="宋体"/>
                <w:bCs/>
                <w:color w:val="auto"/>
                <w:sz w:val="24"/>
                <w:highlight w:val="none"/>
              </w:rPr>
            </w:pPr>
          </w:p>
        </w:tc>
        <w:tc>
          <w:tcPr>
            <w:tcW w:w="818" w:type="dxa"/>
            <w:tcBorders>
              <w:top w:val="single" w:color="auto" w:sz="4" w:space="0"/>
              <w:left w:val="single" w:color="auto" w:sz="4" w:space="0"/>
              <w:bottom w:val="single" w:color="auto" w:sz="4" w:space="0"/>
              <w:right w:val="single" w:color="auto" w:sz="4" w:space="0"/>
            </w:tcBorders>
            <w:noWrap/>
          </w:tcPr>
          <w:p w14:paraId="31D1AC37">
            <w:pPr>
              <w:spacing w:line="480" w:lineRule="exact"/>
              <w:jc w:val="center"/>
              <w:outlineLvl w:val="9"/>
              <w:rPr>
                <w:rFonts w:hint="eastAsia" w:ascii="宋体" w:hAnsi="宋体" w:eastAsia="宋体" w:cs="宋体"/>
                <w:bCs/>
                <w:color w:val="auto"/>
                <w:sz w:val="24"/>
                <w:highlight w:val="none"/>
              </w:rPr>
            </w:pPr>
          </w:p>
        </w:tc>
        <w:tc>
          <w:tcPr>
            <w:tcW w:w="937" w:type="dxa"/>
            <w:tcBorders>
              <w:top w:val="single" w:color="auto" w:sz="4" w:space="0"/>
              <w:left w:val="single" w:color="auto" w:sz="4" w:space="0"/>
              <w:bottom w:val="single" w:color="auto" w:sz="4" w:space="0"/>
              <w:right w:val="single" w:color="auto" w:sz="4" w:space="0"/>
            </w:tcBorders>
            <w:noWrap/>
          </w:tcPr>
          <w:p w14:paraId="234726A2">
            <w:pPr>
              <w:spacing w:line="480" w:lineRule="exact"/>
              <w:jc w:val="center"/>
              <w:outlineLvl w:val="9"/>
              <w:rPr>
                <w:rFonts w:hint="eastAsia" w:ascii="宋体" w:hAnsi="宋体" w:eastAsia="宋体" w:cs="宋体"/>
                <w:bCs/>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noWrap/>
          </w:tcPr>
          <w:p w14:paraId="6BBC044B">
            <w:pPr>
              <w:spacing w:line="480" w:lineRule="exact"/>
              <w:jc w:val="center"/>
              <w:outlineLvl w:val="9"/>
              <w:rPr>
                <w:rFonts w:hint="eastAsia" w:ascii="宋体" w:hAnsi="宋体" w:eastAsia="宋体" w:cs="宋体"/>
                <w:bCs/>
                <w:color w:val="auto"/>
                <w:sz w:val="24"/>
                <w:highlight w:val="none"/>
              </w:rPr>
            </w:pPr>
          </w:p>
        </w:tc>
      </w:tr>
      <w:tr w14:paraId="3A00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1307" w:type="dxa"/>
            <w:tcBorders>
              <w:top w:val="single" w:color="auto" w:sz="4" w:space="0"/>
              <w:left w:val="single" w:color="auto" w:sz="4" w:space="0"/>
              <w:bottom w:val="single" w:color="auto" w:sz="4" w:space="0"/>
              <w:right w:val="single" w:color="auto" w:sz="4" w:space="0"/>
            </w:tcBorders>
            <w:noWrap/>
          </w:tcPr>
          <w:p w14:paraId="1935F551">
            <w:pPr>
              <w:spacing w:line="480" w:lineRule="exact"/>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合计（元）</w:t>
            </w:r>
          </w:p>
        </w:tc>
        <w:tc>
          <w:tcPr>
            <w:tcW w:w="8610" w:type="dxa"/>
            <w:gridSpan w:val="8"/>
            <w:tcBorders>
              <w:top w:val="single" w:color="auto" w:sz="4" w:space="0"/>
              <w:left w:val="single" w:color="auto" w:sz="4" w:space="0"/>
              <w:bottom w:val="single" w:color="auto" w:sz="4" w:space="0"/>
              <w:right w:val="single" w:color="auto" w:sz="4" w:space="0"/>
            </w:tcBorders>
            <w:noWrap/>
          </w:tcPr>
          <w:p w14:paraId="324B89F4">
            <w:pPr>
              <w:spacing w:line="480" w:lineRule="exact"/>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大写：                                 小写：</w:t>
            </w:r>
          </w:p>
        </w:tc>
      </w:tr>
      <w:tr w14:paraId="2AAB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atLeast"/>
          <w:jc w:val="center"/>
        </w:trPr>
        <w:tc>
          <w:tcPr>
            <w:tcW w:w="9917" w:type="dxa"/>
            <w:gridSpan w:val="9"/>
            <w:tcBorders>
              <w:top w:val="single" w:color="auto" w:sz="4" w:space="0"/>
              <w:left w:val="single" w:color="auto" w:sz="4" w:space="0"/>
              <w:bottom w:val="single" w:color="auto" w:sz="4" w:space="0"/>
              <w:right w:val="single" w:color="auto" w:sz="4" w:space="0"/>
            </w:tcBorders>
            <w:noWrap/>
          </w:tcPr>
          <w:p w14:paraId="483B8DC4">
            <w:pPr>
              <w:spacing w:line="480" w:lineRule="exact"/>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重要提示：1.本表的每一页须加盖企业印章；</w:t>
            </w:r>
          </w:p>
          <w:p w14:paraId="67608FE6">
            <w:pPr>
              <w:spacing w:line="480" w:lineRule="exact"/>
              <w:outlineLvl w:val="9"/>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2.涉及有国家标准的产品，须填写名称、品牌、型号及技术参数、报价等本表内容（若品牌、型号等填写的与实际不符，按照无效标处理）。</w:t>
            </w:r>
          </w:p>
        </w:tc>
      </w:tr>
    </w:tbl>
    <w:p w14:paraId="5CE00550">
      <w:pPr>
        <w:adjustRightInd w:val="0"/>
        <w:snapToGrid w:val="0"/>
        <w:spacing w:before="190" w:beforeLines="50" w:line="360" w:lineRule="auto"/>
        <w:ind w:right="960"/>
        <w:outlineLvl w:val="9"/>
        <w:rPr>
          <w:rFonts w:hint="eastAsia" w:ascii="宋体" w:hAnsi="宋体" w:eastAsia="宋体" w:cs="宋体"/>
          <w:color w:val="auto"/>
          <w:sz w:val="24"/>
          <w:highlight w:val="none"/>
        </w:rPr>
      </w:pPr>
    </w:p>
    <w:p w14:paraId="02140B21">
      <w:pPr>
        <w:adjustRightInd w:val="0"/>
        <w:snapToGrid w:val="0"/>
        <w:spacing w:before="190" w:beforeLines="50" w:line="360" w:lineRule="auto"/>
        <w:ind w:right="96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pacing w:val="8"/>
          <w:sz w:val="24"/>
          <w:highlight w:val="none"/>
          <w:u w:val="single"/>
        </w:rPr>
        <w:t xml:space="preserve">                  </w:t>
      </w:r>
      <w:r>
        <w:rPr>
          <w:rFonts w:hint="eastAsia" w:ascii="宋体" w:hAnsi="宋体" w:eastAsia="宋体" w:cs="宋体"/>
          <w:color w:val="auto"/>
          <w:sz w:val="24"/>
          <w:highlight w:val="none"/>
        </w:rPr>
        <w:t>（单位电子签章）</w:t>
      </w:r>
    </w:p>
    <w:p w14:paraId="04BEC272">
      <w:pPr>
        <w:adjustRightInd w:val="0"/>
        <w:snapToGrid w:val="0"/>
        <w:spacing w:before="190" w:beforeLines="50" w:line="360" w:lineRule="auto"/>
        <w:ind w:right="420"/>
        <w:outlineLvl w:val="9"/>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法定代表人或</w:t>
      </w:r>
      <w:r>
        <w:rPr>
          <w:rFonts w:hint="eastAsia" w:ascii="宋体" w:hAnsi="宋体" w:eastAsia="宋体" w:cs="宋体"/>
          <w:bCs/>
          <w:color w:val="auto"/>
          <w:sz w:val="24"/>
          <w:szCs w:val="20"/>
          <w:highlight w:val="none"/>
        </w:rPr>
        <w:t>其</w:t>
      </w:r>
      <w:r>
        <w:rPr>
          <w:rFonts w:hint="eastAsia" w:ascii="宋体" w:hAnsi="宋体" w:eastAsia="宋体" w:cs="宋体"/>
          <w:color w:val="auto"/>
          <w:kern w:val="0"/>
          <w:sz w:val="24"/>
          <w:highlight w:val="none"/>
        </w:rPr>
        <w:t>委托代理人：</w:t>
      </w:r>
      <w:r>
        <w:rPr>
          <w:rFonts w:hint="eastAsia" w:ascii="宋体" w:hAnsi="宋体" w:eastAsia="宋体" w:cs="宋体"/>
          <w:color w:val="auto"/>
          <w:spacing w:val="8"/>
          <w:sz w:val="24"/>
          <w:highlight w:val="none"/>
          <w:u w:val="single"/>
        </w:rPr>
        <w:t xml:space="preserve">                  </w:t>
      </w:r>
      <w:r>
        <w:rPr>
          <w:rFonts w:hint="eastAsia" w:ascii="宋体" w:hAnsi="宋体" w:eastAsia="宋体" w:cs="宋体"/>
          <w:color w:val="auto"/>
          <w:kern w:val="0"/>
          <w:sz w:val="24"/>
          <w:highlight w:val="none"/>
        </w:rPr>
        <w:t>（签字或盖章）</w:t>
      </w:r>
    </w:p>
    <w:p w14:paraId="469FCD8F">
      <w:pPr>
        <w:adjustRightInd w:val="0"/>
        <w:snapToGri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日期：    </w:t>
      </w:r>
      <w:r>
        <w:rPr>
          <w:rFonts w:hint="eastAsia" w:ascii="宋体" w:hAnsi="宋体" w:eastAsia="宋体" w:cs="宋体"/>
          <w:color w:val="auto"/>
          <w:sz w:val="24"/>
          <w:highlight w:val="none"/>
        </w:rPr>
        <w:t>年   月    日</w:t>
      </w:r>
    </w:p>
    <w:p w14:paraId="429F59BD">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31D99D12">
      <w:pPr>
        <w:pStyle w:val="4"/>
        <w:bidi w:val="0"/>
        <w:rPr>
          <w:rFonts w:hint="eastAsia" w:ascii="宋体" w:hAnsi="宋体" w:eastAsia="宋体" w:cs="宋体"/>
          <w:color w:val="auto"/>
          <w:highlight w:val="none"/>
        </w:rPr>
      </w:pPr>
      <w:bookmarkStart w:id="328" w:name="_Toc25633"/>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四</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技术</w:t>
      </w:r>
      <w:r>
        <w:rPr>
          <w:rFonts w:hint="eastAsia" w:ascii="宋体" w:hAnsi="宋体" w:cs="宋体"/>
          <w:color w:val="auto"/>
          <w:highlight w:val="none"/>
          <w:lang w:val="en-US" w:eastAsia="zh-CN"/>
        </w:rPr>
        <w:t>偏离</w:t>
      </w:r>
      <w:r>
        <w:rPr>
          <w:rFonts w:hint="eastAsia" w:ascii="宋体" w:hAnsi="宋体" w:eastAsia="宋体" w:cs="宋体"/>
          <w:color w:val="auto"/>
          <w:highlight w:val="none"/>
        </w:rPr>
        <w:t>表</w:t>
      </w:r>
      <w:bookmarkEnd w:id="328"/>
    </w:p>
    <w:tbl>
      <w:tblPr>
        <w:tblStyle w:val="34"/>
        <w:tblW w:w="100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7"/>
        <w:gridCol w:w="2005"/>
        <w:gridCol w:w="2137"/>
        <w:gridCol w:w="2270"/>
        <w:gridCol w:w="2718"/>
      </w:tblGrid>
      <w:tr w14:paraId="35D76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6" w:hRule="atLeast"/>
          <w:jc w:val="center"/>
        </w:trPr>
        <w:tc>
          <w:tcPr>
            <w:tcW w:w="907" w:type="dxa"/>
            <w:tcBorders>
              <w:top w:val="single" w:color="auto" w:sz="4" w:space="0"/>
              <w:left w:val="single" w:color="auto" w:sz="4" w:space="0"/>
              <w:bottom w:val="single" w:color="auto" w:sz="4" w:space="0"/>
              <w:right w:val="single" w:color="auto" w:sz="4" w:space="0"/>
            </w:tcBorders>
            <w:noWrap/>
            <w:vAlign w:val="center"/>
          </w:tcPr>
          <w:p w14:paraId="4EF464F5">
            <w:pPr>
              <w:spacing w:line="440" w:lineRule="exact"/>
              <w:ind w:left="-141"/>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005" w:type="dxa"/>
            <w:tcBorders>
              <w:top w:val="single" w:color="auto" w:sz="4" w:space="0"/>
              <w:left w:val="single" w:color="auto" w:sz="4" w:space="0"/>
              <w:bottom w:val="single" w:color="auto" w:sz="4" w:space="0"/>
              <w:right w:val="single" w:color="auto" w:sz="4" w:space="0"/>
            </w:tcBorders>
            <w:noWrap/>
            <w:vAlign w:val="center"/>
          </w:tcPr>
          <w:p w14:paraId="69259284">
            <w:pPr>
              <w:spacing w:line="440" w:lineRule="exact"/>
              <w:jc w:val="center"/>
              <w:outlineLvl w:val="9"/>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货物</w:t>
            </w:r>
            <w:r>
              <w:rPr>
                <w:rFonts w:hint="eastAsia" w:ascii="宋体" w:hAnsi="宋体" w:eastAsia="宋体" w:cs="宋体"/>
                <w:b/>
                <w:color w:val="auto"/>
                <w:sz w:val="24"/>
                <w:highlight w:val="none"/>
              </w:rPr>
              <w:t>名称</w:t>
            </w:r>
          </w:p>
        </w:tc>
        <w:tc>
          <w:tcPr>
            <w:tcW w:w="2137" w:type="dxa"/>
            <w:tcBorders>
              <w:top w:val="single" w:color="auto" w:sz="4" w:space="0"/>
              <w:left w:val="single" w:color="auto" w:sz="4" w:space="0"/>
              <w:bottom w:val="single" w:color="auto" w:sz="4" w:space="0"/>
              <w:right w:val="single" w:color="auto" w:sz="4" w:space="0"/>
            </w:tcBorders>
            <w:noWrap/>
            <w:vAlign w:val="center"/>
          </w:tcPr>
          <w:p w14:paraId="37E42889">
            <w:pPr>
              <w:spacing w:line="440" w:lineRule="exact"/>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招标技术要求</w:t>
            </w:r>
          </w:p>
        </w:tc>
        <w:tc>
          <w:tcPr>
            <w:tcW w:w="2270" w:type="dxa"/>
            <w:tcBorders>
              <w:top w:val="single" w:color="auto" w:sz="4" w:space="0"/>
              <w:left w:val="single" w:color="auto" w:sz="4" w:space="0"/>
              <w:bottom w:val="single" w:color="auto" w:sz="4" w:space="0"/>
              <w:right w:val="single" w:color="auto" w:sz="4" w:space="0"/>
            </w:tcBorders>
            <w:noWrap/>
            <w:vAlign w:val="center"/>
          </w:tcPr>
          <w:p w14:paraId="7667D393">
            <w:pPr>
              <w:widowControl/>
              <w:spacing w:line="440" w:lineRule="exact"/>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投标货物实际技术规格</w:t>
            </w:r>
          </w:p>
        </w:tc>
        <w:tc>
          <w:tcPr>
            <w:tcW w:w="2718" w:type="dxa"/>
            <w:tcBorders>
              <w:top w:val="single" w:color="auto" w:sz="4" w:space="0"/>
              <w:left w:val="single" w:color="auto" w:sz="4" w:space="0"/>
              <w:bottom w:val="single" w:color="auto" w:sz="4" w:space="0"/>
              <w:right w:val="single" w:color="auto" w:sz="4" w:space="0"/>
            </w:tcBorders>
            <w:noWrap/>
            <w:vAlign w:val="center"/>
          </w:tcPr>
          <w:p w14:paraId="5E82F651">
            <w:pPr>
              <w:widowControl/>
              <w:spacing w:line="440" w:lineRule="exact"/>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p w14:paraId="3D93A5CE">
            <w:pPr>
              <w:widowControl/>
              <w:spacing w:line="440" w:lineRule="exact"/>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(说明偏离情况）</w:t>
            </w:r>
          </w:p>
        </w:tc>
      </w:tr>
      <w:tr w14:paraId="0DFB9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907" w:type="dxa"/>
            <w:tcBorders>
              <w:top w:val="single" w:color="auto" w:sz="4" w:space="0"/>
              <w:left w:val="single" w:color="auto" w:sz="4" w:space="0"/>
              <w:bottom w:val="single" w:color="auto" w:sz="4" w:space="0"/>
              <w:right w:val="single" w:color="auto" w:sz="4" w:space="0"/>
            </w:tcBorders>
            <w:noWrap/>
            <w:vAlign w:val="center"/>
          </w:tcPr>
          <w:p w14:paraId="6D720283">
            <w:pPr>
              <w:spacing w:line="440" w:lineRule="exact"/>
              <w:jc w:val="center"/>
              <w:outlineLvl w:val="9"/>
              <w:rPr>
                <w:rFonts w:hint="eastAsia" w:ascii="宋体" w:hAnsi="宋体" w:eastAsia="宋体" w:cs="宋体"/>
                <w:bCs/>
                <w:color w:val="auto"/>
                <w:sz w:val="32"/>
                <w:highlight w:val="none"/>
              </w:rPr>
            </w:pPr>
          </w:p>
        </w:tc>
        <w:tc>
          <w:tcPr>
            <w:tcW w:w="2005" w:type="dxa"/>
            <w:tcBorders>
              <w:top w:val="single" w:color="auto" w:sz="4" w:space="0"/>
              <w:left w:val="single" w:color="auto" w:sz="4" w:space="0"/>
              <w:bottom w:val="single" w:color="auto" w:sz="4" w:space="0"/>
              <w:right w:val="single" w:color="auto" w:sz="4" w:space="0"/>
            </w:tcBorders>
            <w:noWrap/>
            <w:vAlign w:val="center"/>
          </w:tcPr>
          <w:p w14:paraId="1B098126">
            <w:pPr>
              <w:spacing w:line="440" w:lineRule="exact"/>
              <w:jc w:val="center"/>
              <w:outlineLvl w:val="9"/>
              <w:rPr>
                <w:rFonts w:hint="eastAsia" w:ascii="宋体" w:hAnsi="宋体" w:eastAsia="宋体" w:cs="宋体"/>
                <w:bCs/>
                <w:color w:val="auto"/>
                <w:sz w:val="24"/>
                <w:highlight w:val="none"/>
              </w:rPr>
            </w:pPr>
          </w:p>
        </w:tc>
        <w:tc>
          <w:tcPr>
            <w:tcW w:w="2137" w:type="dxa"/>
            <w:tcBorders>
              <w:top w:val="single" w:color="auto" w:sz="4" w:space="0"/>
              <w:left w:val="single" w:color="auto" w:sz="4" w:space="0"/>
              <w:bottom w:val="single" w:color="auto" w:sz="4" w:space="0"/>
              <w:right w:val="single" w:color="auto" w:sz="4" w:space="0"/>
            </w:tcBorders>
            <w:noWrap/>
            <w:vAlign w:val="center"/>
          </w:tcPr>
          <w:p w14:paraId="0C391A78">
            <w:pPr>
              <w:spacing w:line="440" w:lineRule="exact"/>
              <w:jc w:val="center"/>
              <w:outlineLvl w:val="9"/>
              <w:rPr>
                <w:rFonts w:hint="eastAsia" w:ascii="宋体" w:hAnsi="宋体" w:eastAsia="宋体" w:cs="宋体"/>
                <w:bCs/>
                <w:color w:val="auto"/>
                <w:sz w:val="24"/>
                <w:highlight w:val="none"/>
              </w:rPr>
            </w:pPr>
          </w:p>
        </w:tc>
        <w:tc>
          <w:tcPr>
            <w:tcW w:w="2270" w:type="dxa"/>
            <w:tcBorders>
              <w:top w:val="single" w:color="auto" w:sz="4" w:space="0"/>
              <w:left w:val="single" w:color="auto" w:sz="4" w:space="0"/>
              <w:bottom w:val="single" w:color="auto" w:sz="4" w:space="0"/>
              <w:right w:val="single" w:color="auto" w:sz="4" w:space="0"/>
            </w:tcBorders>
            <w:noWrap/>
            <w:vAlign w:val="center"/>
          </w:tcPr>
          <w:p w14:paraId="12DBA9C0">
            <w:pPr>
              <w:spacing w:line="440" w:lineRule="exact"/>
              <w:jc w:val="center"/>
              <w:outlineLvl w:val="9"/>
              <w:rPr>
                <w:rFonts w:hint="eastAsia" w:ascii="宋体" w:hAnsi="宋体" w:eastAsia="宋体" w:cs="宋体"/>
                <w:bCs/>
                <w:color w:val="auto"/>
                <w:sz w:val="18"/>
                <w:highlight w:val="none"/>
              </w:rPr>
            </w:pPr>
          </w:p>
        </w:tc>
        <w:tc>
          <w:tcPr>
            <w:tcW w:w="2718" w:type="dxa"/>
            <w:tcBorders>
              <w:top w:val="single" w:color="auto" w:sz="4" w:space="0"/>
              <w:left w:val="single" w:color="auto" w:sz="4" w:space="0"/>
              <w:bottom w:val="single" w:color="auto" w:sz="4" w:space="0"/>
              <w:right w:val="single" w:color="auto" w:sz="4" w:space="0"/>
            </w:tcBorders>
            <w:noWrap/>
            <w:vAlign w:val="center"/>
          </w:tcPr>
          <w:p w14:paraId="208823B8">
            <w:pPr>
              <w:spacing w:line="440" w:lineRule="exact"/>
              <w:jc w:val="center"/>
              <w:outlineLvl w:val="9"/>
              <w:rPr>
                <w:rFonts w:hint="eastAsia" w:ascii="宋体" w:hAnsi="宋体" w:eastAsia="宋体" w:cs="宋体"/>
                <w:bCs/>
                <w:color w:val="auto"/>
                <w:sz w:val="18"/>
                <w:highlight w:val="none"/>
              </w:rPr>
            </w:pPr>
          </w:p>
        </w:tc>
      </w:tr>
      <w:tr w14:paraId="71143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jc w:val="center"/>
        </w:trPr>
        <w:tc>
          <w:tcPr>
            <w:tcW w:w="907" w:type="dxa"/>
            <w:tcBorders>
              <w:top w:val="single" w:color="auto" w:sz="4" w:space="0"/>
              <w:left w:val="single" w:color="auto" w:sz="4" w:space="0"/>
              <w:bottom w:val="single" w:color="auto" w:sz="4" w:space="0"/>
              <w:right w:val="single" w:color="auto" w:sz="4" w:space="0"/>
            </w:tcBorders>
            <w:noWrap/>
            <w:vAlign w:val="center"/>
          </w:tcPr>
          <w:p w14:paraId="1AABA335">
            <w:pPr>
              <w:spacing w:line="440" w:lineRule="exact"/>
              <w:jc w:val="center"/>
              <w:outlineLvl w:val="9"/>
              <w:rPr>
                <w:rFonts w:hint="eastAsia" w:ascii="宋体" w:hAnsi="宋体" w:eastAsia="宋体" w:cs="宋体"/>
                <w:bCs/>
                <w:color w:val="auto"/>
                <w:sz w:val="32"/>
                <w:highlight w:val="none"/>
              </w:rPr>
            </w:pPr>
          </w:p>
        </w:tc>
        <w:tc>
          <w:tcPr>
            <w:tcW w:w="2005" w:type="dxa"/>
            <w:tcBorders>
              <w:top w:val="single" w:color="auto" w:sz="4" w:space="0"/>
              <w:left w:val="single" w:color="auto" w:sz="4" w:space="0"/>
              <w:bottom w:val="single" w:color="auto" w:sz="4" w:space="0"/>
              <w:right w:val="single" w:color="auto" w:sz="4" w:space="0"/>
            </w:tcBorders>
            <w:noWrap/>
            <w:vAlign w:val="center"/>
          </w:tcPr>
          <w:p w14:paraId="0D06608B">
            <w:pPr>
              <w:spacing w:line="440" w:lineRule="exact"/>
              <w:jc w:val="center"/>
              <w:outlineLvl w:val="9"/>
              <w:rPr>
                <w:rFonts w:hint="eastAsia" w:ascii="宋体" w:hAnsi="宋体" w:eastAsia="宋体" w:cs="宋体"/>
                <w:bCs/>
                <w:color w:val="auto"/>
                <w:sz w:val="24"/>
                <w:highlight w:val="none"/>
              </w:rPr>
            </w:pPr>
          </w:p>
        </w:tc>
        <w:tc>
          <w:tcPr>
            <w:tcW w:w="2137" w:type="dxa"/>
            <w:tcBorders>
              <w:top w:val="single" w:color="auto" w:sz="4" w:space="0"/>
              <w:left w:val="single" w:color="auto" w:sz="4" w:space="0"/>
              <w:bottom w:val="single" w:color="auto" w:sz="4" w:space="0"/>
              <w:right w:val="single" w:color="auto" w:sz="4" w:space="0"/>
            </w:tcBorders>
            <w:noWrap/>
            <w:vAlign w:val="center"/>
          </w:tcPr>
          <w:p w14:paraId="5A4139F6">
            <w:pPr>
              <w:spacing w:line="440" w:lineRule="exact"/>
              <w:jc w:val="center"/>
              <w:outlineLvl w:val="9"/>
              <w:rPr>
                <w:rFonts w:hint="eastAsia" w:ascii="宋体" w:hAnsi="宋体" w:eastAsia="宋体" w:cs="宋体"/>
                <w:bCs/>
                <w:color w:val="auto"/>
                <w:sz w:val="24"/>
                <w:highlight w:val="none"/>
              </w:rPr>
            </w:pPr>
          </w:p>
        </w:tc>
        <w:tc>
          <w:tcPr>
            <w:tcW w:w="2270" w:type="dxa"/>
            <w:tcBorders>
              <w:top w:val="single" w:color="auto" w:sz="4" w:space="0"/>
              <w:left w:val="single" w:color="auto" w:sz="4" w:space="0"/>
              <w:bottom w:val="single" w:color="auto" w:sz="4" w:space="0"/>
              <w:right w:val="single" w:color="auto" w:sz="4" w:space="0"/>
            </w:tcBorders>
            <w:noWrap/>
            <w:vAlign w:val="center"/>
          </w:tcPr>
          <w:p w14:paraId="0C05BA0B">
            <w:pPr>
              <w:spacing w:line="440" w:lineRule="exact"/>
              <w:jc w:val="center"/>
              <w:outlineLvl w:val="9"/>
              <w:rPr>
                <w:rFonts w:hint="eastAsia" w:ascii="宋体" w:hAnsi="宋体" w:eastAsia="宋体" w:cs="宋体"/>
                <w:bCs/>
                <w:color w:val="auto"/>
                <w:sz w:val="18"/>
                <w:highlight w:val="none"/>
              </w:rPr>
            </w:pPr>
          </w:p>
        </w:tc>
        <w:tc>
          <w:tcPr>
            <w:tcW w:w="2718" w:type="dxa"/>
            <w:tcBorders>
              <w:top w:val="single" w:color="auto" w:sz="4" w:space="0"/>
              <w:left w:val="single" w:color="auto" w:sz="4" w:space="0"/>
              <w:bottom w:val="single" w:color="auto" w:sz="4" w:space="0"/>
              <w:right w:val="single" w:color="auto" w:sz="4" w:space="0"/>
            </w:tcBorders>
            <w:noWrap/>
            <w:vAlign w:val="center"/>
          </w:tcPr>
          <w:p w14:paraId="1450159B">
            <w:pPr>
              <w:spacing w:line="440" w:lineRule="exact"/>
              <w:jc w:val="center"/>
              <w:outlineLvl w:val="9"/>
              <w:rPr>
                <w:rFonts w:hint="eastAsia" w:ascii="宋体" w:hAnsi="宋体" w:eastAsia="宋体" w:cs="宋体"/>
                <w:bCs/>
                <w:color w:val="auto"/>
                <w:sz w:val="18"/>
                <w:highlight w:val="none"/>
              </w:rPr>
            </w:pPr>
          </w:p>
        </w:tc>
      </w:tr>
      <w:tr w14:paraId="4C738B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1" w:hRule="atLeast"/>
          <w:jc w:val="center"/>
        </w:trPr>
        <w:tc>
          <w:tcPr>
            <w:tcW w:w="907" w:type="dxa"/>
            <w:tcBorders>
              <w:top w:val="single" w:color="auto" w:sz="4" w:space="0"/>
              <w:left w:val="single" w:color="auto" w:sz="4" w:space="0"/>
              <w:bottom w:val="single" w:color="auto" w:sz="4" w:space="0"/>
              <w:right w:val="single" w:color="auto" w:sz="4" w:space="0"/>
            </w:tcBorders>
            <w:noWrap/>
            <w:vAlign w:val="center"/>
          </w:tcPr>
          <w:p w14:paraId="0E1B8956">
            <w:pPr>
              <w:spacing w:line="440" w:lineRule="exact"/>
              <w:jc w:val="center"/>
              <w:outlineLvl w:val="9"/>
              <w:rPr>
                <w:rFonts w:hint="eastAsia" w:ascii="宋体" w:hAnsi="宋体" w:eastAsia="宋体" w:cs="宋体"/>
                <w:bCs/>
                <w:color w:val="auto"/>
                <w:sz w:val="32"/>
                <w:highlight w:val="none"/>
              </w:rPr>
            </w:pPr>
          </w:p>
        </w:tc>
        <w:tc>
          <w:tcPr>
            <w:tcW w:w="2005" w:type="dxa"/>
            <w:tcBorders>
              <w:top w:val="single" w:color="auto" w:sz="4" w:space="0"/>
              <w:left w:val="single" w:color="auto" w:sz="4" w:space="0"/>
              <w:bottom w:val="single" w:color="auto" w:sz="4" w:space="0"/>
              <w:right w:val="single" w:color="auto" w:sz="4" w:space="0"/>
            </w:tcBorders>
            <w:noWrap/>
            <w:vAlign w:val="center"/>
          </w:tcPr>
          <w:p w14:paraId="72A76FB0">
            <w:pPr>
              <w:spacing w:line="440" w:lineRule="exact"/>
              <w:jc w:val="center"/>
              <w:outlineLvl w:val="9"/>
              <w:rPr>
                <w:rFonts w:hint="eastAsia" w:ascii="宋体" w:hAnsi="宋体" w:eastAsia="宋体" w:cs="宋体"/>
                <w:bCs/>
                <w:color w:val="auto"/>
                <w:sz w:val="24"/>
                <w:highlight w:val="none"/>
              </w:rPr>
            </w:pPr>
          </w:p>
        </w:tc>
        <w:tc>
          <w:tcPr>
            <w:tcW w:w="2137" w:type="dxa"/>
            <w:tcBorders>
              <w:top w:val="single" w:color="auto" w:sz="4" w:space="0"/>
              <w:left w:val="single" w:color="auto" w:sz="4" w:space="0"/>
              <w:bottom w:val="single" w:color="auto" w:sz="4" w:space="0"/>
              <w:right w:val="single" w:color="auto" w:sz="4" w:space="0"/>
            </w:tcBorders>
            <w:noWrap/>
            <w:vAlign w:val="center"/>
          </w:tcPr>
          <w:p w14:paraId="4D4A8C16">
            <w:pPr>
              <w:spacing w:line="440" w:lineRule="exact"/>
              <w:jc w:val="center"/>
              <w:outlineLvl w:val="9"/>
              <w:rPr>
                <w:rFonts w:hint="eastAsia" w:ascii="宋体" w:hAnsi="宋体" w:eastAsia="宋体" w:cs="宋体"/>
                <w:bCs/>
                <w:color w:val="auto"/>
                <w:sz w:val="24"/>
                <w:highlight w:val="none"/>
              </w:rPr>
            </w:pPr>
          </w:p>
        </w:tc>
        <w:tc>
          <w:tcPr>
            <w:tcW w:w="2270" w:type="dxa"/>
            <w:tcBorders>
              <w:top w:val="single" w:color="auto" w:sz="4" w:space="0"/>
              <w:left w:val="single" w:color="auto" w:sz="4" w:space="0"/>
              <w:bottom w:val="single" w:color="auto" w:sz="4" w:space="0"/>
              <w:right w:val="single" w:color="auto" w:sz="4" w:space="0"/>
            </w:tcBorders>
            <w:noWrap/>
            <w:vAlign w:val="center"/>
          </w:tcPr>
          <w:p w14:paraId="6D88BB99">
            <w:pPr>
              <w:spacing w:line="440" w:lineRule="exact"/>
              <w:jc w:val="center"/>
              <w:outlineLvl w:val="9"/>
              <w:rPr>
                <w:rFonts w:hint="eastAsia" w:ascii="宋体" w:hAnsi="宋体" w:eastAsia="宋体" w:cs="宋体"/>
                <w:bCs/>
                <w:color w:val="auto"/>
                <w:sz w:val="18"/>
                <w:highlight w:val="none"/>
              </w:rPr>
            </w:pPr>
          </w:p>
        </w:tc>
        <w:tc>
          <w:tcPr>
            <w:tcW w:w="2718" w:type="dxa"/>
            <w:tcBorders>
              <w:top w:val="single" w:color="auto" w:sz="4" w:space="0"/>
              <w:left w:val="single" w:color="auto" w:sz="4" w:space="0"/>
              <w:bottom w:val="single" w:color="auto" w:sz="4" w:space="0"/>
              <w:right w:val="single" w:color="auto" w:sz="4" w:space="0"/>
            </w:tcBorders>
            <w:noWrap/>
            <w:vAlign w:val="center"/>
          </w:tcPr>
          <w:p w14:paraId="6ADD74EC">
            <w:pPr>
              <w:spacing w:line="440" w:lineRule="exact"/>
              <w:jc w:val="center"/>
              <w:outlineLvl w:val="9"/>
              <w:rPr>
                <w:rFonts w:hint="eastAsia" w:ascii="宋体" w:hAnsi="宋体" w:eastAsia="宋体" w:cs="宋体"/>
                <w:bCs/>
                <w:color w:val="auto"/>
                <w:sz w:val="18"/>
                <w:highlight w:val="none"/>
              </w:rPr>
            </w:pPr>
          </w:p>
        </w:tc>
      </w:tr>
      <w:tr w14:paraId="65423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907" w:type="dxa"/>
            <w:tcBorders>
              <w:top w:val="single" w:color="auto" w:sz="4" w:space="0"/>
              <w:left w:val="single" w:color="auto" w:sz="4" w:space="0"/>
              <w:bottom w:val="single" w:color="auto" w:sz="4" w:space="0"/>
              <w:right w:val="single" w:color="auto" w:sz="4" w:space="0"/>
            </w:tcBorders>
            <w:noWrap/>
            <w:vAlign w:val="center"/>
          </w:tcPr>
          <w:p w14:paraId="4793BE4D">
            <w:pPr>
              <w:spacing w:line="440" w:lineRule="exact"/>
              <w:jc w:val="center"/>
              <w:outlineLvl w:val="9"/>
              <w:rPr>
                <w:rFonts w:hint="eastAsia" w:ascii="宋体" w:hAnsi="宋体" w:eastAsia="宋体" w:cs="宋体"/>
                <w:bCs/>
                <w:color w:val="auto"/>
                <w:sz w:val="32"/>
                <w:highlight w:val="none"/>
              </w:rPr>
            </w:pPr>
          </w:p>
        </w:tc>
        <w:tc>
          <w:tcPr>
            <w:tcW w:w="2005" w:type="dxa"/>
            <w:tcBorders>
              <w:top w:val="single" w:color="auto" w:sz="4" w:space="0"/>
              <w:left w:val="single" w:color="auto" w:sz="4" w:space="0"/>
              <w:bottom w:val="single" w:color="auto" w:sz="4" w:space="0"/>
              <w:right w:val="single" w:color="auto" w:sz="4" w:space="0"/>
            </w:tcBorders>
            <w:noWrap/>
            <w:vAlign w:val="center"/>
          </w:tcPr>
          <w:p w14:paraId="409BE0A6">
            <w:pPr>
              <w:spacing w:line="440" w:lineRule="exact"/>
              <w:jc w:val="center"/>
              <w:outlineLvl w:val="9"/>
              <w:rPr>
                <w:rFonts w:hint="eastAsia" w:ascii="宋体" w:hAnsi="宋体" w:eastAsia="宋体" w:cs="宋体"/>
                <w:bCs/>
                <w:color w:val="auto"/>
                <w:sz w:val="24"/>
                <w:highlight w:val="none"/>
              </w:rPr>
            </w:pPr>
          </w:p>
        </w:tc>
        <w:tc>
          <w:tcPr>
            <w:tcW w:w="2137" w:type="dxa"/>
            <w:tcBorders>
              <w:top w:val="single" w:color="auto" w:sz="4" w:space="0"/>
              <w:left w:val="single" w:color="auto" w:sz="4" w:space="0"/>
              <w:bottom w:val="single" w:color="auto" w:sz="4" w:space="0"/>
              <w:right w:val="single" w:color="auto" w:sz="4" w:space="0"/>
            </w:tcBorders>
            <w:noWrap/>
            <w:vAlign w:val="center"/>
          </w:tcPr>
          <w:p w14:paraId="00ECA967">
            <w:pPr>
              <w:pStyle w:val="29"/>
              <w:widowControl w:val="0"/>
              <w:tabs>
                <w:tab w:val="left" w:pos="420"/>
              </w:tabs>
              <w:spacing w:before="0" w:beforeAutospacing="0" w:after="0" w:afterAutospacing="0" w:line="440" w:lineRule="exact"/>
              <w:jc w:val="both"/>
              <w:outlineLvl w:val="9"/>
              <w:rPr>
                <w:rFonts w:hint="eastAsia" w:ascii="宋体" w:hAnsi="宋体" w:eastAsia="宋体" w:cs="宋体"/>
                <w:bCs/>
                <w:color w:val="auto"/>
                <w:highlight w:val="none"/>
              </w:rPr>
            </w:pPr>
          </w:p>
        </w:tc>
        <w:tc>
          <w:tcPr>
            <w:tcW w:w="2270" w:type="dxa"/>
            <w:tcBorders>
              <w:top w:val="single" w:color="auto" w:sz="4" w:space="0"/>
              <w:left w:val="single" w:color="auto" w:sz="4" w:space="0"/>
              <w:bottom w:val="single" w:color="auto" w:sz="4" w:space="0"/>
              <w:right w:val="single" w:color="auto" w:sz="4" w:space="0"/>
            </w:tcBorders>
            <w:noWrap/>
            <w:vAlign w:val="center"/>
          </w:tcPr>
          <w:p w14:paraId="2189A61A">
            <w:pPr>
              <w:spacing w:line="440" w:lineRule="exact"/>
              <w:jc w:val="center"/>
              <w:outlineLvl w:val="9"/>
              <w:rPr>
                <w:rFonts w:hint="eastAsia" w:ascii="宋体" w:hAnsi="宋体" w:eastAsia="宋体" w:cs="宋体"/>
                <w:bCs/>
                <w:color w:val="auto"/>
                <w:sz w:val="18"/>
                <w:highlight w:val="none"/>
              </w:rPr>
            </w:pPr>
          </w:p>
        </w:tc>
        <w:tc>
          <w:tcPr>
            <w:tcW w:w="2718" w:type="dxa"/>
            <w:tcBorders>
              <w:top w:val="single" w:color="auto" w:sz="4" w:space="0"/>
              <w:left w:val="single" w:color="auto" w:sz="4" w:space="0"/>
              <w:bottom w:val="single" w:color="auto" w:sz="4" w:space="0"/>
              <w:right w:val="single" w:color="auto" w:sz="4" w:space="0"/>
            </w:tcBorders>
            <w:noWrap/>
            <w:vAlign w:val="center"/>
          </w:tcPr>
          <w:p w14:paraId="224E0DCD">
            <w:pPr>
              <w:spacing w:line="440" w:lineRule="exact"/>
              <w:jc w:val="center"/>
              <w:outlineLvl w:val="9"/>
              <w:rPr>
                <w:rFonts w:hint="eastAsia" w:ascii="宋体" w:hAnsi="宋体" w:eastAsia="宋体" w:cs="宋体"/>
                <w:bCs/>
                <w:color w:val="auto"/>
                <w:sz w:val="18"/>
                <w:highlight w:val="none"/>
              </w:rPr>
            </w:pPr>
          </w:p>
        </w:tc>
      </w:tr>
      <w:tr w14:paraId="444256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5" w:hRule="atLeast"/>
          <w:jc w:val="center"/>
        </w:trPr>
        <w:tc>
          <w:tcPr>
            <w:tcW w:w="907" w:type="dxa"/>
            <w:tcBorders>
              <w:top w:val="single" w:color="auto" w:sz="4" w:space="0"/>
              <w:left w:val="single" w:color="auto" w:sz="4" w:space="0"/>
              <w:bottom w:val="single" w:color="auto" w:sz="4" w:space="0"/>
              <w:right w:val="single" w:color="auto" w:sz="4" w:space="0"/>
            </w:tcBorders>
            <w:noWrap/>
            <w:vAlign w:val="center"/>
          </w:tcPr>
          <w:p w14:paraId="0DE72262">
            <w:pPr>
              <w:spacing w:line="440" w:lineRule="exact"/>
              <w:jc w:val="center"/>
              <w:outlineLvl w:val="9"/>
              <w:rPr>
                <w:rFonts w:hint="eastAsia" w:ascii="宋体" w:hAnsi="宋体" w:eastAsia="宋体" w:cs="宋体"/>
                <w:bCs/>
                <w:color w:val="auto"/>
                <w:sz w:val="32"/>
                <w:highlight w:val="none"/>
              </w:rPr>
            </w:pPr>
          </w:p>
        </w:tc>
        <w:tc>
          <w:tcPr>
            <w:tcW w:w="2005" w:type="dxa"/>
            <w:tcBorders>
              <w:top w:val="single" w:color="auto" w:sz="4" w:space="0"/>
              <w:left w:val="single" w:color="auto" w:sz="4" w:space="0"/>
              <w:bottom w:val="single" w:color="auto" w:sz="4" w:space="0"/>
              <w:right w:val="single" w:color="auto" w:sz="4" w:space="0"/>
            </w:tcBorders>
            <w:noWrap/>
            <w:vAlign w:val="center"/>
          </w:tcPr>
          <w:p w14:paraId="0D6164CB">
            <w:pPr>
              <w:spacing w:line="440" w:lineRule="exact"/>
              <w:jc w:val="center"/>
              <w:outlineLvl w:val="9"/>
              <w:rPr>
                <w:rFonts w:hint="eastAsia" w:ascii="宋体" w:hAnsi="宋体" w:eastAsia="宋体" w:cs="宋体"/>
                <w:bCs/>
                <w:color w:val="auto"/>
                <w:sz w:val="24"/>
                <w:highlight w:val="none"/>
              </w:rPr>
            </w:pPr>
          </w:p>
        </w:tc>
        <w:tc>
          <w:tcPr>
            <w:tcW w:w="2137" w:type="dxa"/>
            <w:tcBorders>
              <w:top w:val="single" w:color="auto" w:sz="4" w:space="0"/>
              <w:left w:val="single" w:color="auto" w:sz="4" w:space="0"/>
              <w:bottom w:val="single" w:color="auto" w:sz="4" w:space="0"/>
              <w:right w:val="single" w:color="auto" w:sz="4" w:space="0"/>
            </w:tcBorders>
            <w:noWrap/>
            <w:vAlign w:val="center"/>
          </w:tcPr>
          <w:p w14:paraId="1583F782">
            <w:pPr>
              <w:spacing w:line="440" w:lineRule="exact"/>
              <w:jc w:val="center"/>
              <w:outlineLvl w:val="9"/>
              <w:rPr>
                <w:rFonts w:hint="eastAsia" w:ascii="宋体" w:hAnsi="宋体" w:eastAsia="宋体" w:cs="宋体"/>
                <w:bCs/>
                <w:color w:val="auto"/>
                <w:sz w:val="24"/>
                <w:highlight w:val="none"/>
              </w:rPr>
            </w:pPr>
          </w:p>
        </w:tc>
        <w:tc>
          <w:tcPr>
            <w:tcW w:w="2270" w:type="dxa"/>
            <w:tcBorders>
              <w:top w:val="single" w:color="auto" w:sz="4" w:space="0"/>
              <w:left w:val="single" w:color="auto" w:sz="4" w:space="0"/>
              <w:bottom w:val="single" w:color="auto" w:sz="4" w:space="0"/>
              <w:right w:val="single" w:color="auto" w:sz="4" w:space="0"/>
            </w:tcBorders>
            <w:noWrap/>
            <w:vAlign w:val="center"/>
          </w:tcPr>
          <w:p w14:paraId="60DD23BF">
            <w:pPr>
              <w:spacing w:line="440" w:lineRule="exact"/>
              <w:jc w:val="center"/>
              <w:outlineLvl w:val="9"/>
              <w:rPr>
                <w:rFonts w:hint="eastAsia" w:ascii="宋体" w:hAnsi="宋体" w:eastAsia="宋体" w:cs="宋体"/>
                <w:bCs/>
                <w:color w:val="auto"/>
                <w:sz w:val="18"/>
                <w:highlight w:val="none"/>
              </w:rPr>
            </w:pPr>
          </w:p>
        </w:tc>
        <w:tc>
          <w:tcPr>
            <w:tcW w:w="2718" w:type="dxa"/>
            <w:tcBorders>
              <w:top w:val="single" w:color="auto" w:sz="4" w:space="0"/>
              <w:left w:val="single" w:color="auto" w:sz="4" w:space="0"/>
              <w:bottom w:val="single" w:color="auto" w:sz="4" w:space="0"/>
              <w:right w:val="single" w:color="auto" w:sz="4" w:space="0"/>
            </w:tcBorders>
            <w:noWrap/>
            <w:vAlign w:val="center"/>
          </w:tcPr>
          <w:p w14:paraId="0E63C511">
            <w:pPr>
              <w:spacing w:line="440" w:lineRule="exact"/>
              <w:jc w:val="center"/>
              <w:outlineLvl w:val="9"/>
              <w:rPr>
                <w:rFonts w:hint="eastAsia" w:ascii="宋体" w:hAnsi="宋体" w:eastAsia="宋体" w:cs="宋体"/>
                <w:bCs/>
                <w:color w:val="auto"/>
                <w:sz w:val="18"/>
                <w:highlight w:val="none"/>
              </w:rPr>
            </w:pPr>
          </w:p>
        </w:tc>
      </w:tr>
      <w:tr w14:paraId="512A6C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jc w:val="center"/>
        </w:trPr>
        <w:tc>
          <w:tcPr>
            <w:tcW w:w="907" w:type="dxa"/>
            <w:tcBorders>
              <w:top w:val="single" w:color="auto" w:sz="4" w:space="0"/>
              <w:left w:val="single" w:color="auto" w:sz="4" w:space="0"/>
              <w:bottom w:val="single" w:color="auto" w:sz="4" w:space="0"/>
              <w:right w:val="single" w:color="auto" w:sz="4" w:space="0"/>
            </w:tcBorders>
            <w:noWrap/>
            <w:vAlign w:val="center"/>
          </w:tcPr>
          <w:p w14:paraId="60084E02">
            <w:pPr>
              <w:spacing w:line="440" w:lineRule="exact"/>
              <w:jc w:val="center"/>
              <w:outlineLvl w:val="9"/>
              <w:rPr>
                <w:rFonts w:hint="eastAsia" w:ascii="宋体" w:hAnsi="宋体" w:eastAsia="宋体" w:cs="宋体"/>
                <w:bCs/>
                <w:color w:val="auto"/>
                <w:sz w:val="32"/>
                <w:highlight w:val="none"/>
              </w:rPr>
            </w:pPr>
          </w:p>
        </w:tc>
        <w:tc>
          <w:tcPr>
            <w:tcW w:w="2005" w:type="dxa"/>
            <w:tcBorders>
              <w:top w:val="single" w:color="auto" w:sz="4" w:space="0"/>
              <w:left w:val="single" w:color="auto" w:sz="4" w:space="0"/>
              <w:bottom w:val="single" w:color="auto" w:sz="4" w:space="0"/>
              <w:right w:val="single" w:color="auto" w:sz="4" w:space="0"/>
            </w:tcBorders>
            <w:noWrap/>
            <w:vAlign w:val="center"/>
          </w:tcPr>
          <w:p w14:paraId="5448EF0E">
            <w:pPr>
              <w:spacing w:line="440" w:lineRule="exact"/>
              <w:jc w:val="center"/>
              <w:outlineLvl w:val="9"/>
              <w:rPr>
                <w:rFonts w:hint="eastAsia" w:ascii="宋体" w:hAnsi="宋体" w:eastAsia="宋体" w:cs="宋体"/>
                <w:bCs/>
                <w:color w:val="auto"/>
                <w:sz w:val="24"/>
                <w:highlight w:val="none"/>
              </w:rPr>
            </w:pPr>
          </w:p>
        </w:tc>
        <w:tc>
          <w:tcPr>
            <w:tcW w:w="2137" w:type="dxa"/>
            <w:tcBorders>
              <w:top w:val="single" w:color="auto" w:sz="4" w:space="0"/>
              <w:left w:val="single" w:color="auto" w:sz="4" w:space="0"/>
              <w:bottom w:val="single" w:color="auto" w:sz="4" w:space="0"/>
              <w:right w:val="single" w:color="auto" w:sz="4" w:space="0"/>
            </w:tcBorders>
            <w:noWrap/>
            <w:vAlign w:val="center"/>
          </w:tcPr>
          <w:p w14:paraId="3DB910A9">
            <w:pPr>
              <w:spacing w:line="440" w:lineRule="exact"/>
              <w:jc w:val="center"/>
              <w:outlineLvl w:val="9"/>
              <w:rPr>
                <w:rFonts w:hint="eastAsia" w:ascii="宋体" w:hAnsi="宋体" w:eastAsia="宋体" w:cs="宋体"/>
                <w:bCs/>
                <w:color w:val="auto"/>
                <w:sz w:val="24"/>
                <w:highlight w:val="none"/>
              </w:rPr>
            </w:pPr>
          </w:p>
        </w:tc>
        <w:tc>
          <w:tcPr>
            <w:tcW w:w="2270" w:type="dxa"/>
            <w:tcBorders>
              <w:top w:val="single" w:color="auto" w:sz="4" w:space="0"/>
              <w:left w:val="single" w:color="auto" w:sz="4" w:space="0"/>
              <w:bottom w:val="single" w:color="auto" w:sz="4" w:space="0"/>
              <w:right w:val="single" w:color="auto" w:sz="4" w:space="0"/>
            </w:tcBorders>
            <w:noWrap/>
            <w:vAlign w:val="center"/>
          </w:tcPr>
          <w:p w14:paraId="4BAD3F42">
            <w:pPr>
              <w:spacing w:line="440" w:lineRule="exact"/>
              <w:jc w:val="center"/>
              <w:outlineLvl w:val="9"/>
              <w:rPr>
                <w:rFonts w:hint="eastAsia" w:ascii="宋体" w:hAnsi="宋体" w:eastAsia="宋体" w:cs="宋体"/>
                <w:bCs/>
                <w:color w:val="auto"/>
                <w:sz w:val="18"/>
                <w:highlight w:val="none"/>
              </w:rPr>
            </w:pPr>
          </w:p>
        </w:tc>
        <w:tc>
          <w:tcPr>
            <w:tcW w:w="2718" w:type="dxa"/>
            <w:tcBorders>
              <w:top w:val="single" w:color="auto" w:sz="4" w:space="0"/>
              <w:left w:val="single" w:color="auto" w:sz="4" w:space="0"/>
              <w:bottom w:val="single" w:color="auto" w:sz="4" w:space="0"/>
              <w:right w:val="single" w:color="auto" w:sz="4" w:space="0"/>
            </w:tcBorders>
            <w:noWrap/>
            <w:vAlign w:val="center"/>
          </w:tcPr>
          <w:p w14:paraId="7D5EAC6C">
            <w:pPr>
              <w:spacing w:line="440" w:lineRule="exact"/>
              <w:jc w:val="center"/>
              <w:outlineLvl w:val="9"/>
              <w:rPr>
                <w:rFonts w:hint="eastAsia" w:ascii="宋体" w:hAnsi="宋体" w:eastAsia="宋体" w:cs="宋体"/>
                <w:bCs/>
                <w:color w:val="auto"/>
                <w:sz w:val="18"/>
                <w:highlight w:val="none"/>
              </w:rPr>
            </w:pPr>
          </w:p>
        </w:tc>
      </w:tr>
    </w:tbl>
    <w:p w14:paraId="624955A3">
      <w:pPr>
        <w:spacing w:line="500" w:lineRule="exact"/>
        <w:outlineLvl w:val="9"/>
        <w:rPr>
          <w:rFonts w:hint="eastAsia" w:ascii="宋体" w:hAnsi="宋体" w:eastAsia="宋体" w:cs="宋体"/>
          <w:color w:val="auto"/>
          <w:sz w:val="24"/>
          <w:highlight w:val="none"/>
        </w:rPr>
      </w:pPr>
    </w:p>
    <w:p w14:paraId="484C90C2">
      <w:pPr>
        <w:spacing w:before="70" w:line="360" w:lineRule="auto"/>
        <w:ind w:left="106" w:right="97" w:firstLine="476"/>
        <w:jc w:val="both"/>
        <w:rPr>
          <w:rFonts w:ascii="宋体" w:hAnsi="宋体" w:eastAsia="宋体" w:cs="宋体"/>
          <w:sz w:val="24"/>
          <w:szCs w:val="24"/>
          <w:highlight w:val="none"/>
        </w:rPr>
      </w:pPr>
      <w:r>
        <w:rPr>
          <w:rFonts w:ascii="宋体" w:hAnsi="宋体" w:eastAsia="宋体" w:cs="宋体"/>
          <w:spacing w:val="1"/>
          <w:sz w:val="24"/>
          <w:szCs w:val="24"/>
          <w:highlight w:val="none"/>
        </w:rPr>
        <w:t>注：</w:t>
      </w:r>
      <w:r>
        <w:rPr>
          <w:rFonts w:hint="eastAsia" w:ascii="宋体" w:hAnsi="宋体" w:eastAsia="宋体" w:cs="宋体"/>
          <w:spacing w:val="1"/>
          <w:sz w:val="24"/>
          <w:szCs w:val="24"/>
          <w:highlight w:val="none"/>
          <w:lang w:val="en-US" w:eastAsia="zh-CN"/>
        </w:rPr>
        <w:t>投标人</w:t>
      </w:r>
      <w:r>
        <w:rPr>
          <w:rFonts w:ascii="宋体" w:hAnsi="宋体" w:eastAsia="宋体" w:cs="宋体"/>
          <w:spacing w:val="1"/>
          <w:sz w:val="24"/>
          <w:szCs w:val="24"/>
          <w:highlight w:val="none"/>
        </w:rPr>
        <w:t>须对照招标文件技术规格，将自</w:t>
      </w:r>
      <w:r>
        <w:rPr>
          <w:rFonts w:ascii="宋体" w:hAnsi="宋体" w:eastAsia="宋体" w:cs="宋体"/>
          <w:sz w:val="24"/>
          <w:szCs w:val="24"/>
          <w:highlight w:val="none"/>
        </w:rPr>
        <w:t>己所投的所有货物的功能、技术性能、配置等</w:t>
      </w:r>
      <w:r>
        <w:rPr>
          <w:rFonts w:ascii="宋体" w:hAnsi="宋体" w:eastAsia="宋体" w:cs="宋体"/>
          <w:spacing w:val="-1"/>
          <w:sz w:val="24"/>
          <w:szCs w:val="24"/>
          <w:highlight w:val="none"/>
        </w:rPr>
        <w:t>内容按照上表格式与招标文件要求逐条填写，</w:t>
      </w:r>
      <w:r>
        <w:rPr>
          <w:rFonts w:hint="eastAsia" w:ascii="宋体" w:hAnsi="宋体" w:eastAsia="宋体" w:cs="宋体"/>
          <w:b/>
          <w:bCs/>
          <w:spacing w:val="-1"/>
          <w:sz w:val="24"/>
          <w:szCs w:val="24"/>
          <w:highlight w:val="none"/>
          <w:lang w:val="en-US" w:eastAsia="zh-CN"/>
        </w:rPr>
        <w:t>投标人</w:t>
      </w:r>
      <w:r>
        <w:rPr>
          <w:rFonts w:ascii="宋体" w:hAnsi="宋体" w:eastAsia="宋体" w:cs="宋体"/>
          <w:b/>
          <w:bCs/>
          <w:spacing w:val="-1"/>
          <w:sz w:val="24"/>
          <w:szCs w:val="24"/>
          <w:highlight w:val="none"/>
        </w:rPr>
        <w:t>必须提供所投设备的具体参数值，并在偏</w:t>
      </w:r>
      <w:r>
        <w:rPr>
          <w:rFonts w:ascii="宋体" w:hAnsi="宋体" w:eastAsia="宋体" w:cs="宋体"/>
          <w:b/>
          <w:bCs/>
          <w:spacing w:val="-3"/>
          <w:sz w:val="24"/>
          <w:szCs w:val="24"/>
          <w:highlight w:val="none"/>
        </w:rPr>
        <w:t>离说明栏中标明技术及配置的实际响应情况</w:t>
      </w:r>
      <w:r>
        <w:rPr>
          <w:rFonts w:ascii="宋体" w:hAnsi="宋体" w:eastAsia="宋体" w:cs="宋体"/>
          <w:spacing w:val="-3"/>
          <w:sz w:val="24"/>
          <w:szCs w:val="24"/>
          <w:highlight w:val="none"/>
        </w:rPr>
        <w:t>：</w:t>
      </w:r>
    </w:p>
    <w:p w14:paraId="1AB34D85">
      <w:pPr>
        <w:spacing w:before="1" w:line="360" w:lineRule="auto"/>
        <w:ind w:left="104" w:right="107" w:firstLine="496"/>
        <w:rPr>
          <w:rFonts w:ascii="宋体" w:hAnsi="宋体" w:eastAsia="宋体" w:cs="宋体"/>
          <w:sz w:val="24"/>
          <w:szCs w:val="24"/>
          <w:highlight w:val="none"/>
        </w:rPr>
      </w:pPr>
      <w:r>
        <w:rPr>
          <w:rFonts w:ascii="宋体" w:hAnsi="宋体" w:eastAsia="宋体" w:cs="宋体"/>
          <w:spacing w:val="-5"/>
          <w:sz w:val="24"/>
          <w:szCs w:val="24"/>
          <w:highlight w:val="none"/>
        </w:rPr>
        <w:t>1、偏离说明栏中必须标明技术及配置的响应情况，</w:t>
      </w:r>
      <w:r>
        <w:rPr>
          <w:rFonts w:ascii="宋体" w:hAnsi="宋体" w:eastAsia="宋体" w:cs="宋体"/>
          <w:spacing w:val="-36"/>
          <w:sz w:val="24"/>
          <w:szCs w:val="24"/>
          <w:highlight w:val="none"/>
        </w:rPr>
        <w:t xml:space="preserve"> </w:t>
      </w:r>
      <w:r>
        <w:rPr>
          <w:rFonts w:ascii="宋体" w:hAnsi="宋体" w:eastAsia="宋体" w:cs="宋体"/>
          <w:spacing w:val="-5"/>
          <w:sz w:val="24"/>
          <w:szCs w:val="24"/>
          <w:highlight w:val="none"/>
        </w:rPr>
        <w:t>整项货物及该项货物各部</w:t>
      </w:r>
      <w:r>
        <w:rPr>
          <w:rFonts w:ascii="宋体" w:hAnsi="宋体" w:eastAsia="宋体" w:cs="宋体"/>
          <w:spacing w:val="-6"/>
          <w:sz w:val="24"/>
          <w:szCs w:val="24"/>
          <w:highlight w:val="none"/>
        </w:rPr>
        <w:t>分相应情况须</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按下列要求填写，任何不真实响应都将按无效投标处理：</w:t>
      </w:r>
    </w:p>
    <w:p w14:paraId="0986B03B">
      <w:pPr>
        <w:spacing w:before="1" w:line="360" w:lineRule="auto"/>
        <w:ind w:left="589"/>
        <w:rPr>
          <w:rFonts w:ascii="宋体" w:hAnsi="宋体" w:eastAsia="宋体" w:cs="宋体"/>
          <w:sz w:val="24"/>
          <w:szCs w:val="24"/>
          <w:highlight w:val="none"/>
        </w:rPr>
      </w:pPr>
      <w:r>
        <w:rPr>
          <w:rFonts w:ascii="宋体" w:hAnsi="宋体" w:eastAsia="宋体" w:cs="宋体"/>
          <w:spacing w:val="-2"/>
          <w:sz w:val="24"/>
          <w:szCs w:val="24"/>
          <w:highlight w:val="none"/>
        </w:rPr>
        <w:t>（1）对应项中的所有技术参数、性能和配置全部符合招标文件要求的才能填写“符合”；</w:t>
      </w:r>
    </w:p>
    <w:p w14:paraId="466032D6">
      <w:pPr>
        <w:spacing w:before="93" w:line="360" w:lineRule="auto"/>
        <w:ind w:left="105" w:right="97" w:firstLine="484"/>
        <w:rPr>
          <w:rFonts w:ascii="宋体" w:hAnsi="宋体" w:eastAsia="宋体" w:cs="宋体"/>
          <w:spacing w:val="-4"/>
          <w:sz w:val="24"/>
          <w:szCs w:val="24"/>
          <w:highlight w:val="none"/>
        </w:rPr>
      </w:pPr>
      <w:r>
        <w:rPr>
          <w:rFonts w:ascii="宋体" w:hAnsi="宋体" w:eastAsia="宋体" w:cs="宋体"/>
          <w:spacing w:val="-2"/>
          <w:sz w:val="24"/>
          <w:szCs w:val="24"/>
          <w:highlight w:val="none"/>
        </w:rPr>
        <w:t>（2）对应项中的所有技术参数、性能和配</w:t>
      </w:r>
      <w:r>
        <w:rPr>
          <w:rFonts w:ascii="宋体" w:hAnsi="宋体" w:eastAsia="宋体" w:cs="宋体"/>
          <w:spacing w:val="-3"/>
          <w:sz w:val="24"/>
          <w:szCs w:val="24"/>
          <w:highlight w:val="none"/>
        </w:rPr>
        <w:t>置全部符合招标文件要求并且其中有一个或以上</w:t>
      </w:r>
      <w:r>
        <w:rPr>
          <w:rFonts w:ascii="宋体" w:hAnsi="宋体" w:eastAsia="宋体" w:cs="宋体"/>
          <w:spacing w:val="-4"/>
          <w:sz w:val="24"/>
          <w:szCs w:val="24"/>
          <w:highlight w:val="none"/>
        </w:rPr>
        <w:t>指标优于招标文件要求的，可填写“正偏离”；</w:t>
      </w:r>
    </w:p>
    <w:p w14:paraId="4B908BEC">
      <w:pPr>
        <w:adjustRightInd w:val="0"/>
        <w:snapToGrid w:val="0"/>
        <w:spacing w:before="156" w:beforeLines="50" w:line="360" w:lineRule="auto"/>
        <w:ind w:right="960"/>
        <w:outlineLvl w:val="9"/>
        <w:rPr>
          <w:rFonts w:hint="eastAsia" w:ascii="宋体" w:hAnsi="宋体" w:eastAsia="宋体" w:cs="宋体"/>
          <w:color w:val="auto"/>
          <w:sz w:val="24"/>
          <w:highlight w:val="none"/>
        </w:rPr>
      </w:pPr>
      <w:bookmarkStart w:id="329" w:name="OLE_LINK7"/>
      <w:bookmarkStart w:id="330" w:name="OLE_LINK8"/>
      <w:r>
        <w:rPr>
          <w:rFonts w:hint="eastAsia" w:ascii="宋体" w:hAnsi="宋体" w:eastAsia="宋体" w:cs="宋体"/>
          <w:color w:val="auto"/>
          <w:sz w:val="24"/>
          <w:highlight w:val="none"/>
        </w:rPr>
        <w:t>投标人名称：</w:t>
      </w:r>
      <w:r>
        <w:rPr>
          <w:rFonts w:hint="eastAsia" w:ascii="宋体" w:hAnsi="宋体" w:eastAsia="宋体" w:cs="宋体"/>
          <w:color w:val="auto"/>
          <w:spacing w:val="8"/>
          <w:sz w:val="24"/>
          <w:highlight w:val="none"/>
          <w:u w:val="single"/>
        </w:rPr>
        <w:t xml:space="preserve">                  </w:t>
      </w:r>
      <w:r>
        <w:rPr>
          <w:rFonts w:hint="eastAsia" w:ascii="宋体" w:hAnsi="宋体" w:eastAsia="宋体" w:cs="宋体"/>
          <w:color w:val="auto"/>
          <w:sz w:val="24"/>
          <w:highlight w:val="none"/>
        </w:rPr>
        <w:t>（单位电子签章）</w:t>
      </w:r>
    </w:p>
    <w:p w14:paraId="0F8954DC">
      <w:pPr>
        <w:spacing w:line="480" w:lineRule="exact"/>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w:t>
      </w:r>
      <w:r>
        <w:rPr>
          <w:rFonts w:hint="eastAsia" w:ascii="宋体" w:hAnsi="宋体" w:eastAsia="宋体" w:cs="宋体"/>
          <w:bCs/>
          <w:color w:val="auto"/>
          <w:sz w:val="24"/>
          <w:szCs w:val="20"/>
          <w:highlight w:val="none"/>
        </w:rPr>
        <w:t>或其委托代理人</w:t>
      </w:r>
      <w:r>
        <w:rPr>
          <w:rFonts w:hint="eastAsia" w:ascii="宋体" w:hAnsi="宋体" w:eastAsia="宋体" w:cs="宋体"/>
          <w:bCs/>
          <w:color w:val="auto"/>
          <w:sz w:val="24"/>
          <w:highlight w:val="none"/>
        </w:rPr>
        <w:t>：</w:t>
      </w:r>
      <w:r>
        <w:rPr>
          <w:rFonts w:hint="eastAsia" w:ascii="宋体" w:hAnsi="宋体" w:eastAsia="宋体" w:cs="宋体"/>
          <w:color w:val="auto"/>
          <w:spacing w:val="8"/>
          <w:sz w:val="24"/>
          <w:highlight w:val="none"/>
          <w:u w:val="single"/>
        </w:rPr>
        <w:t xml:space="preserve">                  </w:t>
      </w:r>
      <w:r>
        <w:rPr>
          <w:rFonts w:hint="eastAsia" w:ascii="宋体" w:hAnsi="宋体" w:eastAsia="宋体" w:cs="宋体"/>
          <w:bCs/>
          <w:color w:val="auto"/>
          <w:sz w:val="24"/>
          <w:highlight w:val="none"/>
        </w:rPr>
        <w:t>（签字或盖章）</w:t>
      </w:r>
    </w:p>
    <w:p w14:paraId="4797C361">
      <w:pPr>
        <w:ind w:left="1050" w:leftChars="500"/>
        <w:jc w:val="right"/>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575D6766">
      <w:pPr>
        <w:jc w:val="both"/>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日  期：     年   月   日</w:t>
      </w:r>
    </w:p>
    <w:bookmarkEnd w:id="329"/>
    <w:bookmarkEnd w:id="330"/>
    <w:p w14:paraId="02C56330">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B50BC2F">
      <w:pPr>
        <w:pStyle w:val="4"/>
        <w:bidi w:val="0"/>
        <w:rPr>
          <w:rFonts w:hint="eastAsia" w:ascii="宋体" w:hAnsi="宋体" w:eastAsia="宋体" w:cs="宋体"/>
          <w:color w:val="auto"/>
          <w:sz w:val="24"/>
          <w:highlight w:val="none"/>
        </w:rPr>
      </w:pPr>
      <w:bookmarkStart w:id="331" w:name="_Toc7664"/>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五</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商务响应表</w:t>
      </w:r>
      <w:bookmarkEnd w:id="331"/>
      <w:r>
        <w:rPr>
          <w:rFonts w:hint="eastAsia" w:ascii="宋体" w:hAnsi="宋体" w:eastAsia="宋体" w:cs="宋体"/>
          <w:color w:val="auto"/>
          <w:sz w:val="24"/>
          <w:highlight w:val="none"/>
        </w:rPr>
        <w:t xml:space="preserve">           </w:t>
      </w:r>
    </w:p>
    <w:tbl>
      <w:tblPr>
        <w:tblStyle w:val="34"/>
        <w:tblW w:w="0" w:type="auto"/>
        <w:tblInd w:w="129"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575"/>
        <w:gridCol w:w="2998"/>
        <w:gridCol w:w="1399"/>
        <w:gridCol w:w="3687"/>
      </w:tblGrid>
      <w:tr w14:paraId="3CFE41C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75" w:type="dxa"/>
            <w:tcBorders>
              <w:top w:val="single" w:color="000000" w:sz="4" w:space="0"/>
              <w:left w:val="single" w:color="000000" w:sz="4" w:space="0"/>
              <w:bottom w:val="single" w:color="auto" w:sz="4" w:space="0"/>
              <w:right w:val="single" w:color="000000" w:sz="4" w:space="0"/>
            </w:tcBorders>
            <w:vAlign w:val="center"/>
          </w:tcPr>
          <w:p w14:paraId="05EACBDC">
            <w:pPr>
              <w:spacing w:line="48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998" w:type="dxa"/>
            <w:tcBorders>
              <w:top w:val="single" w:color="000000" w:sz="4" w:space="0"/>
              <w:left w:val="single" w:color="000000" w:sz="4" w:space="0"/>
              <w:bottom w:val="single" w:color="auto" w:sz="4" w:space="0"/>
              <w:right w:val="single" w:color="000000" w:sz="4" w:space="0"/>
            </w:tcBorders>
            <w:vAlign w:val="center"/>
          </w:tcPr>
          <w:p w14:paraId="212752A2">
            <w:pPr>
              <w:spacing w:line="48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招标文件要求</w:t>
            </w:r>
          </w:p>
        </w:tc>
        <w:tc>
          <w:tcPr>
            <w:tcW w:w="1399" w:type="dxa"/>
            <w:tcBorders>
              <w:top w:val="single" w:color="000000" w:sz="4" w:space="0"/>
              <w:left w:val="single" w:color="000000" w:sz="4" w:space="0"/>
              <w:bottom w:val="single" w:color="auto" w:sz="4" w:space="0"/>
              <w:right w:val="single" w:color="000000" w:sz="4" w:space="0"/>
            </w:tcBorders>
            <w:vAlign w:val="center"/>
          </w:tcPr>
          <w:p w14:paraId="63E94A6C">
            <w:pPr>
              <w:spacing w:line="48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是否响应</w:t>
            </w:r>
          </w:p>
        </w:tc>
        <w:tc>
          <w:tcPr>
            <w:tcW w:w="3687" w:type="dxa"/>
            <w:tcBorders>
              <w:top w:val="single" w:color="000000" w:sz="4" w:space="0"/>
              <w:left w:val="single" w:color="000000" w:sz="4" w:space="0"/>
              <w:bottom w:val="single" w:color="auto" w:sz="4" w:space="0"/>
              <w:right w:val="single" w:color="000000" w:sz="4" w:space="0"/>
            </w:tcBorders>
            <w:vAlign w:val="center"/>
          </w:tcPr>
          <w:p w14:paraId="4946E5DF">
            <w:pPr>
              <w:spacing w:line="48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投标人的承诺或说明</w:t>
            </w:r>
          </w:p>
        </w:tc>
      </w:tr>
      <w:tr w14:paraId="0A3A338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575" w:type="dxa"/>
            <w:tcBorders>
              <w:top w:val="single" w:color="auto" w:sz="4" w:space="0"/>
              <w:left w:val="single" w:color="auto" w:sz="4" w:space="0"/>
              <w:bottom w:val="single" w:color="auto" w:sz="4" w:space="0"/>
              <w:right w:val="single" w:color="auto" w:sz="4" w:space="0"/>
            </w:tcBorders>
            <w:vAlign w:val="center"/>
          </w:tcPr>
          <w:p w14:paraId="5F77C2B6">
            <w:pPr>
              <w:spacing w:line="48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998" w:type="dxa"/>
            <w:tcBorders>
              <w:top w:val="single" w:color="auto" w:sz="4" w:space="0"/>
              <w:left w:val="single" w:color="auto" w:sz="4" w:space="0"/>
              <w:bottom w:val="single" w:color="auto" w:sz="4" w:space="0"/>
              <w:right w:val="single" w:color="auto" w:sz="4" w:space="0"/>
            </w:tcBorders>
            <w:vAlign w:val="center"/>
          </w:tcPr>
          <w:p w14:paraId="29D518B8">
            <w:pPr>
              <w:spacing w:line="480" w:lineRule="exact"/>
              <w:jc w:val="center"/>
              <w:outlineLvl w:val="9"/>
              <w:rPr>
                <w:rFonts w:hint="eastAsia" w:ascii="宋体" w:hAnsi="宋体" w:eastAsia="宋体" w:cs="宋体"/>
                <w:color w:val="auto"/>
                <w:sz w:val="24"/>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14:paraId="3432B4E9">
            <w:pPr>
              <w:spacing w:line="480" w:lineRule="exact"/>
              <w:jc w:val="center"/>
              <w:outlineLvl w:val="9"/>
              <w:rPr>
                <w:rFonts w:hint="eastAsia" w:ascii="宋体" w:hAnsi="宋体" w:eastAsia="宋体" w:cs="宋体"/>
                <w:color w:val="auto"/>
                <w:sz w:val="24"/>
                <w:highlight w:val="none"/>
              </w:rPr>
            </w:pPr>
          </w:p>
        </w:tc>
        <w:tc>
          <w:tcPr>
            <w:tcW w:w="3687" w:type="dxa"/>
            <w:tcBorders>
              <w:top w:val="single" w:color="auto" w:sz="4" w:space="0"/>
              <w:left w:val="single" w:color="auto" w:sz="4" w:space="0"/>
              <w:bottom w:val="single" w:color="auto" w:sz="4" w:space="0"/>
              <w:right w:val="single" w:color="auto" w:sz="4" w:space="0"/>
            </w:tcBorders>
            <w:vAlign w:val="center"/>
          </w:tcPr>
          <w:p w14:paraId="3CF1896D">
            <w:pPr>
              <w:spacing w:line="480" w:lineRule="exact"/>
              <w:jc w:val="center"/>
              <w:outlineLvl w:val="9"/>
              <w:rPr>
                <w:rFonts w:hint="eastAsia" w:ascii="宋体" w:hAnsi="宋体" w:eastAsia="宋体" w:cs="宋体"/>
                <w:color w:val="auto"/>
                <w:sz w:val="24"/>
                <w:highlight w:val="none"/>
              </w:rPr>
            </w:pPr>
          </w:p>
        </w:tc>
      </w:tr>
      <w:tr w14:paraId="3D5C49B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575" w:type="dxa"/>
            <w:tcBorders>
              <w:top w:val="single" w:color="auto" w:sz="4" w:space="0"/>
              <w:left w:val="single" w:color="auto" w:sz="4" w:space="0"/>
              <w:bottom w:val="single" w:color="auto" w:sz="4" w:space="0"/>
              <w:right w:val="single" w:color="auto" w:sz="4" w:space="0"/>
            </w:tcBorders>
            <w:vAlign w:val="center"/>
          </w:tcPr>
          <w:p w14:paraId="22E7B6B2">
            <w:pPr>
              <w:spacing w:line="48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998" w:type="dxa"/>
            <w:tcBorders>
              <w:top w:val="single" w:color="auto" w:sz="4" w:space="0"/>
              <w:left w:val="single" w:color="auto" w:sz="4" w:space="0"/>
              <w:bottom w:val="single" w:color="auto" w:sz="4" w:space="0"/>
              <w:right w:val="single" w:color="auto" w:sz="4" w:space="0"/>
            </w:tcBorders>
            <w:vAlign w:val="center"/>
          </w:tcPr>
          <w:p w14:paraId="28BBCF82">
            <w:pPr>
              <w:spacing w:line="480" w:lineRule="exact"/>
              <w:jc w:val="center"/>
              <w:outlineLvl w:val="9"/>
              <w:rPr>
                <w:rFonts w:hint="eastAsia" w:ascii="宋体" w:hAnsi="宋体" w:eastAsia="宋体" w:cs="宋体"/>
                <w:color w:val="auto"/>
                <w:sz w:val="24"/>
                <w:highlight w:val="none"/>
              </w:rPr>
            </w:pPr>
          </w:p>
        </w:tc>
        <w:tc>
          <w:tcPr>
            <w:tcW w:w="1399" w:type="dxa"/>
            <w:tcBorders>
              <w:top w:val="single" w:color="auto" w:sz="4" w:space="0"/>
              <w:left w:val="single" w:color="auto" w:sz="4" w:space="0"/>
              <w:bottom w:val="single" w:color="auto" w:sz="4" w:space="0"/>
              <w:right w:val="single" w:color="auto" w:sz="4" w:space="0"/>
            </w:tcBorders>
            <w:vAlign w:val="center"/>
          </w:tcPr>
          <w:p w14:paraId="4AA5F912">
            <w:pPr>
              <w:spacing w:line="480" w:lineRule="exact"/>
              <w:jc w:val="center"/>
              <w:outlineLvl w:val="9"/>
              <w:rPr>
                <w:rFonts w:hint="eastAsia" w:ascii="宋体" w:hAnsi="宋体" w:eastAsia="宋体" w:cs="宋体"/>
                <w:color w:val="auto"/>
                <w:sz w:val="24"/>
                <w:highlight w:val="none"/>
              </w:rPr>
            </w:pPr>
          </w:p>
        </w:tc>
        <w:tc>
          <w:tcPr>
            <w:tcW w:w="3687" w:type="dxa"/>
            <w:tcBorders>
              <w:top w:val="single" w:color="auto" w:sz="4" w:space="0"/>
              <w:left w:val="single" w:color="auto" w:sz="4" w:space="0"/>
              <w:bottom w:val="single" w:color="auto" w:sz="4" w:space="0"/>
              <w:right w:val="single" w:color="auto" w:sz="4" w:space="0"/>
            </w:tcBorders>
            <w:vAlign w:val="center"/>
          </w:tcPr>
          <w:p w14:paraId="2501B673">
            <w:pPr>
              <w:spacing w:line="480" w:lineRule="exact"/>
              <w:jc w:val="center"/>
              <w:outlineLvl w:val="9"/>
              <w:rPr>
                <w:rFonts w:hint="eastAsia" w:ascii="宋体" w:hAnsi="宋体" w:eastAsia="宋体" w:cs="宋体"/>
                <w:color w:val="auto"/>
                <w:sz w:val="24"/>
                <w:highlight w:val="none"/>
              </w:rPr>
            </w:pPr>
          </w:p>
        </w:tc>
      </w:tr>
      <w:tr w14:paraId="630AC53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575" w:type="dxa"/>
            <w:tcBorders>
              <w:top w:val="single" w:color="auto" w:sz="4" w:space="0"/>
              <w:left w:val="single" w:color="000000" w:sz="4" w:space="0"/>
              <w:bottom w:val="single" w:color="000000" w:sz="4" w:space="0"/>
              <w:right w:val="single" w:color="000000" w:sz="4" w:space="0"/>
            </w:tcBorders>
            <w:vAlign w:val="center"/>
          </w:tcPr>
          <w:p w14:paraId="1C95BE9E">
            <w:pPr>
              <w:spacing w:line="48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998" w:type="dxa"/>
            <w:tcBorders>
              <w:top w:val="single" w:color="auto" w:sz="4" w:space="0"/>
              <w:left w:val="single" w:color="000000" w:sz="4" w:space="0"/>
              <w:bottom w:val="single" w:color="000000" w:sz="4" w:space="0"/>
              <w:right w:val="single" w:color="000000" w:sz="4" w:space="0"/>
            </w:tcBorders>
            <w:vAlign w:val="center"/>
          </w:tcPr>
          <w:p w14:paraId="006C4789">
            <w:pPr>
              <w:spacing w:line="480" w:lineRule="exact"/>
              <w:jc w:val="center"/>
              <w:outlineLvl w:val="9"/>
              <w:rPr>
                <w:rFonts w:hint="eastAsia" w:ascii="宋体" w:hAnsi="宋体" w:eastAsia="宋体" w:cs="宋体"/>
                <w:color w:val="auto"/>
                <w:sz w:val="24"/>
                <w:highlight w:val="none"/>
              </w:rPr>
            </w:pPr>
          </w:p>
        </w:tc>
        <w:tc>
          <w:tcPr>
            <w:tcW w:w="1399" w:type="dxa"/>
            <w:tcBorders>
              <w:top w:val="single" w:color="auto" w:sz="4" w:space="0"/>
              <w:left w:val="single" w:color="000000" w:sz="4" w:space="0"/>
              <w:bottom w:val="single" w:color="000000" w:sz="4" w:space="0"/>
              <w:right w:val="single" w:color="000000" w:sz="4" w:space="0"/>
            </w:tcBorders>
            <w:vAlign w:val="center"/>
          </w:tcPr>
          <w:p w14:paraId="6FA33AD3">
            <w:pPr>
              <w:spacing w:line="480" w:lineRule="exact"/>
              <w:jc w:val="center"/>
              <w:outlineLvl w:val="9"/>
              <w:rPr>
                <w:rFonts w:hint="eastAsia" w:ascii="宋体" w:hAnsi="宋体" w:eastAsia="宋体" w:cs="宋体"/>
                <w:color w:val="auto"/>
                <w:sz w:val="24"/>
                <w:highlight w:val="none"/>
              </w:rPr>
            </w:pPr>
          </w:p>
        </w:tc>
        <w:tc>
          <w:tcPr>
            <w:tcW w:w="3687" w:type="dxa"/>
            <w:tcBorders>
              <w:top w:val="single" w:color="auto" w:sz="4" w:space="0"/>
              <w:left w:val="single" w:color="000000" w:sz="4" w:space="0"/>
              <w:bottom w:val="single" w:color="000000" w:sz="4" w:space="0"/>
              <w:right w:val="single" w:color="000000" w:sz="4" w:space="0"/>
            </w:tcBorders>
            <w:vAlign w:val="center"/>
          </w:tcPr>
          <w:p w14:paraId="5BC92A62">
            <w:pPr>
              <w:spacing w:line="480" w:lineRule="exact"/>
              <w:jc w:val="center"/>
              <w:outlineLvl w:val="9"/>
              <w:rPr>
                <w:rFonts w:hint="eastAsia" w:ascii="宋体" w:hAnsi="宋体" w:eastAsia="宋体" w:cs="宋体"/>
                <w:color w:val="auto"/>
                <w:sz w:val="24"/>
                <w:highlight w:val="none"/>
              </w:rPr>
            </w:pPr>
          </w:p>
        </w:tc>
      </w:tr>
      <w:tr w14:paraId="2520D2E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575" w:type="dxa"/>
            <w:tcBorders>
              <w:top w:val="single" w:color="000000" w:sz="4" w:space="0"/>
              <w:left w:val="single" w:color="000000" w:sz="4" w:space="0"/>
              <w:bottom w:val="single" w:color="000000" w:sz="4" w:space="0"/>
              <w:right w:val="single" w:color="000000" w:sz="4" w:space="0"/>
            </w:tcBorders>
            <w:vAlign w:val="center"/>
          </w:tcPr>
          <w:p w14:paraId="7280B7E8">
            <w:pPr>
              <w:spacing w:line="48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998" w:type="dxa"/>
            <w:tcBorders>
              <w:top w:val="single" w:color="000000" w:sz="4" w:space="0"/>
              <w:left w:val="single" w:color="000000" w:sz="4" w:space="0"/>
              <w:bottom w:val="single" w:color="000000" w:sz="4" w:space="0"/>
              <w:right w:val="single" w:color="000000" w:sz="4" w:space="0"/>
            </w:tcBorders>
            <w:vAlign w:val="center"/>
          </w:tcPr>
          <w:p w14:paraId="4DB93C54">
            <w:pPr>
              <w:spacing w:line="480" w:lineRule="exact"/>
              <w:jc w:val="center"/>
              <w:outlineLvl w:val="9"/>
              <w:rPr>
                <w:rFonts w:hint="eastAsia" w:ascii="宋体" w:hAnsi="宋体" w:eastAsia="宋体" w:cs="宋体"/>
                <w:color w:val="auto"/>
                <w:sz w:val="24"/>
                <w:highlight w:val="none"/>
              </w:rPr>
            </w:pPr>
          </w:p>
        </w:tc>
        <w:tc>
          <w:tcPr>
            <w:tcW w:w="1399" w:type="dxa"/>
            <w:tcBorders>
              <w:top w:val="single" w:color="000000" w:sz="4" w:space="0"/>
              <w:left w:val="single" w:color="000000" w:sz="4" w:space="0"/>
              <w:bottom w:val="single" w:color="000000" w:sz="4" w:space="0"/>
              <w:right w:val="single" w:color="000000" w:sz="4" w:space="0"/>
            </w:tcBorders>
            <w:vAlign w:val="center"/>
          </w:tcPr>
          <w:p w14:paraId="24B50041">
            <w:pPr>
              <w:spacing w:line="480" w:lineRule="exact"/>
              <w:jc w:val="center"/>
              <w:outlineLvl w:val="9"/>
              <w:rPr>
                <w:rFonts w:hint="eastAsia" w:ascii="宋体" w:hAnsi="宋体" w:eastAsia="宋体" w:cs="宋体"/>
                <w:color w:val="auto"/>
                <w:sz w:val="24"/>
                <w:highlight w:val="none"/>
              </w:rPr>
            </w:pPr>
          </w:p>
        </w:tc>
        <w:tc>
          <w:tcPr>
            <w:tcW w:w="3687" w:type="dxa"/>
            <w:tcBorders>
              <w:top w:val="single" w:color="000000" w:sz="4" w:space="0"/>
              <w:left w:val="single" w:color="000000" w:sz="4" w:space="0"/>
              <w:bottom w:val="single" w:color="000000" w:sz="4" w:space="0"/>
              <w:right w:val="single" w:color="000000" w:sz="4" w:space="0"/>
            </w:tcBorders>
            <w:vAlign w:val="center"/>
          </w:tcPr>
          <w:p w14:paraId="2CDACEB3">
            <w:pPr>
              <w:spacing w:line="480" w:lineRule="exact"/>
              <w:jc w:val="center"/>
              <w:outlineLvl w:val="9"/>
              <w:rPr>
                <w:rFonts w:hint="eastAsia" w:ascii="宋体" w:hAnsi="宋体" w:eastAsia="宋体" w:cs="宋体"/>
                <w:color w:val="auto"/>
                <w:sz w:val="24"/>
                <w:highlight w:val="none"/>
              </w:rPr>
            </w:pPr>
          </w:p>
        </w:tc>
      </w:tr>
      <w:tr w14:paraId="2D4E0C7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575" w:type="dxa"/>
            <w:tcBorders>
              <w:top w:val="single" w:color="000000" w:sz="4" w:space="0"/>
              <w:left w:val="single" w:color="000000" w:sz="4" w:space="0"/>
              <w:bottom w:val="single" w:color="000000" w:sz="4" w:space="0"/>
              <w:right w:val="single" w:color="000000" w:sz="4" w:space="0"/>
            </w:tcBorders>
            <w:vAlign w:val="center"/>
          </w:tcPr>
          <w:p w14:paraId="736DF1DC">
            <w:pPr>
              <w:spacing w:line="480" w:lineRule="exact"/>
              <w:jc w:val="center"/>
              <w:outlineLvl w:val="9"/>
              <w:rPr>
                <w:rFonts w:hint="eastAsia" w:ascii="宋体" w:hAnsi="宋体" w:eastAsia="宋体" w:cs="宋体"/>
                <w:color w:val="auto"/>
                <w:sz w:val="24"/>
                <w:highlight w:val="none"/>
              </w:rPr>
            </w:pPr>
          </w:p>
        </w:tc>
        <w:tc>
          <w:tcPr>
            <w:tcW w:w="2998" w:type="dxa"/>
            <w:tcBorders>
              <w:top w:val="single" w:color="000000" w:sz="4" w:space="0"/>
              <w:left w:val="single" w:color="000000" w:sz="4" w:space="0"/>
              <w:bottom w:val="single" w:color="000000" w:sz="4" w:space="0"/>
              <w:right w:val="single" w:color="000000" w:sz="4" w:space="0"/>
            </w:tcBorders>
            <w:vAlign w:val="center"/>
          </w:tcPr>
          <w:p w14:paraId="31178349">
            <w:pPr>
              <w:spacing w:line="480" w:lineRule="exact"/>
              <w:jc w:val="center"/>
              <w:outlineLvl w:val="9"/>
              <w:rPr>
                <w:rFonts w:hint="eastAsia" w:ascii="宋体" w:hAnsi="宋体" w:eastAsia="宋体" w:cs="宋体"/>
                <w:color w:val="auto"/>
                <w:sz w:val="24"/>
                <w:highlight w:val="none"/>
              </w:rPr>
            </w:pPr>
          </w:p>
        </w:tc>
        <w:tc>
          <w:tcPr>
            <w:tcW w:w="1399" w:type="dxa"/>
            <w:tcBorders>
              <w:top w:val="single" w:color="000000" w:sz="4" w:space="0"/>
              <w:left w:val="single" w:color="000000" w:sz="4" w:space="0"/>
              <w:bottom w:val="single" w:color="000000" w:sz="4" w:space="0"/>
              <w:right w:val="single" w:color="000000" w:sz="4" w:space="0"/>
            </w:tcBorders>
            <w:vAlign w:val="center"/>
          </w:tcPr>
          <w:p w14:paraId="753D227A">
            <w:pPr>
              <w:spacing w:line="480" w:lineRule="exact"/>
              <w:jc w:val="center"/>
              <w:outlineLvl w:val="9"/>
              <w:rPr>
                <w:rFonts w:hint="eastAsia" w:ascii="宋体" w:hAnsi="宋体" w:eastAsia="宋体" w:cs="宋体"/>
                <w:color w:val="auto"/>
                <w:sz w:val="24"/>
                <w:highlight w:val="none"/>
              </w:rPr>
            </w:pPr>
          </w:p>
        </w:tc>
        <w:tc>
          <w:tcPr>
            <w:tcW w:w="3687" w:type="dxa"/>
            <w:tcBorders>
              <w:top w:val="single" w:color="000000" w:sz="4" w:space="0"/>
              <w:left w:val="single" w:color="000000" w:sz="4" w:space="0"/>
              <w:bottom w:val="single" w:color="000000" w:sz="4" w:space="0"/>
              <w:right w:val="single" w:color="000000" w:sz="4" w:space="0"/>
            </w:tcBorders>
            <w:vAlign w:val="center"/>
          </w:tcPr>
          <w:p w14:paraId="709DDEF4">
            <w:pPr>
              <w:spacing w:line="480" w:lineRule="exact"/>
              <w:jc w:val="center"/>
              <w:outlineLvl w:val="9"/>
              <w:rPr>
                <w:rFonts w:hint="eastAsia" w:ascii="宋体" w:hAnsi="宋体" w:eastAsia="宋体" w:cs="宋体"/>
                <w:color w:val="auto"/>
                <w:sz w:val="24"/>
                <w:highlight w:val="none"/>
              </w:rPr>
            </w:pPr>
          </w:p>
        </w:tc>
      </w:tr>
      <w:tr w14:paraId="21EFBA5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575" w:type="dxa"/>
            <w:tcBorders>
              <w:top w:val="single" w:color="000000" w:sz="4" w:space="0"/>
              <w:left w:val="single" w:color="000000" w:sz="4" w:space="0"/>
              <w:bottom w:val="single" w:color="000000" w:sz="4" w:space="0"/>
              <w:right w:val="single" w:color="000000" w:sz="4" w:space="0"/>
            </w:tcBorders>
            <w:vAlign w:val="center"/>
          </w:tcPr>
          <w:p w14:paraId="4770C234">
            <w:pPr>
              <w:spacing w:line="480" w:lineRule="exact"/>
              <w:jc w:val="center"/>
              <w:outlineLvl w:val="9"/>
              <w:rPr>
                <w:rFonts w:hint="eastAsia" w:ascii="宋体" w:hAnsi="宋体" w:eastAsia="宋体" w:cs="宋体"/>
                <w:color w:val="auto"/>
                <w:sz w:val="24"/>
                <w:highlight w:val="none"/>
              </w:rPr>
            </w:pPr>
          </w:p>
        </w:tc>
        <w:tc>
          <w:tcPr>
            <w:tcW w:w="2998" w:type="dxa"/>
            <w:tcBorders>
              <w:top w:val="single" w:color="000000" w:sz="4" w:space="0"/>
              <w:left w:val="single" w:color="000000" w:sz="4" w:space="0"/>
              <w:bottom w:val="single" w:color="000000" w:sz="4" w:space="0"/>
              <w:right w:val="single" w:color="000000" w:sz="4" w:space="0"/>
            </w:tcBorders>
            <w:vAlign w:val="center"/>
          </w:tcPr>
          <w:p w14:paraId="39FA18E1">
            <w:pPr>
              <w:spacing w:line="480" w:lineRule="exact"/>
              <w:jc w:val="center"/>
              <w:outlineLvl w:val="9"/>
              <w:rPr>
                <w:rFonts w:hint="eastAsia" w:ascii="宋体" w:hAnsi="宋体" w:eastAsia="宋体" w:cs="宋体"/>
                <w:color w:val="auto"/>
                <w:sz w:val="24"/>
                <w:highlight w:val="none"/>
              </w:rPr>
            </w:pPr>
          </w:p>
        </w:tc>
        <w:tc>
          <w:tcPr>
            <w:tcW w:w="1399" w:type="dxa"/>
            <w:tcBorders>
              <w:top w:val="single" w:color="000000" w:sz="4" w:space="0"/>
              <w:left w:val="single" w:color="000000" w:sz="4" w:space="0"/>
              <w:bottom w:val="single" w:color="000000" w:sz="4" w:space="0"/>
              <w:right w:val="single" w:color="000000" w:sz="4" w:space="0"/>
            </w:tcBorders>
            <w:vAlign w:val="center"/>
          </w:tcPr>
          <w:p w14:paraId="0226061D">
            <w:pPr>
              <w:spacing w:line="480" w:lineRule="exact"/>
              <w:jc w:val="center"/>
              <w:outlineLvl w:val="9"/>
              <w:rPr>
                <w:rFonts w:hint="eastAsia" w:ascii="宋体" w:hAnsi="宋体" w:eastAsia="宋体" w:cs="宋体"/>
                <w:color w:val="auto"/>
                <w:sz w:val="24"/>
                <w:highlight w:val="none"/>
              </w:rPr>
            </w:pPr>
          </w:p>
        </w:tc>
        <w:tc>
          <w:tcPr>
            <w:tcW w:w="3687" w:type="dxa"/>
            <w:tcBorders>
              <w:top w:val="single" w:color="000000" w:sz="4" w:space="0"/>
              <w:left w:val="single" w:color="000000" w:sz="4" w:space="0"/>
              <w:bottom w:val="single" w:color="000000" w:sz="4" w:space="0"/>
              <w:right w:val="single" w:color="000000" w:sz="4" w:space="0"/>
            </w:tcBorders>
            <w:vAlign w:val="center"/>
          </w:tcPr>
          <w:p w14:paraId="2B38A220">
            <w:pPr>
              <w:spacing w:line="480" w:lineRule="exact"/>
              <w:jc w:val="center"/>
              <w:outlineLvl w:val="9"/>
              <w:rPr>
                <w:rFonts w:hint="eastAsia" w:ascii="宋体" w:hAnsi="宋体" w:eastAsia="宋体" w:cs="宋体"/>
                <w:color w:val="auto"/>
                <w:sz w:val="24"/>
                <w:highlight w:val="none"/>
              </w:rPr>
            </w:pPr>
          </w:p>
        </w:tc>
      </w:tr>
      <w:tr w14:paraId="252F40F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575" w:type="dxa"/>
            <w:tcBorders>
              <w:top w:val="single" w:color="000000" w:sz="4" w:space="0"/>
              <w:left w:val="single" w:color="000000" w:sz="4" w:space="0"/>
              <w:bottom w:val="single" w:color="000000" w:sz="4" w:space="0"/>
              <w:right w:val="single" w:color="000000" w:sz="4" w:space="0"/>
            </w:tcBorders>
            <w:vAlign w:val="center"/>
          </w:tcPr>
          <w:p w14:paraId="5B47F32B">
            <w:pPr>
              <w:spacing w:line="48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998" w:type="dxa"/>
            <w:tcBorders>
              <w:top w:val="single" w:color="000000" w:sz="4" w:space="0"/>
              <w:left w:val="single" w:color="000000" w:sz="4" w:space="0"/>
              <w:bottom w:val="single" w:color="000000" w:sz="4" w:space="0"/>
              <w:right w:val="single" w:color="000000" w:sz="4" w:space="0"/>
            </w:tcBorders>
            <w:vAlign w:val="center"/>
          </w:tcPr>
          <w:p w14:paraId="6B2CBAEF">
            <w:pPr>
              <w:spacing w:line="480" w:lineRule="exact"/>
              <w:jc w:val="center"/>
              <w:outlineLvl w:val="9"/>
              <w:rPr>
                <w:rFonts w:hint="eastAsia" w:ascii="宋体" w:hAnsi="宋体" w:eastAsia="宋体" w:cs="宋体"/>
                <w:color w:val="auto"/>
                <w:sz w:val="24"/>
                <w:highlight w:val="none"/>
              </w:rPr>
            </w:pPr>
          </w:p>
        </w:tc>
        <w:tc>
          <w:tcPr>
            <w:tcW w:w="1399" w:type="dxa"/>
            <w:tcBorders>
              <w:top w:val="single" w:color="000000" w:sz="4" w:space="0"/>
              <w:left w:val="single" w:color="000000" w:sz="4" w:space="0"/>
              <w:bottom w:val="single" w:color="000000" w:sz="4" w:space="0"/>
              <w:right w:val="single" w:color="000000" w:sz="4" w:space="0"/>
            </w:tcBorders>
            <w:vAlign w:val="center"/>
          </w:tcPr>
          <w:p w14:paraId="0ABFF4D9">
            <w:pPr>
              <w:spacing w:line="480" w:lineRule="exact"/>
              <w:jc w:val="center"/>
              <w:outlineLvl w:val="9"/>
              <w:rPr>
                <w:rFonts w:hint="eastAsia" w:ascii="宋体" w:hAnsi="宋体" w:eastAsia="宋体" w:cs="宋体"/>
                <w:color w:val="auto"/>
                <w:sz w:val="24"/>
                <w:highlight w:val="none"/>
              </w:rPr>
            </w:pPr>
          </w:p>
        </w:tc>
        <w:tc>
          <w:tcPr>
            <w:tcW w:w="3687" w:type="dxa"/>
            <w:tcBorders>
              <w:top w:val="single" w:color="000000" w:sz="4" w:space="0"/>
              <w:left w:val="single" w:color="000000" w:sz="4" w:space="0"/>
              <w:bottom w:val="single" w:color="000000" w:sz="4" w:space="0"/>
              <w:right w:val="single" w:color="000000" w:sz="4" w:space="0"/>
            </w:tcBorders>
            <w:vAlign w:val="center"/>
          </w:tcPr>
          <w:p w14:paraId="284FE08B">
            <w:pPr>
              <w:spacing w:line="480" w:lineRule="exact"/>
              <w:jc w:val="center"/>
              <w:outlineLvl w:val="9"/>
              <w:rPr>
                <w:rFonts w:hint="eastAsia" w:ascii="宋体" w:hAnsi="宋体" w:eastAsia="宋体" w:cs="宋体"/>
                <w:color w:val="auto"/>
                <w:sz w:val="24"/>
                <w:highlight w:val="none"/>
              </w:rPr>
            </w:pPr>
          </w:p>
        </w:tc>
      </w:tr>
    </w:tbl>
    <w:p w14:paraId="62F46926">
      <w:pPr>
        <w:spacing w:line="4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注：1.投标人可根据实际情况自行添加表格内容；</w:t>
      </w:r>
    </w:p>
    <w:p w14:paraId="24E17E1E">
      <w:pPr>
        <w:spacing w:line="480" w:lineRule="exact"/>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2.投标人必须</w:t>
      </w:r>
      <w:r>
        <w:rPr>
          <w:rFonts w:hint="eastAsia" w:ascii="宋体" w:hAnsi="宋体" w:cs="宋体"/>
          <w:color w:val="auto"/>
          <w:sz w:val="24"/>
          <w:highlight w:val="none"/>
          <w:lang w:val="en-US" w:eastAsia="zh-CN"/>
        </w:rPr>
        <w:t>逐项</w:t>
      </w:r>
      <w:r>
        <w:rPr>
          <w:rFonts w:hint="eastAsia" w:ascii="宋体" w:hAnsi="宋体" w:eastAsia="宋体" w:cs="宋体"/>
          <w:color w:val="auto"/>
          <w:sz w:val="24"/>
          <w:highlight w:val="none"/>
        </w:rPr>
        <w:t>完全响应招标文件商务要求，否则按无效标处理。</w:t>
      </w:r>
    </w:p>
    <w:p w14:paraId="5BA436D4">
      <w:pPr>
        <w:spacing w:line="480" w:lineRule="exact"/>
        <w:outlineLvl w:val="9"/>
        <w:rPr>
          <w:rFonts w:hint="eastAsia" w:ascii="宋体" w:hAnsi="宋体" w:eastAsia="宋体" w:cs="宋体"/>
          <w:color w:val="auto"/>
          <w:sz w:val="24"/>
          <w:highlight w:val="none"/>
        </w:rPr>
      </w:pPr>
    </w:p>
    <w:p w14:paraId="66DB5C17">
      <w:pPr>
        <w:spacing w:line="480" w:lineRule="exact"/>
        <w:outlineLvl w:val="9"/>
        <w:rPr>
          <w:rFonts w:hint="eastAsia" w:ascii="宋体" w:hAnsi="宋体" w:eastAsia="宋体" w:cs="宋体"/>
          <w:color w:val="auto"/>
          <w:sz w:val="24"/>
          <w:highlight w:val="none"/>
        </w:rPr>
      </w:pPr>
    </w:p>
    <w:p w14:paraId="34C4C598">
      <w:pPr>
        <w:adjustRightInd w:val="0"/>
        <w:snapToGrid w:val="0"/>
        <w:spacing w:before="156" w:beforeLines="50" w:line="360" w:lineRule="auto"/>
        <w:ind w:right="96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pacing w:val="8"/>
          <w:sz w:val="24"/>
          <w:highlight w:val="none"/>
          <w:u w:val="single"/>
        </w:rPr>
        <w:t xml:space="preserve">                  </w:t>
      </w:r>
      <w:r>
        <w:rPr>
          <w:rFonts w:hint="eastAsia" w:ascii="宋体" w:hAnsi="宋体" w:eastAsia="宋体" w:cs="宋体"/>
          <w:color w:val="auto"/>
          <w:sz w:val="24"/>
          <w:highlight w:val="none"/>
        </w:rPr>
        <w:t>（单位电子签章）</w:t>
      </w:r>
    </w:p>
    <w:p w14:paraId="1ABFCC99">
      <w:pPr>
        <w:spacing w:line="480" w:lineRule="exact"/>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w:t>
      </w:r>
      <w:r>
        <w:rPr>
          <w:rFonts w:hint="eastAsia" w:ascii="宋体" w:hAnsi="宋体" w:eastAsia="宋体" w:cs="宋体"/>
          <w:bCs/>
          <w:color w:val="auto"/>
          <w:sz w:val="24"/>
          <w:szCs w:val="20"/>
          <w:highlight w:val="none"/>
        </w:rPr>
        <w:t>或其委托代理人</w:t>
      </w:r>
      <w:r>
        <w:rPr>
          <w:rFonts w:hint="eastAsia" w:ascii="宋体" w:hAnsi="宋体" w:eastAsia="宋体" w:cs="宋体"/>
          <w:bCs/>
          <w:color w:val="auto"/>
          <w:sz w:val="24"/>
          <w:highlight w:val="none"/>
        </w:rPr>
        <w:t>：</w:t>
      </w:r>
      <w:r>
        <w:rPr>
          <w:rFonts w:hint="eastAsia" w:ascii="宋体" w:hAnsi="宋体" w:eastAsia="宋体" w:cs="宋体"/>
          <w:color w:val="auto"/>
          <w:spacing w:val="8"/>
          <w:sz w:val="24"/>
          <w:highlight w:val="none"/>
          <w:u w:val="single"/>
        </w:rPr>
        <w:t xml:space="preserve">                  </w:t>
      </w:r>
      <w:r>
        <w:rPr>
          <w:rFonts w:hint="eastAsia" w:ascii="宋体" w:hAnsi="宋体" w:eastAsia="宋体" w:cs="宋体"/>
          <w:bCs/>
          <w:color w:val="auto"/>
          <w:sz w:val="24"/>
          <w:highlight w:val="none"/>
        </w:rPr>
        <w:t>（签字或盖章）</w:t>
      </w:r>
    </w:p>
    <w:p w14:paraId="7BF759E0">
      <w:pPr>
        <w:ind w:left="1050" w:leftChars="500"/>
        <w:jc w:val="right"/>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2613282A">
      <w:pPr>
        <w:ind w:right="96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     年   月   日</w:t>
      </w:r>
    </w:p>
    <w:p w14:paraId="5CC1D4AC">
      <w:pPr>
        <w:adjustRightInd w:val="0"/>
        <w:snapToGrid w:val="0"/>
        <w:spacing w:line="440" w:lineRule="exact"/>
        <w:outlineLvl w:val="9"/>
        <w:rPr>
          <w:rFonts w:hint="eastAsia" w:ascii="宋体" w:hAnsi="宋体" w:eastAsia="宋体" w:cs="宋体"/>
          <w:color w:val="auto"/>
          <w:sz w:val="24"/>
          <w:highlight w:val="none"/>
        </w:rPr>
      </w:pPr>
    </w:p>
    <w:p w14:paraId="56A55A05">
      <w:pPr>
        <w:autoSpaceDE w:val="0"/>
        <w:autoSpaceDN w:val="0"/>
        <w:adjustRightInd w:val="0"/>
        <w:spacing w:line="440" w:lineRule="exact"/>
        <w:jc w:val="center"/>
        <w:outlineLvl w:val="9"/>
        <w:rPr>
          <w:rFonts w:hint="eastAsia" w:ascii="宋体" w:hAnsi="宋体" w:eastAsia="宋体" w:cs="宋体"/>
          <w:b/>
          <w:color w:val="auto"/>
          <w:sz w:val="30"/>
          <w:szCs w:val="30"/>
          <w:highlight w:val="none"/>
        </w:rPr>
      </w:pPr>
    </w:p>
    <w:p w14:paraId="0F91C9FE">
      <w:pP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11770821">
      <w:pPr>
        <w:pStyle w:val="3"/>
        <w:numPr>
          <w:ilvl w:val="0"/>
          <w:numId w:val="13"/>
        </w:numPr>
        <w:bidi w:val="0"/>
        <w:rPr>
          <w:rFonts w:hint="eastAsia" w:ascii="宋体" w:hAnsi="宋体" w:eastAsia="宋体" w:cs="宋体"/>
          <w:color w:val="auto"/>
          <w:highlight w:val="none"/>
        </w:rPr>
      </w:pPr>
      <w:bookmarkStart w:id="332" w:name="_Toc1082"/>
      <w:bookmarkStart w:id="333" w:name="_Toc26698"/>
      <w:bookmarkStart w:id="334" w:name="_Toc2213"/>
      <w:bookmarkStart w:id="335" w:name="_Toc5614"/>
      <w:r>
        <w:rPr>
          <w:rFonts w:hint="eastAsia" w:ascii="宋体" w:hAnsi="宋体" w:eastAsia="宋体" w:cs="宋体"/>
          <w:color w:val="auto"/>
          <w:highlight w:val="none"/>
        </w:rPr>
        <w:t>法定代表人身份证明书</w:t>
      </w:r>
      <w:bookmarkEnd w:id="332"/>
      <w:bookmarkEnd w:id="333"/>
      <w:bookmarkEnd w:id="334"/>
      <w:bookmarkEnd w:id="335"/>
    </w:p>
    <w:p w14:paraId="38068F5C">
      <w:pPr>
        <w:outlineLvl w:val="9"/>
        <w:rPr>
          <w:rFonts w:hint="eastAsia" w:ascii="宋体" w:hAnsi="宋体" w:eastAsia="宋体" w:cs="宋体"/>
          <w:color w:val="auto"/>
          <w:highlight w:val="none"/>
        </w:rPr>
      </w:pPr>
    </w:p>
    <w:p w14:paraId="440418EA">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szCs w:val="18"/>
          <w:highlight w:val="none"/>
        </w:rPr>
        <w:t>投标人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12E4674">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F709DB5">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17DBA5D">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C4E64BD">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E57DD26">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_</w:t>
      </w:r>
    </w:p>
    <w:p w14:paraId="374193DB">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（投标人名称）的法定代表人。</w:t>
      </w:r>
    </w:p>
    <w:p w14:paraId="604A71BB">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3CE4CD60">
      <w:pPr>
        <w:outlineLvl w:val="9"/>
        <w:rPr>
          <w:rFonts w:hint="eastAsia" w:ascii="宋体" w:hAnsi="宋体" w:eastAsia="宋体" w:cs="宋体"/>
          <w:color w:val="auto"/>
          <w:spacing w:val="-1"/>
          <w:sz w:val="24"/>
          <w:highlight w:val="none"/>
        </w:rPr>
      </w:pPr>
    </w:p>
    <w:p w14:paraId="0CD424B3">
      <w:pPr>
        <w:outlineLvl w:val="9"/>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附：法定代表人身份证正反面扫描件</w:t>
      </w:r>
    </w:p>
    <w:p w14:paraId="7B02BC4A">
      <w:pPr>
        <w:spacing w:line="360" w:lineRule="auto"/>
        <w:ind w:firstLine="476" w:firstLineChars="200"/>
        <w:outlineLvl w:val="9"/>
        <w:rPr>
          <w:rFonts w:hint="eastAsia" w:ascii="宋体" w:hAnsi="宋体" w:eastAsia="宋体" w:cs="宋体"/>
          <w:color w:val="auto"/>
          <w:spacing w:val="-1"/>
          <w:sz w:val="24"/>
          <w:highlight w:val="none"/>
        </w:rPr>
      </w:pPr>
    </w:p>
    <w:p w14:paraId="7702EBC5">
      <w:pPr>
        <w:pStyle w:val="33"/>
        <w:outlineLvl w:val="9"/>
        <w:rPr>
          <w:rFonts w:hint="eastAsia" w:ascii="宋体" w:hAnsi="宋体" w:eastAsia="宋体" w:cs="宋体"/>
          <w:color w:val="auto"/>
          <w:highlight w:val="none"/>
        </w:rPr>
      </w:pPr>
    </w:p>
    <w:p w14:paraId="1F3823C4">
      <w:pPr>
        <w:outlineLvl w:val="9"/>
        <w:rPr>
          <w:rFonts w:hint="eastAsia" w:ascii="宋体" w:hAnsi="宋体" w:eastAsia="宋体" w:cs="宋体"/>
          <w:color w:val="auto"/>
          <w:highlight w:val="none"/>
        </w:rPr>
      </w:pPr>
    </w:p>
    <w:p w14:paraId="0F0B950A">
      <w:pPr>
        <w:pStyle w:val="33"/>
        <w:outlineLvl w:val="9"/>
        <w:rPr>
          <w:rFonts w:hint="eastAsia" w:ascii="宋体" w:hAnsi="宋体" w:eastAsia="宋体" w:cs="宋体"/>
          <w:color w:val="auto"/>
          <w:highlight w:val="none"/>
        </w:rPr>
      </w:pPr>
    </w:p>
    <w:p w14:paraId="657A0D19">
      <w:pPr>
        <w:outlineLvl w:val="9"/>
        <w:rPr>
          <w:rFonts w:hint="eastAsia" w:ascii="宋体" w:hAnsi="宋体" w:eastAsia="宋体" w:cs="宋体"/>
          <w:color w:val="auto"/>
          <w:highlight w:val="none"/>
        </w:rPr>
      </w:pPr>
    </w:p>
    <w:p w14:paraId="12928570">
      <w:pPr>
        <w:pStyle w:val="33"/>
        <w:outlineLvl w:val="9"/>
        <w:rPr>
          <w:rFonts w:hint="eastAsia" w:ascii="宋体" w:hAnsi="宋体" w:eastAsia="宋体" w:cs="宋体"/>
          <w:color w:val="auto"/>
          <w:highlight w:val="none"/>
        </w:rPr>
      </w:pPr>
    </w:p>
    <w:p w14:paraId="6C5E48EC">
      <w:pPr>
        <w:outlineLvl w:val="9"/>
        <w:rPr>
          <w:rFonts w:hint="eastAsia" w:ascii="宋体" w:hAnsi="宋体" w:eastAsia="宋体" w:cs="宋体"/>
          <w:color w:val="auto"/>
          <w:highlight w:val="none"/>
        </w:rPr>
      </w:pPr>
    </w:p>
    <w:p w14:paraId="226D814A">
      <w:pPr>
        <w:pStyle w:val="33"/>
        <w:outlineLvl w:val="9"/>
        <w:rPr>
          <w:rFonts w:hint="eastAsia" w:ascii="宋体" w:hAnsi="宋体" w:eastAsia="宋体" w:cs="宋体"/>
          <w:color w:val="auto"/>
          <w:highlight w:val="none"/>
        </w:rPr>
      </w:pPr>
    </w:p>
    <w:p w14:paraId="25DDB869">
      <w:pPr>
        <w:adjustRightInd w:val="0"/>
        <w:snapToGrid w:val="0"/>
        <w:spacing w:before="189" w:beforeLines="50" w:line="360" w:lineRule="auto"/>
        <w:ind w:right="96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pacing w:val="8"/>
          <w:sz w:val="24"/>
          <w:highlight w:val="none"/>
          <w:u w:val="single"/>
        </w:rPr>
        <w:t xml:space="preserve">                  </w:t>
      </w:r>
      <w:r>
        <w:rPr>
          <w:rFonts w:hint="eastAsia" w:ascii="宋体" w:hAnsi="宋体" w:eastAsia="宋体" w:cs="宋体"/>
          <w:color w:val="auto"/>
          <w:sz w:val="24"/>
          <w:highlight w:val="none"/>
        </w:rPr>
        <w:t>（单位电子签章）</w:t>
      </w:r>
    </w:p>
    <w:p w14:paraId="157F4C0D">
      <w:pPr>
        <w:spacing w:line="360" w:lineRule="auto"/>
        <w:ind w:firstLine="5760" w:firstLineChars="2400"/>
        <w:outlineLvl w:val="9"/>
        <w:rPr>
          <w:rFonts w:hint="eastAsia" w:ascii="宋体" w:hAnsi="宋体" w:eastAsia="宋体" w:cs="宋体"/>
          <w:color w:val="auto"/>
          <w:sz w:val="24"/>
          <w:highlight w:val="none"/>
        </w:rPr>
      </w:pPr>
    </w:p>
    <w:p w14:paraId="24245CF2">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年    月     日</w:t>
      </w:r>
    </w:p>
    <w:p w14:paraId="29A3770B">
      <w:pPr>
        <w:spacing w:line="440" w:lineRule="exact"/>
        <w:outlineLvl w:val="9"/>
        <w:rPr>
          <w:rFonts w:hint="eastAsia" w:ascii="宋体" w:hAnsi="宋体" w:eastAsia="宋体" w:cs="宋体"/>
          <w:color w:val="auto"/>
          <w:highlight w:val="none"/>
        </w:rPr>
      </w:pPr>
    </w:p>
    <w:p w14:paraId="21B60661">
      <w:pPr>
        <w:pStyle w:val="30"/>
        <w:spacing w:before="120" w:after="120" w:line="500" w:lineRule="exact"/>
        <w:ind w:right="29" w:rightChars="14"/>
        <w:outlineLvl w:val="9"/>
        <w:rPr>
          <w:rFonts w:hint="eastAsia" w:ascii="宋体" w:hAnsi="宋体" w:eastAsia="宋体" w:cs="宋体"/>
          <w:color w:val="auto"/>
          <w:sz w:val="30"/>
          <w:szCs w:val="30"/>
          <w:highlight w:val="none"/>
        </w:rPr>
      </w:pPr>
      <w:bookmarkStart w:id="336" w:name="_Toc15395"/>
      <w:bookmarkStart w:id="337" w:name="_Toc6009"/>
    </w:p>
    <w:p w14:paraId="027A15C8">
      <w:pPr>
        <w:pStyle w:val="30"/>
        <w:spacing w:before="120" w:after="120" w:line="500" w:lineRule="exact"/>
        <w:ind w:right="29" w:rightChars="14"/>
        <w:outlineLvl w:val="9"/>
        <w:rPr>
          <w:rFonts w:hint="eastAsia" w:ascii="宋体" w:hAnsi="宋体" w:eastAsia="宋体" w:cs="宋体"/>
          <w:color w:val="auto"/>
          <w:sz w:val="30"/>
          <w:szCs w:val="30"/>
          <w:highlight w:val="none"/>
        </w:rPr>
      </w:pPr>
      <w:bookmarkStart w:id="338" w:name="_Toc17980"/>
    </w:p>
    <w:p w14:paraId="77F41D85">
      <w:pPr>
        <w:outlineLvl w:val="9"/>
        <w:rPr>
          <w:rFonts w:hint="eastAsia" w:ascii="宋体" w:hAnsi="宋体" w:eastAsia="宋体" w:cs="宋体"/>
          <w:b/>
          <w:bCs/>
          <w:color w:val="auto"/>
          <w:sz w:val="28"/>
          <w:szCs w:val="28"/>
          <w:highlight w:val="none"/>
        </w:rPr>
      </w:pPr>
    </w:p>
    <w:p w14:paraId="1530BFF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1B64628">
      <w:pPr>
        <w:pStyle w:val="3"/>
        <w:bidi w:val="0"/>
        <w:rPr>
          <w:rFonts w:hint="eastAsia" w:ascii="宋体" w:hAnsi="宋体" w:eastAsia="宋体" w:cs="宋体"/>
          <w:color w:val="auto"/>
          <w:highlight w:val="none"/>
        </w:rPr>
      </w:pPr>
      <w:bookmarkStart w:id="339" w:name="_Toc2152"/>
      <w:r>
        <w:rPr>
          <w:rFonts w:hint="eastAsia" w:ascii="宋体" w:hAnsi="宋体" w:eastAsia="宋体" w:cs="宋体"/>
          <w:color w:val="auto"/>
          <w:highlight w:val="none"/>
        </w:rPr>
        <w:t>三、授权委托书</w:t>
      </w:r>
      <w:bookmarkEnd w:id="336"/>
      <w:bookmarkEnd w:id="337"/>
      <w:bookmarkEnd w:id="338"/>
      <w:bookmarkEnd w:id="339"/>
    </w:p>
    <w:p w14:paraId="6C0D09E2">
      <w:pPr>
        <w:outlineLvl w:val="9"/>
        <w:rPr>
          <w:rFonts w:hint="eastAsia" w:ascii="宋体" w:hAnsi="宋体" w:eastAsia="宋体" w:cs="宋体"/>
          <w:color w:val="auto"/>
          <w:highlight w:val="none"/>
        </w:rPr>
      </w:pPr>
    </w:p>
    <w:p w14:paraId="6A051175">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（投标人名称）的法定代表人，现委托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（姓名）为我方代理人。代理人根据授权，以我方名义签署、澄清、说明、补正、递交、撤回、修改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（项目名称）项目投标文件、签订合同和处理有关事宜，其法律后果由我方承担。</w:t>
      </w:r>
    </w:p>
    <w:p w14:paraId="0D16AAB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w:t>
      </w:r>
      <w:r>
        <w:rPr>
          <w:rFonts w:hint="eastAsia" w:ascii="宋体" w:hAnsi="宋体" w:eastAsia="宋体" w:cs="宋体"/>
          <w:color w:val="auto"/>
          <w:sz w:val="24"/>
          <w:highlight w:val="none"/>
          <w:u w:val="single"/>
        </w:rPr>
        <w:t xml:space="preserve">                                </w:t>
      </w:r>
    </w:p>
    <w:p w14:paraId="75FF28F1">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27D23ECB">
      <w:pPr>
        <w:pStyle w:val="33"/>
        <w:outlineLvl w:val="9"/>
        <w:rPr>
          <w:rFonts w:hint="eastAsia" w:ascii="宋体" w:hAnsi="宋体" w:eastAsia="宋体" w:cs="宋体"/>
          <w:color w:val="auto"/>
          <w:highlight w:val="none"/>
        </w:rPr>
      </w:pPr>
    </w:p>
    <w:p w14:paraId="08FE6018">
      <w:pP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附：委托代理人身份证正反面扫描件</w:t>
      </w:r>
    </w:p>
    <w:p w14:paraId="52F89961">
      <w:pPr>
        <w:spacing w:line="360" w:lineRule="auto"/>
        <w:ind w:firstLine="480" w:firstLineChars="200"/>
        <w:jc w:val="left"/>
        <w:outlineLvl w:val="9"/>
        <w:rPr>
          <w:rFonts w:hint="eastAsia" w:ascii="宋体" w:hAnsi="宋体" w:eastAsia="宋体" w:cs="宋体"/>
          <w:color w:val="auto"/>
          <w:sz w:val="24"/>
          <w:highlight w:val="none"/>
        </w:rPr>
      </w:pPr>
    </w:p>
    <w:p w14:paraId="11C0555C">
      <w:pPr>
        <w:pStyle w:val="33"/>
        <w:outlineLvl w:val="9"/>
        <w:rPr>
          <w:rFonts w:hint="eastAsia" w:ascii="宋体" w:hAnsi="宋体" w:eastAsia="宋体" w:cs="宋体"/>
          <w:color w:val="auto"/>
          <w:highlight w:val="none"/>
        </w:rPr>
      </w:pPr>
    </w:p>
    <w:p w14:paraId="46163A53">
      <w:pPr>
        <w:outlineLvl w:val="9"/>
        <w:rPr>
          <w:rFonts w:hint="eastAsia" w:ascii="宋体" w:hAnsi="宋体" w:eastAsia="宋体" w:cs="宋体"/>
          <w:color w:val="auto"/>
          <w:highlight w:val="none"/>
        </w:rPr>
      </w:pPr>
    </w:p>
    <w:p w14:paraId="693C3242">
      <w:pPr>
        <w:pStyle w:val="33"/>
        <w:outlineLvl w:val="9"/>
        <w:rPr>
          <w:rFonts w:hint="eastAsia" w:ascii="宋体" w:hAnsi="宋体" w:eastAsia="宋体" w:cs="宋体"/>
          <w:color w:val="auto"/>
          <w:highlight w:val="none"/>
        </w:rPr>
      </w:pPr>
    </w:p>
    <w:p w14:paraId="0D2F20CC">
      <w:pPr>
        <w:outlineLvl w:val="9"/>
        <w:rPr>
          <w:rFonts w:hint="eastAsia" w:ascii="宋体" w:hAnsi="宋体" w:eastAsia="宋体" w:cs="宋体"/>
          <w:color w:val="auto"/>
          <w:highlight w:val="none"/>
        </w:rPr>
      </w:pPr>
    </w:p>
    <w:p w14:paraId="103F8214">
      <w:pPr>
        <w:spacing w:line="360" w:lineRule="auto"/>
        <w:jc w:val="left"/>
        <w:outlineLvl w:val="9"/>
        <w:rPr>
          <w:rFonts w:hint="eastAsia" w:ascii="宋体" w:hAnsi="宋体" w:eastAsia="宋体" w:cs="宋体"/>
          <w:color w:val="auto"/>
          <w:sz w:val="24"/>
          <w:highlight w:val="none"/>
        </w:rPr>
      </w:pPr>
    </w:p>
    <w:p w14:paraId="416CFB3A">
      <w:pPr>
        <w:spacing w:line="24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（单位电子签章） </w:t>
      </w:r>
    </w:p>
    <w:p w14:paraId="24A18F15">
      <w:pPr>
        <w:spacing w:line="240" w:lineRule="auto"/>
        <w:ind w:firstLine="480" w:firstLineChars="200"/>
        <w:outlineLvl w:val="9"/>
        <w:rPr>
          <w:rFonts w:hint="eastAsia" w:ascii="宋体" w:hAnsi="宋体" w:eastAsia="宋体" w:cs="宋体"/>
          <w:color w:val="auto"/>
          <w:sz w:val="24"/>
          <w:highlight w:val="none"/>
        </w:rPr>
      </w:pPr>
    </w:p>
    <w:p w14:paraId="3DD8DBEA">
      <w:pPr>
        <w:spacing w:line="24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11F4E2EE">
      <w:pPr>
        <w:spacing w:line="240" w:lineRule="auto"/>
        <w:ind w:firstLine="480" w:firstLineChars="200"/>
        <w:outlineLvl w:val="9"/>
        <w:rPr>
          <w:rFonts w:hint="eastAsia" w:ascii="宋体" w:hAnsi="宋体" w:eastAsia="宋体" w:cs="宋体"/>
          <w:color w:val="auto"/>
          <w:sz w:val="24"/>
          <w:highlight w:val="none"/>
        </w:rPr>
      </w:pPr>
    </w:p>
    <w:p w14:paraId="2FB89987">
      <w:pPr>
        <w:spacing w:line="24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2A22BEFA">
      <w:pPr>
        <w:adjustRightInd w:val="0"/>
        <w:snapToGrid w:val="0"/>
        <w:spacing w:line="240" w:lineRule="auto"/>
        <w:ind w:firstLine="480" w:firstLineChars="200"/>
        <w:outlineLvl w:val="9"/>
        <w:rPr>
          <w:rFonts w:hint="eastAsia" w:ascii="宋体" w:hAnsi="宋体" w:eastAsia="宋体" w:cs="宋体"/>
          <w:color w:val="auto"/>
          <w:sz w:val="24"/>
          <w:highlight w:val="none"/>
        </w:rPr>
      </w:pPr>
    </w:p>
    <w:p w14:paraId="227770B2">
      <w:pPr>
        <w:adjustRightInd w:val="0"/>
        <w:snapToGrid w:val="0"/>
        <w:spacing w:line="24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年   月    日</w:t>
      </w:r>
    </w:p>
    <w:p w14:paraId="65D51B99">
      <w:pPr>
        <w:pStyle w:val="29"/>
        <w:widowControl w:val="0"/>
        <w:spacing w:before="120" w:beforeAutospacing="0" w:after="120" w:afterAutospacing="0" w:line="500" w:lineRule="exact"/>
        <w:ind w:right="29" w:rightChars="14"/>
        <w:jc w:val="center"/>
        <w:outlineLvl w:val="9"/>
        <w:rPr>
          <w:rFonts w:hint="eastAsia" w:ascii="宋体" w:hAnsi="宋体" w:eastAsia="宋体" w:cs="宋体"/>
          <w:color w:val="auto"/>
          <w:kern w:val="2"/>
          <w:sz w:val="30"/>
          <w:szCs w:val="30"/>
          <w:highlight w:val="none"/>
        </w:rPr>
      </w:pPr>
    </w:p>
    <w:p w14:paraId="21EA9097">
      <w:pPr>
        <w:pStyle w:val="29"/>
        <w:widowControl w:val="0"/>
        <w:spacing w:before="120" w:beforeAutospacing="0" w:after="120" w:afterAutospacing="0" w:line="500" w:lineRule="exact"/>
        <w:ind w:right="29" w:rightChars="14"/>
        <w:jc w:val="both"/>
        <w:outlineLvl w:val="9"/>
        <w:rPr>
          <w:rFonts w:hint="eastAsia" w:ascii="宋体" w:hAnsi="宋体" w:eastAsia="宋体" w:cs="宋体"/>
          <w:b/>
          <w:bCs/>
          <w:color w:val="auto"/>
          <w:kern w:val="2"/>
          <w:sz w:val="30"/>
          <w:szCs w:val="30"/>
          <w:highlight w:val="none"/>
        </w:rPr>
      </w:pPr>
    </w:p>
    <w:p w14:paraId="6B84EB29">
      <w:pPr>
        <w:pStyle w:val="29"/>
        <w:widowControl w:val="0"/>
        <w:spacing w:before="120" w:beforeAutospacing="0" w:after="120" w:afterAutospacing="0" w:line="500" w:lineRule="exact"/>
        <w:ind w:right="29" w:rightChars="14"/>
        <w:jc w:val="center"/>
        <w:outlineLvl w:val="9"/>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br w:type="page"/>
      </w:r>
    </w:p>
    <w:p w14:paraId="6848F55B">
      <w:pPr>
        <w:spacing w:line="480" w:lineRule="exact"/>
        <w:ind w:firstLine="482" w:firstLineChars="200"/>
        <w:outlineLvl w:val="9"/>
        <w:rPr>
          <w:rFonts w:hint="eastAsia" w:ascii="宋体" w:hAnsi="宋体" w:eastAsia="宋体" w:cs="宋体"/>
          <w:b/>
          <w:bCs/>
          <w:color w:val="auto"/>
          <w:sz w:val="24"/>
          <w:highlight w:val="none"/>
        </w:rPr>
        <w:sectPr>
          <w:footerReference r:id="rId7" w:type="default"/>
          <w:pgSz w:w="11906" w:h="16838"/>
          <w:pgMar w:top="1418" w:right="924" w:bottom="1418" w:left="1134" w:header="851" w:footer="850" w:gutter="0"/>
          <w:pgNumType w:fmt="decimal"/>
          <w:cols w:space="720" w:num="1"/>
          <w:titlePg/>
          <w:docGrid w:type="lines" w:linePitch="312" w:charSpace="0"/>
        </w:sectPr>
      </w:pPr>
    </w:p>
    <w:bookmarkEnd w:id="263"/>
    <w:p w14:paraId="76DE7773">
      <w:pPr>
        <w:pStyle w:val="3"/>
        <w:bidi w:val="0"/>
        <w:rPr>
          <w:rFonts w:hint="eastAsia" w:ascii="宋体" w:hAnsi="宋体" w:eastAsia="宋体" w:cs="宋体"/>
          <w:color w:val="auto"/>
          <w:highlight w:val="none"/>
        </w:rPr>
      </w:pPr>
      <w:bookmarkStart w:id="340" w:name="_Toc8304"/>
      <w:bookmarkStart w:id="341" w:name="_Toc25161"/>
      <w:bookmarkStart w:id="342" w:name="_Toc16426"/>
      <w:r>
        <w:rPr>
          <w:rFonts w:hint="eastAsia" w:ascii="宋体" w:hAnsi="宋体" w:cs="宋体"/>
          <w:color w:val="auto"/>
          <w:highlight w:val="none"/>
          <w:lang w:val="en-US" w:eastAsia="zh-CN"/>
        </w:rPr>
        <w:t>四</w:t>
      </w:r>
      <w:r>
        <w:rPr>
          <w:rFonts w:hint="eastAsia" w:ascii="宋体" w:hAnsi="宋体" w:eastAsia="宋体" w:cs="宋体"/>
          <w:color w:val="auto"/>
          <w:highlight w:val="none"/>
        </w:rPr>
        <w:t>、</w:t>
      </w:r>
      <w:bookmarkEnd w:id="340"/>
      <w:bookmarkEnd w:id="341"/>
      <w:r>
        <w:rPr>
          <w:rFonts w:hint="eastAsia" w:ascii="宋体" w:hAnsi="宋体" w:eastAsia="宋体" w:cs="宋体"/>
          <w:color w:val="auto"/>
          <w:highlight w:val="none"/>
        </w:rPr>
        <w:t>项目实施方案等</w:t>
      </w:r>
      <w:bookmarkEnd w:id="342"/>
    </w:p>
    <w:p w14:paraId="537DBF2D">
      <w:pPr>
        <w:pStyle w:val="29"/>
        <w:widowControl w:val="0"/>
        <w:spacing w:before="120" w:beforeAutospacing="0" w:after="120" w:afterAutospacing="0" w:line="500" w:lineRule="exact"/>
        <w:ind w:right="29" w:rightChars="14"/>
        <w:jc w:val="center"/>
        <w:outlineLvl w:val="9"/>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（格式自拟）</w:t>
      </w:r>
    </w:p>
    <w:p w14:paraId="3B6BFF2C">
      <w:pPr>
        <w:pStyle w:val="29"/>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注:根据招标文件评标办法，结合本项目第五章采购内容及技术要求，能够有针对性的提出切实可行的项目实施方案等内容，格式自拟</w:t>
      </w:r>
    </w:p>
    <w:p w14:paraId="2FBE6268">
      <w:pPr>
        <w:pStyle w:val="29"/>
        <w:widowControl w:val="0"/>
        <w:spacing w:before="120" w:beforeAutospacing="0" w:after="120" w:afterAutospacing="0" w:line="500" w:lineRule="exact"/>
        <w:ind w:right="29" w:rightChars="14"/>
        <w:jc w:val="center"/>
        <w:outlineLvl w:val="9"/>
        <w:rPr>
          <w:rFonts w:hint="eastAsia" w:ascii="宋体" w:hAnsi="宋体" w:eastAsia="宋体" w:cs="宋体"/>
          <w:bCs/>
          <w:color w:val="auto"/>
          <w:kern w:val="2"/>
          <w:sz w:val="30"/>
          <w:szCs w:val="30"/>
          <w:highlight w:val="none"/>
        </w:rPr>
      </w:pPr>
    </w:p>
    <w:p w14:paraId="6B308C51">
      <w:pPr>
        <w:pStyle w:val="29"/>
        <w:widowControl w:val="0"/>
        <w:spacing w:before="120" w:beforeAutospacing="0" w:after="120" w:afterAutospacing="0" w:line="500" w:lineRule="exact"/>
        <w:ind w:right="29" w:rightChars="14"/>
        <w:jc w:val="center"/>
        <w:outlineLvl w:val="9"/>
        <w:rPr>
          <w:rFonts w:hint="eastAsia" w:ascii="宋体" w:hAnsi="宋体" w:eastAsia="宋体" w:cs="宋体"/>
          <w:b/>
          <w:color w:val="auto"/>
          <w:sz w:val="30"/>
          <w:szCs w:val="30"/>
          <w:highlight w:val="none"/>
        </w:rPr>
      </w:pPr>
    </w:p>
    <w:p w14:paraId="3C5E369D">
      <w:pPr>
        <w:pStyle w:val="29"/>
        <w:widowControl w:val="0"/>
        <w:spacing w:before="120" w:beforeAutospacing="0" w:after="120" w:afterAutospacing="0" w:line="500" w:lineRule="exact"/>
        <w:ind w:right="29" w:rightChars="14"/>
        <w:jc w:val="center"/>
        <w:outlineLvl w:val="9"/>
        <w:rPr>
          <w:rFonts w:hint="eastAsia" w:ascii="宋体" w:hAnsi="宋体" w:eastAsia="宋体" w:cs="宋体"/>
          <w:b/>
          <w:color w:val="auto"/>
          <w:sz w:val="30"/>
          <w:szCs w:val="30"/>
          <w:highlight w:val="none"/>
        </w:rPr>
      </w:pPr>
    </w:p>
    <w:p w14:paraId="732B2B32">
      <w:pPr>
        <w:pStyle w:val="29"/>
        <w:widowControl w:val="0"/>
        <w:spacing w:before="120" w:beforeAutospacing="0" w:after="120" w:afterAutospacing="0" w:line="500" w:lineRule="exact"/>
        <w:ind w:right="29" w:rightChars="14"/>
        <w:jc w:val="center"/>
        <w:outlineLvl w:val="9"/>
        <w:rPr>
          <w:rFonts w:hint="eastAsia" w:ascii="宋体" w:hAnsi="宋体" w:eastAsia="宋体" w:cs="宋体"/>
          <w:b/>
          <w:color w:val="auto"/>
          <w:sz w:val="30"/>
          <w:szCs w:val="30"/>
          <w:highlight w:val="none"/>
        </w:rPr>
      </w:pPr>
    </w:p>
    <w:p w14:paraId="37BE86F0">
      <w:pPr>
        <w:pStyle w:val="29"/>
        <w:widowControl w:val="0"/>
        <w:spacing w:before="120" w:beforeAutospacing="0" w:after="120" w:afterAutospacing="0" w:line="500" w:lineRule="exact"/>
        <w:ind w:right="29" w:rightChars="14"/>
        <w:jc w:val="center"/>
        <w:outlineLvl w:val="9"/>
        <w:rPr>
          <w:rFonts w:hint="eastAsia" w:ascii="宋体" w:hAnsi="宋体" w:eastAsia="宋体" w:cs="宋体"/>
          <w:b/>
          <w:color w:val="auto"/>
          <w:sz w:val="30"/>
          <w:szCs w:val="30"/>
          <w:highlight w:val="none"/>
        </w:rPr>
      </w:pPr>
    </w:p>
    <w:p w14:paraId="21D0DBD2">
      <w:pPr>
        <w:pStyle w:val="29"/>
        <w:widowControl w:val="0"/>
        <w:spacing w:before="120" w:beforeAutospacing="0" w:after="120" w:afterAutospacing="0" w:line="500" w:lineRule="exact"/>
        <w:ind w:right="29" w:rightChars="14"/>
        <w:jc w:val="center"/>
        <w:outlineLvl w:val="9"/>
        <w:rPr>
          <w:rFonts w:hint="eastAsia" w:ascii="宋体" w:hAnsi="宋体" w:eastAsia="宋体" w:cs="宋体"/>
          <w:b/>
          <w:color w:val="auto"/>
          <w:sz w:val="30"/>
          <w:szCs w:val="30"/>
          <w:highlight w:val="none"/>
        </w:rPr>
      </w:pPr>
    </w:p>
    <w:p w14:paraId="4CB6C93B">
      <w:pPr>
        <w:pStyle w:val="29"/>
        <w:widowControl w:val="0"/>
        <w:spacing w:before="120" w:beforeAutospacing="0" w:after="120" w:afterAutospacing="0" w:line="500" w:lineRule="exact"/>
        <w:ind w:right="29" w:rightChars="14"/>
        <w:jc w:val="center"/>
        <w:outlineLvl w:val="9"/>
        <w:rPr>
          <w:rFonts w:hint="eastAsia" w:ascii="宋体" w:hAnsi="宋体" w:eastAsia="宋体" w:cs="宋体"/>
          <w:b/>
          <w:color w:val="auto"/>
          <w:sz w:val="30"/>
          <w:szCs w:val="30"/>
          <w:highlight w:val="none"/>
        </w:rPr>
      </w:pPr>
    </w:p>
    <w:p w14:paraId="10DBC3CC">
      <w:pPr>
        <w:pStyle w:val="29"/>
        <w:widowControl w:val="0"/>
        <w:spacing w:before="120" w:beforeAutospacing="0" w:after="120" w:afterAutospacing="0" w:line="500" w:lineRule="exact"/>
        <w:ind w:right="29" w:rightChars="14"/>
        <w:jc w:val="center"/>
        <w:outlineLvl w:val="9"/>
        <w:rPr>
          <w:rFonts w:hint="eastAsia" w:ascii="宋体" w:hAnsi="宋体" w:eastAsia="宋体" w:cs="宋体"/>
          <w:b/>
          <w:color w:val="auto"/>
          <w:sz w:val="30"/>
          <w:szCs w:val="30"/>
          <w:highlight w:val="none"/>
        </w:rPr>
      </w:pPr>
    </w:p>
    <w:p w14:paraId="65E6BFC6">
      <w:pPr>
        <w:pStyle w:val="29"/>
        <w:widowControl w:val="0"/>
        <w:spacing w:before="120" w:beforeAutospacing="0" w:after="120" w:afterAutospacing="0" w:line="500" w:lineRule="exact"/>
        <w:ind w:right="29" w:rightChars="14"/>
        <w:jc w:val="center"/>
        <w:outlineLvl w:val="9"/>
        <w:rPr>
          <w:rFonts w:hint="eastAsia" w:ascii="宋体" w:hAnsi="宋体" w:eastAsia="宋体" w:cs="宋体"/>
          <w:b/>
          <w:color w:val="auto"/>
          <w:sz w:val="30"/>
          <w:szCs w:val="30"/>
          <w:highlight w:val="none"/>
        </w:rPr>
      </w:pPr>
    </w:p>
    <w:p w14:paraId="128C2206">
      <w:pPr>
        <w:pStyle w:val="29"/>
        <w:widowControl w:val="0"/>
        <w:spacing w:before="120" w:beforeAutospacing="0" w:after="120" w:afterAutospacing="0" w:line="500" w:lineRule="exact"/>
        <w:ind w:right="29" w:rightChars="14"/>
        <w:jc w:val="center"/>
        <w:outlineLvl w:val="9"/>
        <w:rPr>
          <w:rFonts w:hint="eastAsia" w:ascii="宋体" w:hAnsi="宋体" w:eastAsia="宋体" w:cs="宋体"/>
          <w:b/>
          <w:color w:val="auto"/>
          <w:sz w:val="30"/>
          <w:szCs w:val="30"/>
          <w:highlight w:val="none"/>
        </w:rPr>
      </w:pPr>
    </w:p>
    <w:p w14:paraId="7867A8BD">
      <w:pPr>
        <w:pStyle w:val="29"/>
        <w:widowControl w:val="0"/>
        <w:spacing w:before="120" w:beforeAutospacing="0" w:after="120" w:afterAutospacing="0" w:line="500" w:lineRule="exact"/>
        <w:ind w:right="29" w:rightChars="14"/>
        <w:jc w:val="center"/>
        <w:outlineLvl w:val="9"/>
        <w:rPr>
          <w:rFonts w:hint="eastAsia" w:ascii="宋体" w:hAnsi="宋体" w:eastAsia="宋体" w:cs="宋体"/>
          <w:b/>
          <w:color w:val="auto"/>
          <w:sz w:val="30"/>
          <w:szCs w:val="30"/>
          <w:highlight w:val="none"/>
        </w:rPr>
      </w:pPr>
    </w:p>
    <w:p w14:paraId="5C9C2DB5">
      <w:pPr>
        <w:pStyle w:val="29"/>
        <w:widowControl w:val="0"/>
        <w:spacing w:before="120" w:beforeAutospacing="0" w:after="120" w:afterAutospacing="0" w:line="500" w:lineRule="exact"/>
        <w:ind w:right="29" w:rightChars="14"/>
        <w:jc w:val="center"/>
        <w:outlineLvl w:val="9"/>
        <w:rPr>
          <w:rFonts w:hint="eastAsia" w:ascii="宋体" w:hAnsi="宋体" w:eastAsia="宋体" w:cs="宋体"/>
          <w:b/>
          <w:color w:val="auto"/>
          <w:sz w:val="30"/>
          <w:szCs w:val="30"/>
          <w:highlight w:val="none"/>
        </w:rPr>
      </w:pPr>
    </w:p>
    <w:p w14:paraId="42936297">
      <w:pPr>
        <w:pStyle w:val="29"/>
        <w:widowControl w:val="0"/>
        <w:spacing w:before="120" w:beforeAutospacing="0" w:after="120" w:afterAutospacing="0" w:line="500" w:lineRule="exact"/>
        <w:ind w:right="29" w:rightChars="14"/>
        <w:jc w:val="center"/>
        <w:outlineLvl w:val="9"/>
        <w:rPr>
          <w:rFonts w:hint="eastAsia" w:ascii="宋体" w:hAnsi="宋体" w:eastAsia="宋体" w:cs="宋体"/>
          <w:b/>
          <w:color w:val="auto"/>
          <w:sz w:val="30"/>
          <w:szCs w:val="30"/>
          <w:highlight w:val="none"/>
        </w:rPr>
      </w:pPr>
    </w:p>
    <w:p w14:paraId="6DE656FE">
      <w:pPr>
        <w:pStyle w:val="29"/>
        <w:widowControl w:val="0"/>
        <w:spacing w:before="120" w:beforeAutospacing="0" w:after="120" w:afterAutospacing="0" w:line="500" w:lineRule="exact"/>
        <w:ind w:right="29" w:rightChars="14"/>
        <w:jc w:val="center"/>
        <w:outlineLvl w:val="9"/>
        <w:rPr>
          <w:rFonts w:hint="eastAsia" w:ascii="宋体" w:hAnsi="宋体" w:eastAsia="宋体" w:cs="宋体"/>
          <w:b/>
          <w:color w:val="auto"/>
          <w:sz w:val="30"/>
          <w:szCs w:val="30"/>
          <w:highlight w:val="none"/>
        </w:rPr>
      </w:pPr>
    </w:p>
    <w:p w14:paraId="55D88236">
      <w:pPr>
        <w:pStyle w:val="29"/>
        <w:widowControl w:val="0"/>
        <w:spacing w:before="120" w:beforeAutospacing="0" w:after="120" w:afterAutospacing="0" w:line="500" w:lineRule="exact"/>
        <w:ind w:right="29" w:rightChars="14"/>
        <w:jc w:val="center"/>
        <w:outlineLvl w:val="9"/>
        <w:rPr>
          <w:rFonts w:hint="eastAsia" w:ascii="宋体" w:hAnsi="宋体" w:eastAsia="宋体" w:cs="宋体"/>
          <w:b/>
          <w:color w:val="auto"/>
          <w:sz w:val="30"/>
          <w:szCs w:val="30"/>
          <w:highlight w:val="none"/>
        </w:rPr>
      </w:pPr>
    </w:p>
    <w:p w14:paraId="3CCDB67E">
      <w:pPr>
        <w:pStyle w:val="29"/>
        <w:widowControl w:val="0"/>
        <w:spacing w:before="120" w:beforeAutospacing="0" w:after="120" w:afterAutospacing="0" w:line="500" w:lineRule="exact"/>
        <w:ind w:right="29" w:rightChars="14"/>
        <w:jc w:val="center"/>
        <w:outlineLvl w:val="9"/>
        <w:rPr>
          <w:rFonts w:hint="eastAsia" w:ascii="宋体" w:hAnsi="宋体" w:eastAsia="宋体" w:cs="宋体"/>
          <w:b/>
          <w:color w:val="auto"/>
          <w:sz w:val="30"/>
          <w:szCs w:val="30"/>
          <w:highlight w:val="none"/>
        </w:rPr>
      </w:pPr>
    </w:p>
    <w:p w14:paraId="0A03C846">
      <w:pPr>
        <w:pStyle w:val="29"/>
        <w:widowControl w:val="0"/>
        <w:spacing w:before="120" w:beforeAutospacing="0" w:after="120" w:afterAutospacing="0" w:line="500" w:lineRule="exact"/>
        <w:ind w:right="29" w:rightChars="14"/>
        <w:jc w:val="center"/>
        <w:outlineLvl w:val="9"/>
        <w:rPr>
          <w:rFonts w:hint="eastAsia" w:ascii="宋体" w:hAnsi="宋体" w:eastAsia="宋体" w:cs="宋体"/>
          <w:b/>
          <w:color w:val="auto"/>
          <w:sz w:val="30"/>
          <w:szCs w:val="30"/>
          <w:highlight w:val="none"/>
        </w:rPr>
      </w:pPr>
    </w:p>
    <w:p w14:paraId="0F272AB2">
      <w:pPr>
        <w:pStyle w:val="3"/>
        <w:bidi w:val="0"/>
        <w:rPr>
          <w:rFonts w:hint="eastAsia" w:ascii="宋体" w:hAnsi="宋体" w:eastAsia="宋体" w:cs="宋体"/>
          <w:color w:val="auto"/>
          <w:highlight w:val="none"/>
          <w:lang w:val="en-US" w:eastAsia="zh-CN"/>
        </w:rPr>
      </w:pPr>
      <w:bookmarkStart w:id="343" w:name="_Toc173754139"/>
      <w:bookmarkStart w:id="344" w:name="_Toc178324780"/>
      <w:bookmarkStart w:id="345" w:name="_Toc7658"/>
      <w:bookmarkStart w:id="346" w:name="_Toc20397"/>
      <w:r>
        <w:rPr>
          <w:rFonts w:hint="eastAsia" w:ascii="宋体" w:hAnsi="宋体" w:cs="宋体"/>
          <w:color w:val="auto"/>
          <w:highlight w:val="none"/>
          <w:lang w:val="en-US" w:eastAsia="zh-CN"/>
        </w:rPr>
        <w:t>五</w:t>
      </w:r>
      <w:r>
        <w:rPr>
          <w:rFonts w:hint="eastAsia" w:ascii="宋体" w:hAnsi="宋体" w:eastAsia="宋体" w:cs="宋体"/>
          <w:color w:val="auto"/>
          <w:highlight w:val="none"/>
        </w:rPr>
        <w:t>、售后服务</w:t>
      </w:r>
      <w:bookmarkEnd w:id="343"/>
      <w:bookmarkEnd w:id="344"/>
      <w:bookmarkEnd w:id="345"/>
      <w:r>
        <w:rPr>
          <w:rFonts w:hint="eastAsia" w:ascii="宋体" w:hAnsi="宋体" w:cs="宋体"/>
          <w:color w:val="auto"/>
          <w:highlight w:val="none"/>
          <w:lang w:val="en-US" w:eastAsia="zh-CN"/>
        </w:rPr>
        <w:t>方案</w:t>
      </w:r>
      <w:bookmarkEnd w:id="346"/>
    </w:p>
    <w:p w14:paraId="2EEEB0F1">
      <w:pPr>
        <w:jc w:val="center"/>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（格式自拟）</w:t>
      </w:r>
    </w:p>
    <w:p w14:paraId="20C3B222">
      <w:pPr>
        <w:pStyle w:val="29"/>
        <w:widowControl w:val="0"/>
        <w:spacing w:before="120" w:beforeAutospacing="0" w:after="120" w:afterAutospacing="0" w:line="500" w:lineRule="exact"/>
        <w:ind w:right="29" w:rightChars="14"/>
        <w:jc w:val="center"/>
        <w:outlineLvl w:val="9"/>
        <w:rPr>
          <w:rFonts w:hint="eastAsia" w:ascii="宋体" w:hAnsi="宋体" w:eastAsia="宋体" w:cs="宋体"/>
          <w:b/>
          <w:color w:val="auto"/>
          <w:sz w:val="30"/>
          <w:szCs w:val="30"/>
          <w:highlight w:val="none"/>
        </w:rPr>
      </w:pPr>
    </w:p>
    <w:p w14:paraId="3646AC68">
      <w:pPr>
        <w:pStyle w:val="29"/>
        <w:widowControl w:val="0"/>
        <w:spacing w:before="120" w:beforeAutospacing="0" w:after="120" w:afterAutospacing="0" w:line="500" w:lineRule="exact"/>
        <w:ind w:right="29" w:rightChars="14"/>
        <w:jc w:val="center"/>
        <w:outlineLvl w:val="9"/>
        <w:rPr>
          <w:rFonts w:hint="eastAsia" w:ascii="宋体" w:hAnsi="宋体" w:eastAsia="宋体" w:cs="宋体"/>
          <w:b/>
          <w:color w:val="auto"/>
          <w:kern w:val="2"/>
          <w:sz w:val="30"/>
          <w:szCs w:val="30"/>
          <w:highlight w:val="none"/>
        </w:rPr>
      </w:pPr>
    </w:p>
    <w:p w14:paraId="471A09F4">
      <w:pPr>
        <w:outlineLvl w:val="9"/>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br w:type="page"/>
      </w:r>
    </w:p>
    <w:p w14:paraId="3CEADE11">
      <w:pPr>
        <w:pStyle w:val="3"/>
        <w:bidi w:val="0"/>
        <w:rPr>
          <w:rFonts w:hint="eastAsia" w:ascii="宋体" w:hAnsi="宋体" w:eastAsia="宋体" w:cs="宋体"/>
          <w:color w:val="auto"/>
          <w:highlight w:val="none"/>
        </w:rPr>
      </w:pPr>
      <w:bookmarkStart w:id="347" w:name="_Toc178324777"/>
      <w:bookmarkStart w:id="348" w:name="_Toc23212"/>
      <w:bookmarkStart w:id="349" w:name="_Toc173754136"/>
      <w:bookmarkStart w:id="350" w:name="_Toc12730"/>
      <w:r>
        <w:rPr>
          <w:rFonts w:hint="eastAsia" w:ascii="宋体" w:hAnsi="宋体" w:cs="宋体"/>
          <w:color w:val="auto"/>
          <w:highlight w:val="none"/>
          <w:lang w:val="en-US" w:eastAsia="zh-CN"/>
        </w:rPr>
        <w:t>六</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类似</w:t>
      </w:r>
      <w:r>
        <w:rPr>
          <w:rFonts w:hint="eastAsia" w:ascii="宋体" w:hAnsi="宋体" w:eastAsia="宋体" w:cs="宋体"/>
          <w:color w:val="auto"/>
          <w:highlight w:val="none"/>
          <w:lang w:eastAsia="zh-CN"/>
        </w:rPr>
        <w:t>业绩</w:t>
      </w:r>
      <w:bookmarkEnd w:id="347"/>
      <w:bookmarkEnd w:id="348"/>
      <w:bookmarkEnd w:id="349"/>
      <w:bookmarkEnd w:id="350"/>
    </w:p>
    <w:p w14:paraId="40308B93">
      <w:pPr>
        <w:ind w:left="840" w:leftChars="400"/>
        <w:jc w:val="righ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金额单位：元</w:t>
      </w:r>
    </w:p>
    <w:tbl>
      <w:tblPr>
        <w:tblStyle w:val="34"/>
        <w:tblpPr w:leftFromText="180" w:rightFromText="180" w:vertAnchor="text" w:tblpXSpec="center" w:tblpY="1"/>
        <w:tblOverlap w:val="never"/>
        <w:tblW w:w="10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614"/>
        <w:gridCol w:w="1236"/>
        <w:gridCol w:w="1236"/>
        <w:gridCol w:w="1543"/>
        <w:gridCol w:w="1236"/>
        <w:gridCol w:w="1065"/>
        <w:gridCol w:w="1921"/>
      </w:tblGrid>
      <w:tr w14:paraId="00D2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86" w:type="dxa"/>
            <w:vAlign w:val="center"/>
          </w:tcPr>
          <w:p w14:paraId="45635C59">
            <w:pPr>
              <w:jc w:val="center"/>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序号</w:t>
            </w:r>
          </w:p>
        </w:tc>
        <w:tc>
          <w:tcPr>
            <w:tcW w:w="1614" w:type="dxa"/>
            <w:vAlign w:val="center"/>
          </w:tcPr>
          <w:p w14:paraId="271A99DC">
            <w:pPr>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采购</w:t>
            </w:r>
            <w:r>
              <w:rPr>
                <w:rFonts w:hint="eastAsia" w:ascii="宋体" w:hAnsi="宋体" w:eastAsia="宋体" w:cs="宋体"/>
                <w:bCs/>
                <w:color w:val="auto"/>
                <w:szCs w:val="21"/>
                <w:highlight w:val="none"/>
              </w:rPr>
              <w:t>单位名称</w:t>
            </w:r>
          </w:p>
        </w:tc>
        <w:tc>
          <w:tcPr>
            <w:tcW w:w="1236" w:type="dxa"/>
            <w:vAlign w:val="center"/>
          </w:tcPr>
          <w:p w14:paraId="42EE6DCE">
            <w:pPr>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采购</w:t>
            </w:r>
            <w:r>
              <w:rPr>
                <w:rFonts w:hint="eastAsia" w:ascii="宋体" w:hAnsi="宋体" w:eastAsia="宋体" w:cs="宋体"/>
                <w:bCs/>
                <w:color w:val="auto"/>
                <w:szCs w:val="21"/>
                <w:highlight w:val="none"/>
              </w:rPr>
              <w:t>内容</w:t>
            </w:r>
          </w:p>
        </w:tc>
        <w:tc>
          <w:tcPr>
            <w:tcW w:w="1236" w:type="dxa"/>
            <w:vAlign w:val="center"/>
          </w:tcPr>
          <w:p w14:paraId="27EDF9EF">
            <w:pPr>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项目</w:t>
            </w:r>
            <w:r>
              <w:rPr>
                <w:rFonts w:hint="eastAsia" w:ascii="宋体" w:hAnsi="宋体" w:eastAsia="宋体" w:cs="宋体"/>
                <w:bCs/>
                <w:color w:val="auto"/>
                <w:szCs w:val="21"/>
                <w:highlight w:val="none"/>
              </w:rPr>
              <w:t>地点</w:t>
            </w:r>
          </w:p>
        </w:tc>
        <w:tc>
          <w:tcPr>
            <w:tcW w:w="1543" w:type="dxa"/>
            <w:vAlign w:val="center"/>
          </w:tcPr>
          <w:p w14:paraId="28A15EB9">
            <w:pPr>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联系人及联系方式</w:t>
            </w:r>
          </w:p>
        </w:tc>
        <w:tc>
          <w:tcPr>
            <w:tcW w:w="1236" w:type="dxa"/>
            <w:vAlign w:val="center"/>
          </w:tcPr>
          <w:p w14:paraId="2C00B68C">
            <w:pPr>
              <w:jc w:val="center"/>
              <w:outlineLvl w:val="9"/>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合同签订时间</w:t>
            </w:r>
          </w:p>
        </w:tc>
        <w:tc>
          <w:tcPr>
            <w:tcW w:w="1065" w:type="dxa"/>
            <w:vAlign w:val="center"/>
          </w:tcPr>
          <w:p w14:paraId="54B6DBA5">
            <w:pPr>
              <w:jc w:val="center"/>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合同金额</w:t>
            </w:r>
          </w:p>
        </w:tc>
        <w:tc>
          <w:tcPr>
            <w:tcW w:w="1921" w:type="dxa"/>
            <w:vAlign w:val="center"/>
          </w:tcPr>
          <w:p w14:paraId="1420155C">
            <w:pPr>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相关证明材料</w:t>
            </w:r>
          </w:p>
        </w:tc>
      </w:tr>
      <w:tr w14:paraId="6F62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86" w:type="dxa"/>
            <w:vAlign w:val="center"/>
          </w:tcPr>
          <w:p w14:paraId="4E2D5404">
            <w:pPr>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614" w:type="dxa"/>
            <w:vAlign w:val="center"/>
          </w:tcPr>
          <w:p w14:paraId="48B8B321">
            <w:pPr>
              <w:jc w:val="center"/>
              <w:outlineLvl w:val="9"/>
              <w:rPr>
                <w:rFonts w:hint="eastAsia" w:ascii="宋体" w:hAnsi="宋体" w:eastAsia="宋体" w:cs="宋体"/>
                <w:bCs/>
                <w:color w:val="auto"/>
                <w:szCs w:val="21"/>
                <w:highlight w:val="none"/>
              </w:rPr>
            </w:pPr>
          </w:p>
        </w:tc>
        <w:tc>
          <w:tcPr>
            <w:tcW w:w="1236" w:type="dxa"/>
            <w:vAlign w:val="center"/>
          </w:tcPr>
          <w:p w14:paraId="29D3919F">
            <w:pPr>
              <w:jc w:val="center"/>
              <w:outlineLvl w:val="9"/>
              <w:rPr>
                <w:rFonts w:hint="eastAsia" w:ascii="宋体" w:hAnsi="宋体" w:eastAsia="宋体" w:cs="宋体"/>
                <w:bCs/>
                <w:color w:val="auto"/>
                <w:szCs w:val="21"/>
                <w:highlight w:val="none"/>
              </w:rPr>
            </w:pPr>
          </w:p>
        </w:tc>
        <w:tc>
          <w:tcPr>
            <w:tcW w:w="1236" w:type="dxa"/>
            <w:vAlign w:val="center"/>
          </w:tcPr>
          <w:p w14:paraId="65F59279">
            <w:pPr>
              <w:jc w:val="center"/>
              <w:outlineLvl w:val="9"/>
              <w:rPr>
                <w:rFonts w:hint="eastAsia" w:ascii="宋体" w:hAnsi="宋体" w:eastAsia="宋体" w:cs="宋体"/>
                <w:bCs/>
                <w:color w:val="auto"/>
                <w:szCs w:val="21"/>
                <w:highlight w:val="none"/>
              </w:rPr>
            </w:pPr>
          </w:p>
        </w:tc>
        <w:tc>
          <w:tcPr>
            <w:tcW w:w="1543" w:type="dxa"/>
            <w:vAlign w:val="center"/>
          </w:tcPr>
          <w:p w14:paraId="0F391A19">
            <w:pPr>
              <w:jc w:val="center"/>
              <w:outlineLvl w:val="9"/>
              <w:rPr>
                <w:rFonts w:hint="eastAsia" w:ascii="宋体" w:hAnsi="宋体" w:eastAsia="宋体" w:cs="宋体"/>
                <w:bCs/>
                <w:color w:val="auto"/>
                <w:szCs w:val="21"/>
                <w:highlight w:val="none"/>
              </w:rPr>
            </w:pPr>
          </w:p>
        </w:tc>
        <w:tc>
          <w:tcPr>
            <w:tcW w:w="1236" w:type="dxa"/>
            <w:vAlign w:val="center"/>
          </w:tcPr>
          <w:p w14:paraId="2105E6D2">
            <w:pPr>
              <w:jc w:val="center"/>
              <w:outlineLvl w:val="9"/>
              <w:rPr>
                <w:rFonts w:hint="eastAsia" w:ascii="宋体" w:hAnsi="宋体" w:eastAsia="宋体" w:cs="宋体"/>
                <w:bCs/>
                <w:color w:val="auto"/>
                <w:szCs w:val="21"/>
                <w:highlight w:val="none"/>
              </w:rPr>
            </w:pPr>
          </w:p>
        </w:tc>
        <w:tc>
          <w:tcPr>
            <w:tcW w:w="1065" w:type="dxa"/>
            <w:vAlign w:val="center"/>
          </w:tcPr>
          <w:p w14:paraId="6D56E7F2">
            <w:pPr>
              <w:jc w:val="center"/>
              <w:outlineLvl w:val="9"/>
              <w:rPr>
                <w:rFonts w:hint="eastAsia" w:ascii="宋体" w:hAnsi="宋体" w:eastAsia="宋体" w:cs="宋体"/>
                <w:bCs/>
                <w:color w:val="auto"/>
                <w:szCs w:val="21"/>
                <w:highlight w:val="none"/>
              </w:rPr>
            </w:pPr>
          </w:p>
        </w:tc>
        <w:tc>
          <w:tcPr>
            <w:tcW w:w="1921" w:type="dxa"/>
            <w:vAlign w:val="center"/>
          </w:tcPr>
          <w:p w14:paraId="2C2F1D0F">
            <w:pPr>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见投标文件（）页</w:t>
            </w:r>
          </w:p>
        </w:tc>
      </w:tr>
      <w:tr w14:paraId="0222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86" w:type="dxa"/>
            <w:vAlign w:val="center"/>
          </w:tcPr>
          <w:p w14:paraId="4D373566">
            <w:pPr>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1614" w:type="dxa"/>
            <w:vAlign w:val="center"/>
          </w:tcPr>
          <w:p w14:paraId="77523462">
            <w:pPr>
              <w:jc w:val="center"/>
              <w:outlineLvl w:val="9"/>
              <w:rPr>
                <w:rFonts w:hint="eastAsia" w:ascii="宋体" w:hAnsi="宋体" w:eastAsia="宋体" w:cs="宋体"/>
                <w:bCs/>
                <w:color w:val="auto"/>
                <w:szCs w:val="21"/>
                <w:highlight w:val="none"/>
              </w:rPr>
            </w:pPr>
          </w:p>
        </w:tc>
        <w:tc>
          <w:tcPr>
            <w:tcW w:w="1236" w:type="dxa"/>
            <w:vAlign w:val="center"/>
          </w:tcPr>
          <w:p w14:paraId="076B231F">
            <w:pPr>
              <w:jc w:val="center"/>
              <w:outlineLvl w:val="9"/>
              <w:rPr>
                <w:rFonts w:hint="eastAsia" w:ascii="宋体" w:hAnsi="宋体" w:eastAsia="宋体" w:cs="宋体"/>
                <w:bCs/>
                <w:color w:val="auto"/>
                <w:szCs w:val="21"/>
                <w:highlight w:val="none"/>
              </w:rPr>
            </w:pPr>
          </w:p>
        </w:tc>
        <w:tc>
          <w:tcPr>
            <w:tcW w:w="1236" w:type="dxa"/>
            <w:vAlign w:val="center"/>
          </w:tcPr>
          <w:p w14:paraId="183EE01D">
            <w:pPr>
              <w:jc w:val="center"/>
              <w:outlineLvl w:val="9"/>
              <w:rPr>
                <w:rFonts w:hint="eastAsia" w:ascii="宋体" w:hAnsi="宋体" w:eastAsia="宋体" w:cs="宋体"/>
                <w:bCs/>
                <w:color w:val="auto"/>
                <w:szCs w:val="21"/>
                <w:highlight w:val="none"/>
              </w:rPr>
            </w:pPr>
          </w:p>
        </w:tc>
        <w:tc>
          <w:tcPr>
            <w:tcW w:w="1543" w:type="dxa"/>
            <w:vAlign w:val="center"/>
          </w:tcPr>
          <w:p w14:paraId="03EB214F">
            <w:pPr>
              <w:jc w:val="center"/>
              <w:outlineLvl w:val="9"/>
              <w:rPr>
                <w:rFonts w:hint="eastAsia" w:ascii="宋体" w:hAnsi="宋体" w:eastAsia="宋体" w:cs="宋体"/>
                <w:bCs/>
                <w:color w:val="auto"/>
                <w:szCs w:val="21"/>
                <w:highlight w:val="none"/>
              </w:rPr>
            </w:pPr>
          </w:p>
        </w:tc>
        <w:tc>
          <w:tcPr>
            <w:tcW w:w="1236" w:type="dxa"/>
            <w:vAlign w:val="center"/>
          </w:tcPr>
          <w:p w14:paraId="56E6E58A">
            <w:pPr>
              <w:jc w:val="center"/>
              <w:outlineLvl w:val="9"/>
              <w:rPr>
                <w:rFonts w:hint="eastAsia" w:ascii="宋体" w:hAnsi="宋体" w:eastAsia="宋体" w:cs="宋体"/>
                <w:bCs/>
                <w:color w:val="auto"/>
                <w:szCs w:val="21"/>
                <w:highlight w:val="none"/>
              </w:rPr>
            </w:pPr>
          </w:p>
        </w:tc>
        <w:tc>
          <w:tcPr>
            <w:tcW w:w="1065" w:type="dxa"/>
            <w:vAlign w:val="center"/>
          </w:tcPr>
          <w:p w14:paraId="0D9416F1">
            <w:pPr>
              <w:jc w:val="center"/>
              <w:outlineLvl w:val="9"/>
              <w:rPr>
                <w:rFonts w:hint="eastAsia" w:ascii="宋体" w:hAnsi="宋体" w:eastAsia="宋体" w:cs="宋体"/>
                <w:bCs/>
                <w:color w:val="auto"/>
                <w:szCs w:val="21"/>
                <w:highlight w:val="none"/>
              </w:rPr>
            </w:pPr>
          </w:p>
        </w:tc>
        <w:tc>
          <w:tcPr>
            <w:tcW w:w="1921" w:type="dxa"/>
            <w:vAlign w:val="center"/>
          </w:tcPr>
          <w:p w14:paraId="54CE7665">
            <w:pPr>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见投标文件（）页</w:t>
            </w:r>
          </w:p>
        </w:tc>
      </w:tr>
      <w:tr w14:paraId="7985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86" w:type="dxa"/>
            <w:vAlign w:val="center"/>
          </w:tcPr>
          <w:p w14:paraId="2B2F4D89">
            <w:pPr>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1614" w:type="dxa"/>
            <w:vAlign w:val="center"/>
          </w:tcPr>
          <w:p w14:paraId="3E7CB938">
            <w:pPr>
              <w:jc w:val="center"/>
              <w:outlineLvl w:val="9"/>
              <w:rPr>
                <w:rFonts w:hint="eastAsia" w:ascii="宋体" w:hAnsi="宋体" w:eastAsia="宋体" w:cs="宋体"/>
                <w:bCs/>
                <w:color w:val="auto"/>
                <w:szCs w:val="21"/>
                <w:highlight w:val="none"/>
              </w:rPr>
            </w:pPr>
          </w:p>
        </w:tc>
        <w:tc>
          <w:tcPr>
            <w:tcW w:w="1236" w:type="dxa"/>
            <w:vAlign w:val="center"/>
          </w:tcPr>
          <w:p w14:paraId="4D97B8FC">
            <w:pPr>
              <w:jc w:val="center"/>
              <w:outlineLvl w:val="9"/>
              <w:rPr>
                <w:rFonts w:hint="eastAsia" w:ascii="宋体" w:hAnsi="宋体" w:eastAsia="宋体" w:cs="宋体"/>
                <w:bCs/>
                <w:color w:val="auto"/>
                <w:szCs w:val="21"/>
                <w:highlight w:val="none"/>
              </w:rPr>
            </w:pPr>
          </w:p>
        </w:tc>
        <w:tc>
          <w:tcPr>
            <w:tcW w:w="1236" w:type="dxa"/>
            <w:vAlign w:val="center"/>
          </w:tcPr>
          <w:p w14:paraId="6EAC57CE">
            <w:pPr>
              <w:jc w:val="center"/>
              <w:outlineLvl w:val="9"/>
              <w:rPr>
                <w:rFonts w:hint="eastAsia" w:ascii="宋体" w:hAnsi="宋体" w:eastAsia="宋体" w:cs="宋体"/>
                <w:bCs/>
                <w:color w:val="auto"/>
                <w:szCs w:val="21"/>
                <w:highlight w:val="none"/>
              </w:rPr>
            </w:pPr>
          </w:p>
        </w:tc>
        <w:tc>
          <w:tcPr>
            <w:tcW w:w="1543" w:type="dxa"/>
            <w:vAlign w:val="center"/>
          </w:tcPr>
          <w:p w14:paraId="02BEC9A6">
            <w:pPr>
              <w:jc w:val="center"/>
              <w:outlineLvl w:val="9"/>
              <w:rPr>
                <w:rFonts w:hint="eastAsia" w:ascii="宋体" w:hAnsi="宋体" w:eastAsia="宋体" w:cs="宋体"/>
                <w:bCs/>
                <w:color w:val="auto"/>
                <w:szCs w:val="21"/>
                <w:highlight w:val="none"/>
              </w:rPr>
            </w:pPr>
          </w:p>
        </w:tc>
        <w:tc>
          <w:tcPr>
            <w:tcW w:w="1236" w:type="dxa"/>
            <w:vAlign w:val="center"/>
          </w:tcPr>
          <w:p w14:paraId="13BD71DA">
            <w:pPr>
              <w:jc w:val="center"/>
              <w:outlineLvl w:val="9"/>
              <w:rPr>
                <w:rFonts w:hint="eastAsia" w:ascii="宋体" w:hAnsi="宋体" w:eastAsia="宋体" w:cs="宋体"/>
                <w:bCs/>
                <w:color w:val="auto"/>
                <w:szCs w:val="21"/>
                <w:highlight w:val="none"/>
              </w:rPr>
            </w:pPr>
          </w:p>
        </w:tc>
        <w:tc>
          <w:tcPr>
            <w:tcW w:w="1065" w:type="dxa"/>
            <w:vAlign w:val="center"/>
          </w:tcPr>
          <w:p w14:paraId="0865A921">
            <w:pPr>
              <w:jc w:val="center"/>
              <w:outlineLvl w:val="9"/>
              <w:rPr>
                <w:rFonts w:hint="eastAsia" w:ascii="宋体" w:hAnsi="宋体" w:eastAsia="宋体" w:cs="宋体"/>
                <w:bCs/>
                <w:color w:val="auto"/>
                <w:szCs w:val="21"/>
                <w:highlight w:val="none"/>
              </w:rPr>
            </w:pPr>
          </w:p>
        </w:tc>
        <w:tc>
          <w:tcPr>
            <w:tcW w:w="1921" w:type="dxa"/>
            <w:vAlign w:val="center"/>
          </w:tcPr>
          <w:p w14:paraId="42898367">
            <w:pPr>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见投标文件（）页</w:t>
            </w:r>
          </w:p>
        </w:tc>
      </w:tr>
      <w:tr w14:paraId="3282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86" w:type="dxa"/>
            <w:vAlign w:val="center"/>
          </w:tcPr>
          <w:p w14:paraId="386BEF9B">
            <w:pPr>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p>
        </w:tc>
        <w:tc>
          <w:tcPr>
            <w:tcW w:w="1614" w:type="dxa"/>
            <w:vAlign w:val="center"/>
          </w:tcPr>
          <w:p w14:paraId="5D167B20">
            <w:pPr>
              <w:jc w:val="center"/>
              <w:outlineLvl w:val="9"/>
              <w:rPr>
                <w:rFonts w:hint="eastAsia" w:ascii="宋体" w:hAnsi="宋体" w:eastAsia="宋体" w:cs="宋体"/>
                <w:bCs/>
                <w:color w:val="auto"/>
                <w:szCs w:val="21"/>
                <w:highlight w:val="none"/>
              </w:rPr>
            </w:pPr>
          </w:p>
        </w:tc>
        <w:tc>
          <w:tcPr>
            <w:tcW w:w="1236" w:type="dxa"/>
            <w:vAlign w:val="center"/>
          </w:tcPr>
          <w:p w14:paraId="4002B9AF">
            <w:pPr>
              <w:jc w:val="center"/>
              <w:outlineLvl w:val="9"/>
              <w:rPr>
                <w:rFonts w:hint="eastAsia" w:ascii="宋体" w:hAnsi="宋体" w:eastAsia="宋体" w:cs="宋体"/>
                <w:bCs/>
                <w:color w:val="auto"/>
                <w:szCs w:val="21"/>
                <w:highlight w:val="none"/>
              </w:rPr>
            </w:pPr>
          </w:p>
        </w:tc>
        <w:tc>
          <w:tcPr>
            <w:tcW w:w="1236" w:type="dxa"/>
            <w:vAlign w:val="center"/>
          </w:tcPr>
          <w:p w14:paraId="24BD4DAA">
            <w:pPr>
              <w:jc w:val="center"/>
              <w:outlineLvl w:val="9"/>
              <w:rPr>
                <w:rFonts w:hint="eastAsia" w:ascii="宋体" w:hAnsi="宋体" w:eastAsia="宋体" w:cs="宋体"/>
                <w:bCs/>
                <w:color w:val="auto"/>
                <w:szCs w:val="21"/>
                <w:highlight w:val="none"/>
              </w:rPr>
            </w:pPr>
          </w:p>
        </w:tc>
        <w:tc>
          <w:tcPr>
            <w:tcW w:w="1543" w:type="dxa"/>
            <w:vAlign w:val="center"/>
          </w:tcPr>
          <w:p w14:paraId="38D20610">
            <w:pPr>
              <w:jc w:val="center"/>
              <w:outlineLvl w:val="9"/>
              <w:rPr>
                <w:rFonts w:hint="eastAsia" w:ascii="宋体" w:hAnsi="宋体" w:eastAsia="宋体" w:cs="宋体"/>
                <w:bCs/>
                <w:color w:val="auto"/>
                <w:szCs w:val="21"/>
                <w:highlight w:val="none"/>
              </w:rPr>
            </w:pPr>
          </w:p>
        </w:tc>
        <w:tc>
          <w:tcPr>
            <w:tcW w:w="1236" w:type="dxa"/>
            <w:vAlign w:val="center"/>
          </w:tcPr>
          <w:p w14:paraId="2AC95B74">
            <w:pPr>
              <w:jc w:val="center"/>
              <w:outlineLvl w:val="9"/>
              <w:rPr>
                <w:rFonts w:hint="eastAsia" w:ascii="宋体" w:hAnsi="宋体" w:eastAsia="宋体" w:cs="宋体"/>
                <w:bCs/>
                <w:color w:val="auto"/>
                <w:szCs w:val="21"/>
                <w:highlight w:val="none"/>
              </w:rPr>
            </w:pPr>
          </w:p>
        </w:tc>
        <w:tc>
          <w:tcPr>
            <w:tcW w:w="1065" w:type="dxa"/>
            <w:vAlign w:val="center"/>
          </w:tcPr>
          <w:p w14:paraId="05DFF0FE">
            <w:pPr>
              <w:jc w:val="center"/>
              <w:outlineLvl w:val="9"/>
              <w:rPr>
                <w:rFonts w:hint="eastAsia" w:ascii="宋体" w:hAnsi="宋体" w:eastAsia="宋体" w:cs="宋体"/>
                <w:bCs/>
                <w:color w:val="auto"/>
                <w:szCs w:val="21"/>
                <w:highlight w:val="none"/>
              </w:rPr>
            </w:pPr>
          </w:p>
        </w:tc>
        <w:tc>
          <w:tcPr>
            <w:tcW w:w="1921" w:type="dxa"/>
            <w:vAlign w:val="center"/>
          </w:tcPr>
          <w:p w14:paraId="68B5056D">
            <w:pPr>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见投标文件（）页</w:t>
            </w:r>
          </w:p>
        </w:tc>
      </w:tr>
      <w:tr w14:paraId="4F55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86" w:type="dxa"/>
            <w:vAlign w:val="center"/>
          </w:tcPr>
          <w:p w14:paraId="5CF581F0">
            <w:pPr>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1614" w:type="dxa"/>
            <w:vAlign w:val="center"/>
          </w:tcPr>
          <w:p w14:paraId="434D36EB">
            <w:pPr>
              <w:jc w:val="center"/>
              <w:outlineLvl w:val="9"/>
              <w:rPr>
                <w:rFonts w:hint="eastAsia" w:ascii="宋体" w:hAnsi="宋体" w:eastAsia="宋体" w:cs="宋体"/>
                <w:bCs/>
                <w:color w:val="auto"/>
                <w:szCs w:val="21"/>
                <w:highlight w:val="none"/>
              </w:rPr>
            </w:pPr>
          </w:p>
        </w:tc>
        <w:tc>
          <w:tcPr>
            <w:tcW w:w="1236" w:type="dxa"/>
            <w:vAlign w:val="center"/>
          </w:tcPr>
          <w:p w14:paraId="6DCD8F87">
            <w:pPr>
              <w:jc w:val="center"/>
              <w:outlineLvl w:val="9"/>
              <w:rPr>
                <w:rFonts w:hint="eastAsia" w:ascii="宋体" w:hAnsi="宋体" w:eastAsia="宋体" w:cs="宋体"/>
                <w:bCs/>
                <w:color w:val="auto"/>
                <w:szCs w:val="21"/>
                <w:highlight w:val="none"/>
              </w:rPr>
            </w:pPr>
          </w:p>
        </w:tc>
        <w:tc>
          <w:tcPr>
            <w:tcW w:w="1236" w:type="dxa"/>
            <w:vAlign w:val="center"/>
          </w:tcPr>
          <w:p w14:paraId="6EA7B8DB">
            <w:pPr>
              <w:jc w:val="center"/>
              <w:outlineLvl w:val="9"/>
              <w:rPr>
                <w:rFonts w:hint="eastAsia" w:ascii="宋体" w:hAnsi="宋体" w:eastAsia="宋体" w:cs="宋体"/>
                <w:bCs/>
                <w:color w:val="auto"/>
                <w:szCs w:val="21"/>
                <w:highlight w:val="none"/>
              </w:rPr>
            </w:pPr>
          </w:p>
        </w:tc>
        <w:tc>
          <w:tcPr>
            <w:tcW w:w="1543" w:type="dxa"/>
            <w:vAlign w:val="center"/>
          </w:tcPr>
          <w:p w14:paraId="6D2333A9">
            <w:pPr>
              <w:jc w:val="center"/>
              <w:outlineLvl w:val="9"/>
              <w:rPr>
                <w:rFonts w:hint="eastAsia" w:ascii="宋体" w:hAnsi="宋体" w:eastAsia="宋体" w:cs="宋体"/>
                <w:bCs/>
                <w:color w:val="auto"/>
                <w:szCs w:val="21"/>
                <w:highlight w:val="none"/>
              </w:rPr>
            </w:pPr>
          </w:p>
        </w:tc>
        <w:tc>
          <w:tcPr>
            <w:tcW w:w="1236" w:type="dxa"/>
            <w:vAlign w:val="center"/>
          </w:tcPr>
          <w:p w14:paraId="4CE77212">
            <w:pPr>
              <w:jc w:val="center"/>
              <w:outlineLvl w:val="9"/>
              <w:rPr>
                <w:rFonts w:hint="eastAsia" w:ascii="宋体" w:hAnsi="宋体" w:eastAsia="宋体" w:cs="宋体"/>
                <w:bCs/>
                <w:color w:val="auto"/>
                <w:szCs w:val="21"/>
                <w:highlight w:val="none"/>
              </w:rPr>
            </w:pPr>
          </w:p>
        </w:tc>
        <w:tc>
          <w:tcPr>
            <w:tcW w:w="1065" w:type="dxa"/>
            <w:vAlign w:val="center"/>
          </w:tcPr>
          <w:p w14:paraId="708A6478">
            <w:pPr>
              <w:jc w:val="center"/>
              <w:outlineLvl w:val="9"/>
              <w:rPr>
                <w:rFonts w:hint="eastAsia" w:ascii="宋体" w:hAnsi="宋体" w:eastAsia="宋体" w:cs="宋体"/>
                <w:bCs/>
                <w:color w:val="auto"/>
                <w:szCs w:val="21"/>
                <w:highlight w:val="none"/>
              </w:rPr>
            </w:pPr>
          </w:p>
        </w:tc>
        <w:tc>
          <w:tcPr>
            <w:tcW w:w="1921" w:type="dxa"/>
            <w:vAlign w:val="center"/>
          </w:tcPr>
          <w:p w14:paraId="75843816">
            <w:pPr>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见投标文件（）页</w:t>
            </w:r>
          </w:p>
        </w:tc>
      </w:tr>
      <w:tr w14:paraId="00CA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86" w:type="dxa"/>
            <w:vAlign w:val="center"/>
          </w:tcPr>
          <w:p w14:paraId="6A21CCFC">
            <w:pPr>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p>
        </w:tc>
        <w:tc>
          <w:tcPr>
            <w:tcW w:w="1614" w:type="dxa"/>
            <w:vAlign w:val="center"/>
          </w:tcPr>
          <w:p w14:paraId="2BFF2B41">
            <w:pPr>
              <w:jc w:val="center"/>
              <w:outlineLvl w:val="9"/>
              <w:rPr>
                <w:rFonts w:hint="eastAsia" w:ascii="宋体" w:hAnsi="宋体" w:eastAsia="宋体" w:cs="宋体"/>
                <w:bCs/>
                <w:color w:val="auto"/>
                <w:szCs w:val="21"/>
                <w:highlight w:val="none"/>
              </w:rPr>
            </w:pPr>
          </w:p>
        </w:tc>
        <w:tc>
          <w:tcPr>
            <w:tcW w:w="1236" w:type="dxa"/>
            <w:vAlign w:val="center"/>
          </w:tcPr>
          <w:p w14:paraId="59A119D5">
            <w:pPr>
              <w:jc w:val="center"/>
              <w:outlineLvl w:val="9"/>
              <w:rPr>
                <w:rFonts w:hint="eastAsia" w:ascii="宋体" w:hAnsi="宋体" w:eastAsia="宋体" w:cs="宋体"/>
                <w:bCs/>
                <w:color w:val="auto"/>
                <w:szCs w:val="21"/>
                <w:highlight w:val="none"/>
              </w:rPr>
            </w:pPr>
          </w:p>
        </w:tc>
        <w:tc>
          <w:tcPr>
            <w:tcW w:w="1236" w:type="dxa"/>
            <w:vAlign w:val="center"/>
          </w:tcPr>
          <w:p w14:paraId="4427EEDD">
            <w:pPr>
              <w:jc w:val="center"/>
              <w:outlineLvl w:val="9"/>
              <w:rPr>
                <w:rFonts w:hint="eastAsia" w:ascii="宋体" w:hAnsi="宋体" w:eastAsia="宋体" w:cs="宋体"/>
                <w:bCs/>
                <w:color w:val="auto"/>
                <w:szCs w:val="21"/>
                <w:highlight w:val="none"/>
              </w:rPr>
            </w:pPr>
          </w:p>
        </w:tc>
        <w:tc>
          <w:tcPr>
            <w:tcW w:w="1543" w:type="dxa"/>
            <w:vAlign w:val="center"/>
          </w:tcPr>
          <w:p w14:paraId="0147DAC9">
            <w:pPr>
              <w:jc w:val="center"/>
              <w:outlineLvl w:val="9"/>
              <w:rPr>
                <w:rFonts w:hint="eastAsia" w:ascii="宋体" w:hAnsi="宋体" w:eastAsia="宋体" w:cs="宋体"/>
                <w:bCs/>
                <w:color w:val="auto"/>
                <w:szCs w:val="21"/>
                <w:highlight w:val="none"/>
              </w:rPr>
            </w:pPr>
          </w:p>
        </w:tc>
        <w:tc>
          <w:tcPr>
            <w:tcW w:w="1236" w:type="dxa"/>
            <w:vAlign w:val="center"/>
          </w:tcPr>
          <w:p w14:paraId="1AA20882">
            <w:pPr>
              <w:jc w:val="center"/>
              <w:outlineLvl w:val="9"/>
              <w:rPr>
                <w:rFonts w:hint="eastAsia" w:ascii="宋体" w:hAnsi="宋体" w:eastAsia="宋体" w:cs="宋体"/>
                <w:bCs/>
                <w:color w:val="auto"/>
                <w:szCs w:val="21"/>
                <w:highlight w:val="none"/>
              </w:rPr>
            </w:pPr>
          </w:p>
        </w:tc>
        <w:tc>
          <w:tcPr>
            <w:tcW w:w="1065" w:type="dxa"/>
            <w:vAlign w:val="center"/>
          </w:tcPr>
          <w:p w14:paraId="7C138A1F">
            <w:pPr>
              <w:jc w:val="center"/>
              <w:outlineLvl w:val="9"/>
              <w:rPr>
                <w:rFonts w:hint="eastAsia" w:ascii="宋体" w:hAnsi="宋体" w:eastAsia="宋体" w:cs="宋体"/>
                <w:bCs/>
                <w:color w:val="auto"/>
                <w:szCs w:val="21"/>
                <w:highlight w:val="none"/>
              </w:rPr>
            </w:pPr>
          </w:p>
        </w:tc>
        <w:tc>
          <w:tcPr>
            <w:tcW w:w="1921" w:type="dxa"/>
            <w:vAlign w:val="center"/>
          </w:tcPr>
          <w:p w14:paraId="70E496CD">
            <w:pPr>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p>
        </w:tc>
      </w:tr>
      <w:tr w14:paraId="383B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86" w:type="dxa"/>
            <w:vAlign w:val="center"/>
          </w:tcPr>
          <w:p w14:paraId="7B04CF0C">
            <w:pPr>
              <w:jc w:val="center"/>
              <w:outlineLvl w:val="9"/>
              <w:rPr>
                <w:rFonts w:hint="eastAsia" w:ascii="宋体" w:hAnsi="宋体" w:eastAsia="宋体" w:cs="宋体"/>
                <w:bCs/>
                <w:color w:val="auto"/>
                <w:szCs w:val="21"/>
                <w:highlight w:val="none"/>
              </w:rPr>
            </w:pPr>
          </w:p>
        </w:tc>
        <w:tc>
          <w:tcPr>
            <w:tcW w:w="1614" w:type="dxa"/>
            <w:vAlign w:val="center"/>
          </w:tcPr>
          <w:p w14:paraId="0BF1E052">
            <w:pPr>
              <w:jc w:val="center"/>
              <w:outlineLvl w:val="9"/>
              <w:rPr>
                <w:rFonts w:hint="eastAsia" w:ascii="宋体" w:hAnsi="宋体" w:eastAsia="宋体" w:cs="宋体"/>
                <w:bCs/>
                <w:color w:val="auto"/>
                <w:szCs w:val="21"/>
                <w:highlight w:val="none"/>
              </w:rPr>
            </w:pPr>
          </w:p>
        </w:tc>
        <w:tc>
          <w:tcPr>
            <w:tcW w:w="1236" w:type="dxa"/>
            <w:vAlign w:val="center"/>
          </w:tcPr>
          <w:p w14:paraId="353134F0">
            <w:pPr>
              <w:jc w:val="center"/>
              <w:outlineLvl w:val="9"/>
              <w:rPr>
                <w:rFonts w:hint="eastAsia" w:ascii="宋体" w:hAnsi="宋体" w:eastAsia="宋体" w:cs="宋体"/>
                <w:bCs/>
                <w:color w:val="auto"/>
                <w:szCs w:val="21"/>
                <w:highlight w:val="none"/>
              </w:rPr>
            </w:pPr>
          </w:p>
        </w:tc>
        <w:tc>
          <w:tcPr>
            <w:tcW w:w="1236" w:type="dxa"/>
            <w:vAlign w:val="center"/>
          </w:tcPr>
          <w:p w14:paraId="0005C8A5">
            <w:pPr>
              <w:jc w:val="center"/>
              <w:outlineLvl w:val="9"/>
              <w:rPr>
                <w:rFonts w:hint="eastAsia" w:ascii="宋体" w:hAnsi="宋体" w:eastAsia="宋体" w:cs="宋体"/>
                <w:bCs/>
                <w:color w:val="auto"/>
                <w:szCs w:val="21"/>
                <w:highlight w:val="none"/>
              </w:rPr>
            </w:pPr>
          </w:p>
        </w:tc>
        <w:tc>
          <w:tcPr>
            <w:tcW w:w="1543" w:type="dxa"/>
            <w:vAlign w:val="center"/>
          </w:tcPr>
          <w:p w14:paraId="4095FA31">
            <w:pPr>
              <w:jc w:val="center"/>
              <w:outlineLvl w:val="9"/>
              <w:rPr>
                <w:rFonts w:hint="eastAsia" w:ascii="宋体" w:hAnsi="宋体" w:eastAsia="宋体" w:cs="宋体"/>
                <w:bCs/>
                <w:color w:val="auto"/>
                <w:szCs w:val="21"/>
                <w:highlight w:val="none"/>
              </w:rPr>
            </w:pPr>
          </w:p>
        </w:tc>
        <w:tc>
          <w:tcPr>
            <w:tcW w:w="1236" w:type="dxa"/>
            <w:vAlign w:val="center"/>
          </w:tcPr>
          <w:p w14:paraId="19A9EADF">
            <w:pPr>
              <w:jc w:val="center"/>
              <w:outlineLvl w:val="9"/>
              <w:rPr>
                <w:rFonts w:hint="eastAsia" w:ascii="宋体" w:hAnsi="宋体" w:eastAsia="宋体" w:cs="宋体"/>
                <w:bCs/>
                <w:color w:val="auto"/>
                <w:szCs w:val="21"/>
                <w:highlight w:val="none"/>
              </w:rPr>
            </w:pPr>
          </w:p>
        </w:tc>
        <w:tc>
          <w:tcPr>
            <w:tcW w:w="1065" w:type="dxa"/>
            <w:vAlign w:val="center"/>
          </w:tcPr>
          <w:p w14:paraId="1FEA8E97">
            <w:pPr>
              <w:jc w:val="center"/>
              <w:outlineLvl w:val="9"/>
              <w:rPr>
                <w:rFonts w:hint="eastAsia" w:ascii="宋体" w:hAnsi="宋体" w:eastAsia="宋体" w:cs="宋体"/>
                <w:bCs/>
                <w:color w:val="auto"/>
                <w:szCs w:val="21"/>
                <w:highlight w:val="none"/>
              </w:rPr>
            </w:pPr>
          </w:p>
        </w:tc>
        <w:tc>
          <w:tcPr>
            <w:tcW w:w="1921" w:type="dxa"/>
            <w:vAlign w:val="center"/>
          </w:tcPr>
          <w:p w14:paraId="087F2C17">
            <w:pPr>
              <w:jc w:val="center"/>
              <w:outlineLvl w:val="9"/>
              <w:rPr>
                <w:rFonts w:hint="eastAsia" w:ascii="宋体" w:hAnsi="宋体" w:eastAsia="宋体" w:cs="宋体"/>
                <w:bCs/>
                <w:color w:val="auto"/>
                <w:szCs w:val="21"/>
                <w:highlight w:val="none"/>
              </w:rPr>
            </w:pPr>
          </w:p>
        </w:tc>
      </w:tr>
      <w:tr w14:paraId="61AD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86" w:type="dxa"/>
            <w:vAlign w:val="center"/>
          </w:tcPr>
          <w:p w14:paraId="41FA6687">
            <w:pPr>
              <w:jc w:val="center"/>
              <w:outlineLvl w:val="9"/>
              <w:rPr>
                <w:rFonts w:hint="eastAsia" w:ascii="宋体" w:hAnsi="宋体" w:eastAsia="宋体" w:cs="宋体"/>
                <w:bCs/>
                <w:color w:val="auto"/>
                <w:szCs w:val="21"/>
                <w:highlight w:val="none"/>
              </w:rPr>
            </w:pPr>
          </w:p>
        </w:tc>
        <w:tc>
          <w:tcPr>
            <w:tcW w:w="1614" w:type="dxa"/>
            <w:vAlign w:val="center"/>
          </w:tcPr>
          <w:p w14:paraId="05BA7972">
            <w:pPr>
              <w:jc w:val="center"/>
              <w:outlineLvl w:val="9"/>
              <w:rPr>
                <w:rFonts w:hint="eastAsia" w:ascii="宋体" w:hAnsi="宋体" w:eastAsia="宋体" w:cs="宋体"/>
                <w:bCs/>
                <w:color w:val="auto"/>
                <w:szCs w:val="21"/>
                <w:highlight w:val="none"/>
              </w:rPr>
            </w:pPr>
          </w:p>
        </w:tc>
        <w:tc>
          <w:tcPr>
            <w:tcW w:w="1236" w:type="dxa"/>
            <w:vAlign w:val="center"/>
          </w:tcPr>
          <w:p w14:paraId="4179B9AA">
            <w:pPr>
              <w:jc w:val="center"/>
              <w:outlineLvl w:val="9"/>
              <w:rPr>
                <w:rFonts w:hint="eastAsia" w:ascii="宋体" w:hAnsi="宋体" w:eastAsia="宋体" w:cs="宋体"/>
                <w:bCs/>
                <w:color w:val="auto"/>
                <w:szCs w:val="21"/>
                <w:highlight w:val="none"/>
              </w:rPr>
            </w:pPr>
          </w:p>
        </w:tc>
        <w:tc>
          <w:tcPr>
            <w:tcW w:w="1236" w:type="dxa"/>
            <w:vAlign w:val="center"/>
          </w:tcPr>
          <w:p w14:paraId="580E1F26">
            <w:pPr>
              <w:jc w:val="center"/>
              <w:outlineLvl w:val="9"/>
              <w:rPr>
                <w:rFonts w:hint="eastAsia" w:ascii="宋体" w:hAnsi="宋体" w:eastAsia="宋体" w:cs="宋体"/>
                <w:bCs/>
                <w:color w:val="auto"/>
                <w:szCs w:val="21"/>
                <w:highlight w:val="none"/>
              </w:rPr>
            </w:pPr>
          </w:p>
        </w:tc>
        <w:tc>
          <w:tcPr>
            <w:tcW w:w="1543" w:type="dxa"/>
            <w:vAlign w:val="center"/>
          </w:tcPr>
          <w:p w14:paraId="27840A2A">
            <w:pPr>
              <w:jc w:val="center"/>
              <w:outlineLvl w:val="9"/>
              <w:rPr>
                <w:rFonts w:hint="eastAsia" w:ascii="宋体" w:hAnsi="宋体" w:eastAsia="宋体" w:cs="宋体"/>
                <w:bCs/>
                <w:color w:val="auto"/>
                <w:szCs w:val="21"/>
                <w:highlight w:val="none"/>
              </w:rPr>
            </w:pPr>
          </w:p>
        </w:tc>
        <w:tc>
          <w:tcPr>
            <w:tcW w:w="1236" w:type="dxa"/>
            <w:vAlign w:val="center"/>
          </w:tcPr>
          <w:p w14:paraId="48F82263">
            <w:pPr>
              <w:jc w:val="center"/>
              <w:outlineLvl w:val="9"/>
              <w:rPr>
                <w:rFonts w:hint="eastAsia" w:ascii="宋体" w:hAnsi="宋体" w:eastAsia="宋体" w:cs="宋体"/>
                <w:bCs/>
                <w:color w:val="auto"/>
                <w:szCs w:val="21"/>
                <w:highlight w:val="none"/>
              </w:rPr>
            </w:pPr>
          </w:p>
        </w:tc>
        <w:tc>
          <w:tcPr>
            <w:tcW w:w="1065" w:type="dxa"/>
            <w:vAlign w:val="center"/>
          </w:tcPr>
          <w:p w14:paraId="359B4377">
            <w:pPr>
              <w:jc w:val="center"/>
              <w:outlineLvl w:val="9"/>
              <w:rPr>
                <w:rFonts w:hint="eastAsia" w:ascii="宋体" w:hAnsi="宋体" w:eastAsia="宋体" w:cs="宋体"/>
                <w:bCs/>
                <w:color w:val="auto"/>
                <w:szCs w:val="21"/>
                <w:highlight w:val="none"/>
              </w:rPr>
            </w:pPr>
          </w:p>
        </w:tc>
        <w:tc>
          <w:tcPr>
            <w:tcW w:w="1921" w:type="dxa"/>
            <w:vAlign w:val="center"/>
          </w:tcPr>
          <w:p w14:paraId="409B3A77">
            <w:pPr>
              <w:jc w:val="center"/>
              <w:outlineLvl w:val="9"/>
              <w:rPr>
                <w:rFonts w:hint="eastAsia" w:ascii="宋体" w:hAnsi="宋体" w:eastAsia="宋体" w:cs="宋体"/>
                <w:bCs/>
                <w:color w:val="auto"/>
                <w:szCs w:val="21"/>
                <w:highlight w:val="none"/>
              </w:rPr>
            </w:pPr>
          </w:p>
        </w:tc>
      </w:tr>
      <w:tr w14:paraId="56D9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86" w:type="dxa"/>
            <w:vAlign w:val="center"/>
          </w:tcPr>
          <w:p w14:paraId="458FEE67">
            <w:pPr>
              <w:jc w:val="center"/>
              <w:outlineLvl w:val="9"/>
              <w:rPr>
                <w:rFonts w:hint="eastAsia" w:ascii="宋体" w:hAnsi="宋体" w:eastAsia="宋体" w:cs="宋体"/>
                <w:bCs/>
                <w:color w:val="auto"/>
                <w:szCs w:val="21"/>
                <w:highlight w:val="none"/>
              </w:rPr>
            </w:pPr>
          </w:p>
        </w:tc>
        <w:tc>
          <w:tcPr>
            <w:tcW w:w="1614" w:type="dxa"/>
            <w:vAlign w:val="center"/>
          </w:tcPr>
          <w:p w14:paraId="744D0067">
            <w:pPr>
              <w:jc w:val="center"/>
              <w:outlineLvl w:val="9"/>
              <w:rPr>
                <w:rFonts w:hint="eastAsia" w:ascii="宋体" w:hAnsi="宋体" w:eastAsia="宋体" w:cs="宋体"/>
                <w:bCs/>
                <w:color w:val="auto"/>
                <w:szCs w:val="21"/>
                <w:highlight w:val="none"/>
              </w:rPr>
            </w:pPr>
          </w:p>
        </w:tc>
        <w:tc>
          <w:tcPr>
            <w:tcW w:w="1236" w:type="dxa"/>
            <w:vAlign w:val="center"/>
          </w:tcPr>
          <w:p w14:paraId="14E7CAC4">
            <w:pPr>
              <w:jc w:val="center"/>
              <w:outlineLvl w:val="9"/>
              <w:rPr>
                <w:rFonts w:hint="eastAsia" w:ascii="宋体" w:hAnsi="宋体" w:eastAsia="宋体" w:cs="宋体"/>
                <w:bCs/>
                <w:color w:val="auto"/>
                <w:szCs w:val="21"/>
                <w:highlight w:val="none"/>
              </w:rPr>
            </w:pPr>
          </w:p>
        </w:tc>
        <w:tc>
          <w:tcPr>
            <w:tcW w:w="1236" w:type="dxa"/>
            <w:vAlign w:val="center"/>
          </w:tcPr>
          <w:p w14:paraId="6C959B28">
            <w:pPr>
              <w:jc w:val="center"/>
              <w:outlineLvl w:val="9"/>
              <w:rPr>
                <w:rFonts w:hint="eastAsia" w:ascii="宋体" w:hAnsi="宋体" w:eastAsia="宋体" w:cs="宋体"/>
                <w:bCs/>
                <w:color w:val="auto"/>
                <w:szCs w:val="21"/>
                <w:highlight w:val="none"/>
              </w:rPr>
            </w:pPr>
          </w:p>
        </w:tc>
        <w:tc>
          <w:tcPr>
            <w:tcW w:w="1543" w:type="dxa"/>
            <w:vAlign w:val="center"/>
          </w:tcPr>
          <w:p w14:paraId="33DF26E9">
            <w:pPr>
              <w:jc w:val="center"/>
              <w:outlineLvl w:val="9"/>
              <w:rPr>
                <w:rFonts w:hint="eastAsia" w:ascii="宋体" w:hAnsi="宋体" w:eastAsia="宋体" w:cs="宋体"/>
                <w:bCs/>
                <w:color w:val="auto"/>
                <w:szCs w:val="21"/>
                <w:highlight w:val="none"/>
              </w:rPr>
            </w:pPr>
          </w:p>
        </w:tc>
        <w:tc>
          <w:tcPr>
            <w:tcW w:w="1236" w:type="dxa"/>
            <w:vAlign w:val="center"/>
          </w:tcPr>
          <w:p w14:paraId="0FF6F73E">
            <w:pPr>
              <w:jc w:val="center"/>
              <w:outlineLvl w:val="9"/>
              <w:rPr>
                <w:rFonts w:hint="eastAsia" w:ascii="宋体" w:hAnsi="宋体" w:eastAsia="宋体" w:cs="宋体"/>
                <w:bCs/>
                <w:color w:val="auto"/>
                <w:szCs w:val="21"/>
                <w:highlight w:val="none"/>
              </w:rPr>
            </w:pPr>
          </w:p>
        </w:tc>
        <w:tc>
          <w:tcPr>
            <w:tcW w:w="1065" w:type="dxa"/>
            <w:vAlign w:val="center"/>
          </w:tcPr>
          <w:p w14:paraId="6BEE1885">
            <w:pPr>
              <w:jc w:val="center"/>
              <w:outlineLvl w:val="9"/>
              <w:rPr>
                <w:rFonts w:hint="eastAsia" w:ascii="宋体" w:hAnsi="宋体" w:eastAsia="宋体" w:cs="宋体"/>
                <w:bCs/>
                <w:color w:val="auto"/>
                <w:szCs w:val="21"/>
                <w:highlight w:val="none"/>
              </w:rPr>
            </w:pPr>
          </w:p>
        </w:tc>
        <w:tc>
          <w:tcPr>
            <w:tcW w:w="1921" w:type="dxa"/>
            <w:vAlign w:val="center"/>
          </w:tcPr>
          <w:p w14:paraId="2957DBBF">
            <w:pPr>
              <w:jc w:val="center"/>
              <w:outlineLvl w:val="9"/>
              <w:rPr>
                <w:rFonts w:hint="eastAsia" w:ascii="宋体" w:hAnsi="宋体" w:eastAsia="宋体" w:cs="宋体"/>
                <w:bCs/>
                <w:color w:val="auto"/>
                <w:szCs w:val="21"/>
                <w:highlight w:val="none"/>
              </w:rPr>
            </w:pPr>
          </w:p>
        </w:tc>
      </w:tr>
    </w:tbl>
    <w:p w14:paraId="11E11DF7">
      <w:pPr>
        <w:spacing w:line="360" w:lineRule="auto"/>
        <w:outlineLvl w:val="9"/>
        <w:rPr>
          <w:rFonts w:hint="eastAsia" w:ascii="宋体" w:hAnsi="宋体" w:eastAsia="宋体" w:cs="宋体"/>
          <w:color w:val="auto"/>
          <w:sz w:val="22"/>
          <w:szCs w:val="22"/>
          <w:highlight w:val="none"/>
        </w:rPr>
      </w:pPr>
    </w:p>
    <w:p w14:paraId="46E01A59">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备注：若招标文件评分因素及评标标准中要求提供业绩的，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所列业绩应按其要求将证明材料按顺序附后。</w:t>
      </w:r>
    </w:p>
    <w:p w14:paraId="5ACEDD20">
      <w:pPr>
        <w:outlineLvl w:val="9"/>
        <w:rPr>
          <w:rFonts w:hint="eastAsia" w:ascii="宋体" w:hAnsi="宋体" w:eastAsia="宋体" w:cs="宋体"/>
          <w:b/>
          <w:color w:val="auto"/>
          <w:kern w:val="2"/>
          <w:sz w:val="24"/>
          <w:szCs w:val="24"/>
          <w:highlight w:val="none"/>
        </w:rPr>
      </w:pPr>
      <w:r>
        <w:rPr>
          <w:rFonts w:hint="eastAsia" w:ascii="宋体" w:hAnsi="宋体" w:eastAsia="宋体" w:cs="宋体"/>
          <w:b/>
          <w:bCs/>
          <w:color w:val="auto"/>
          <w:sz w:val="24"/>
          <w:szCs w:val="24"/>
          <w:highlight w:val="none"/>
        </w:rPr>
        <w:br w:type="page"/>
      </w:r>
    </w:p>
    <w:p w14:paraId="15620056">
      <w:pPr>
        <w:pStyle w:val="3"/>
        <w:bidi w:val="0"/>
        <w:rPr>
          <w:rFonts w:hint="eastAsia" w:ascii="宋体" w:hAnsi="宋体" w:eastAsia="宋体" w:cs="宋体"/>
          <w:color w:val="auto"/>
          <w:highlight w:val="none"/>
        </w:rPr>
      </w:pPr>
      <w:bookmarkStart w:id="351" w:name="_Toc16240"/>
      <w:bookmarkStart w:id="352" w:name="_Toc25140"/>
      <w:bookmarkStart w:id="353" w:name="_Toc32080"/>
      <w:bookmarkStart w:id="354" w:name="_Toc12520"/>
      <w:bookmarkStart w:id="355" w:name="_Toc178324782"/>
      <w:bookmarkStart w:id="356" w:name="_Toc100065839"/>
      <w:bookmarkStart w:id="357" w:name="_Toc3000"/>
      <w:bookmarkStart w:id="358" w:name="_Toc31488"/>
      <w:bookmarkStart w:id="359" w:name="_Toc173754141"/>
      <w:r>
        <w:rPr>
          <w:rFonts w:hint="eastAsia" w:ascii="宋体" w:hAnsi="宋体" w:cs="宋体"/>
          <w:color w:val="auto"/>
          <w:highlight w:val="none"/>
          <w:lang w:val="en-US" w:eastAsia="zh-CN"/>
        </w:rPr>
        <w:t>七</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基本情况表</w:t>
      </w:r>
      <w:bookmarkEnd w:id="351"/>
      <w:bookmarkEnd w:id="352"/>
      <w:bookmarkEnd w:id="353"/>
      <w:bookmarkEnd w:id="354"/>
      <w:bookmarkEnd w:id="355"/>
      <w:bookmarkEnd w:id="356"/>
      <w:bookmarkEnd w:id="357"/>
      <w:bookmarkEnd w:id="358"/>
      <w:bookmarkEnd w:id="359"/>
    </w:p>
    <w:tbl>
      <w:tblPr>
        <w:tblStyle w:val="34"/>
        <w:tblW w:w="89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02"/>
        <w:gridCol w:w="1045"/>
        <w:gridCol w:w="1526"/>
        <w:gridCol w:w="1379"/>
        <w:gridCol w:w="2527"/>
      </w:tblGrid>
      <w:tr w14:paraId="0FC76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jc w:val="center"/>
        </w:trPr>
        <w:tc>
          <w:tcPr>
            <w:tcW w:w="2502" w:type="dxa"/>
            <w:shd w:val="clear" w:color="auto" w:fill="auto"/>
            <w:vAlign w:val="center"/>
          </w:tcPr>
          <w:p w14:paraId="0E6DB826">
            <w:pPr>
              <w:spacing w:after="12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w:t>
            </w:r>
          </w:p>
        </w:tc>
        <w:tc>
          <w:tcPr>
            <w:tcW w:w="6477" w:type="dxa"/>
            <w:gridSpan w:val="4"/>
            <w:shd w:val="clear" w:color="auto" w:fill="auto"/>
            <w:vAlign w:val="center"/>
          </w:tcPr>
          <w:p w14:paraId="2E4CC6D1">
            <w:pPr>
              <w:spacing w:after="120"/>
              <w:outlineLvl w:val="9"/>
              <w:rPr>
                <w:rFonts w:hint="eastAsia" w:ascii="宋体" w:hAnsi="宋体" w:eastAsia="宋体" w:cs="宋体"/>
                <w:color w:val="auto"/>
                <w:sz w:val="24"/>
                <w:szCs w:val="24"/>
                <w:highlight w:val="none"/>
              </w:rPr>
            </w:pPr>
          </w:p>
        </w:tc>
      </w:tr>
      <w:tr w14:paraId="48ECD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jc w:val="center"/>
        </w:trPr>
        <w:tc>
          <w:tcPr>
            <w:tcW w:w="2502" w:type="dxa"/>
            <w:shd w:val="clear" w:color="auto" w:fill="auto"/>
            <w:vAlign w:val="center"/>
          </w:tcPr>
          <w:p w14:paraId="4F540D34">
            <w:pPr>
              <w:spacing w:after="12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2571" w:type="dxa"/>
            <w:gridSpan w:val="2"/>
            <w:shd w:val="clear" w:color="auto" w:fill="auto"/>
            <w:vAlign w:val="center"/>
          </w:tcPr>
          <w:p w14:paraId="789CC020">
            <w:pPr>
              <w:spacing w:after="120"/>
              <w:outlineLvl w:val="9"/>
              <w:rPr>
                <w:rFonts w:hint="eastAsia" w:ascii="宋体" w:hAnsi="宋体" w:eastAsia="宋体" w:cs="宋体"/>
                <w:color w:val="auto"/>
                <w:sz w:val="24"/>
                <w:szCs w:val="24"/>
                <w:highlight w:val="none"/>
              </w:rPr>
            </w:pPr>
          </w:p>
        </w:tc>
        <w:tc>
          <w:tcPr>
            <w:tcW w:w="1379" w:type="dxa"/>
            <w:shd w:val="clear" w:color="auto" w:fill="auto"/>
            <w:vAlign w:val="center"/>
          </w:tcPr>
          <w:p w14:paraId="191C354A">
            <w:pPr>
              <w:spacing w:after="12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2527" w:type="dxa"/>
            <w:shd w:val="clear" w:color="auto" w:fill="auto"/>
            <w:vAlign w:val="center"/>
          </w:tcPr>
          <w:p w14:paraId="627A7174">
            <w:pPr>
              <w:spacing w:after="120"/>
              <w:outlineLvl w:val="9"/>
              <w:rPr>
                <w:rFonts w:hint="eastAsia" w:ascii="宋体" w:hAnsi="宋体" w:eastAsia="宋体" w:cs="宋体"/>
                <w:color w:val="auto"/>
                <w:sz w:val="24"/>
                <w:szCs w:val="24"/>
                <w:highlight w:val="none"/>
              </w:rPr>
            </w:pPr>
          </w:p>
        </w:tc>
      </w:tr>
      <w:tr w14:paraId="32D0B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jc w:val="center"/>
        </w:trPr>
        <w:tc>
          <w:tcPr>
            <w:tcW w:w="2502" w:type="dxa"/>
            <w:shd w:val="clear" w:color="auto" w:fill="auto"/>
            <w:vAlign w:val="center"/>
          </w:tcPr>
          <w:p w14:paraId="7B80ABF8">
            <w:pPr>
              <w:spacing w:after="12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6477" w:type="dxa"/>
            <w:gridSpan w:val="4"/>
            <w:shd w:val="clear" w:color="auto" w:fill="auto"/>
            <w:vAlign w:val="center"/>
          </w:tcPr>
          <w:p w14:paraId="3D1B0464">
            <w:pPr>
              <w:spacing w:after="120"/>
              <w:outlineLvl w:val="9"/>
              <w:rPr>
                <w:rFonts w:hint="eastAsia" w:ascii="宋体" w:hAnsi="宋体" w:eastAsia="宋体" w:cs="宋体"/>
                <w:color w:val="auto"/>
                <w:sz w:val="24"/>
                <w:szCs w:val="24"/>
                <w:highlight w:val="none"/>
              </w:rPr>
            </w:pPr>
          </w:p>
        </w:tc>
      </w:tr>
      <w:tr w14:paraId="21474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jc w:val="center"/>
        </w:trPr>
        <w:tc>
          <w:tcPr>
            <w:tcW w:w="2502" w:type="dxa"/>
            <w:shd w:val="clear" w:color="auto" w:fill="auto"/>
            <w:vAlign w:val="center"/>
          </w:tcPr>
          <w:p w14:paraId="4383053E">
            <w:pPr>
              <w:spacing w:after="120"/>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营业执照号</w:t>
            </w:r>
          </w:p>
        </w:tc>
        <w:tc>
          <w:tcPr>
            <w:tcW w:w="2571" w:type="dxa"/>
            <w:gridSpan w:val="2"/>
            <w:shd w:val="clear" w:color="auto" w:fill="auto"/>
            <w:vAlign w:val="center"/>
          </w:tcPr>
          <w:p w14:paraId="06B9FE70">
            <w:pPr>
              <w:spacing w:after="120"/>
              <w:outlineLvl w:val="9"/>
              <w:rPr>
                <w:rFonts w:hint="eastAsia" w:ascii="宋体" w:hAnsi="宋体" w:eastAsia="宋体" w:cs="宋体"/>
                <w:color w:val="auto"/>
                <w:sz w:val="24"/>
                <w:szCs w:val="24"/>
                <w:highlight w:val="none"/>
              </w:rPr>
            </w:pPr>
          </w:p>
        </w:tc>
        <w:tc>
          <w:tcPr>
            <w:tcW w:w="1379" w:type="dxa"/>
            <w:shd w:val="clear" w:color="auto" w:fill="auto"/>
            <w:vAlign w:val="center"/>
          </w:tcPr>
          <w:p w14:paraId="30B94411">
            <w:pPr>
              <w:spacing w:after="120"/>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邮箱</w:t>
            </w:r>
          </w:p>
        </w:tc>
        <w:tc>
          <w:tcPr>
            <w:tcW w:w="2527" w:type="dxa"/>
            <w:shd w:val="clear" w:color="auto" w:fill="auto"/>
            <w:vAlign w:val="center"/>
          </w:tcPr>
          <w:p w14:paraId="7F526B3B">
            <w:pPr>
              <w:spacing w:after="120"/>
              <w:outlineLvl w:val="9"/>
              <w:rPr>
                <w:rFonts w:hint="eastAsia" w:ascii="宋体" w:hAnsi="宋体" w:eastAsia="宋体" w:cs="宋体"/>
                <w:color w:val="auto"/>
                <w:sz w:val="24"/>
                <w:szCs w:val="24"/>
                <w:highlight w:val="none"/>
              </w:rPr>
            </w:pPr>
          </w:p>
        </w:tc>
      </w:tr>
      <w:tr w14:paraId="064C2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jc w:val="center"/>
        </w:trPr>
        <w:tc>
          <w:tcPr>
            <w:tcW w:w="2502" w:type="dxa"/>
            <w:shd w:val="clear" w:color="auto" w:fill="auto"/>
            <w:vAlign w:val="center"/>
          </w:tcPr>
          <w:p w14:paraId="55C52EBA">
            <w:pPr>
              <w:spacing w:after="12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045" w:type="dxa"/>
            <w:shd w:val="clear" w:color="auto" w:fill="auto"/>
            <w:vAlign w:val="center"/>
          </w:tcPr>
          <w:p w14:paraId="426D82D0">
            <w:pPr>
              <w:spacing w:after="12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1526" w:type="dxa"/>
            <w:shd w:val="clear" w:color="auto" w:fill="auto"/>
            <w:vAlign w:val="center"/>
          </w:tcPr>
          <w:p w14:paraId="19D3A1D7">
            <w:pPr>
              <w:spacing w:after="120"/>
              <w:outlineLvl w:val="9"/>
              <w:rPr>
                <w:rFonts w:hint="eastAsia" w:ascii="宋体" w:hAnsi="宋体" w:eastAsia="宋体" w:cs="宋体"/>
                <w:color w:val="auto"/>
                <w:sz w:val="24"/>
                <w:szCs w:val="24"/>
                <w:highlight w:val="none"/>
              </w:rPr>
            </w:pPr>
          </w:p>
        </w:tc>
        <w:tc>
          <w:tcPr>
            <w:tcW w:w="1379" w:type="dxa"/>
            <w:shd w:val="clear" w:color="auto" w:fill="auto"/>
            <w:vAlign w:val="center"/>
          </w:tcPr>
          <w:p w14:paraId="4C319EF7">
            <w:pPr>
              <w:spacing w:after="12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527" w:type="dxa"/>
            <w:shd w:val="clear" w:color="auto" w:fill="auto"/>
            <w:vAlign w:val="center"/>
          </w:tcPr>
          <w:p w14:paraId="7C2A555D">
            <w:pPr>
              <w:spacing w:after="120"/>
              <w:outlineLvl w:val="9"/>
              <w:rPr>
                <w:rFonts w:hint="eastAsia" w:ascii="宋体" w:hAnsi="宋体" w:eastAsia="宋体" w:cs="宋体"/>
                <w:color w:val="auto"/>
                <w:sz w:val="24"/>
                <w:szCs w:val="24"/>
                <w:highlight w:val="none"/>
              </w:rPr>
            </w:pPr>
          </w:p>
        </w:tc>
      </w:tr>
      <w:tr w14:paraId="3E3B4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6" w:hRule="atLeast"/>
          <w:jc w:val="center"/>
        </w:trPr>
        <w:tc>
          <w:tcPr>
            <w:tcW w:w="2502" w:type="dxa"/>
            <w:shd w:val="clear" w:color="auto" w:fill="auto"/>
            <w:vAlign w:val="center"/>
          </w:tcPr>
          <w:p w14:paraId="710D2412">
            <w:pPr>
              <w:spacing w:after="12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75141D70">
            <w:pPr>
              <w:spacing w:after="12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w:t>
            </w:r>
          </w:p>
        </w:tc>
        <w:tc>
          <w:tcPr>
            <w:tcW w:w="1045" w:type="dxa"/>
            <w:shd w:val="clear" w:color="auto" w:fill="auto"/>
            <w:vAlign w:val="center"/>
          </w:tcPr>
          <w:p w14:paraId="47CB3BF2">
            <w:pPr>
              <w:spacing w:after="12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526" w:type="dxa"/>
            <w:shd w:val="clear" w:color="auto" w:fill="auto"/>
            <w:vAlign w:val="center"/>
          </w:tcPr>
          <w:p w14:paraId="424B5CAF">
            <w:pPr>
              <w:spacing w:after="120"/>
              <w:outlineLvl w:val="9"/>
              <w:rPr>
                <w:rFonts w:hint="eastAsia" w:ascii="宋体" w:hAnsi="宋体" w:eastAsia="宋体" w:cs="宋体"/>
                <w:color w:val="auto"/>
                <w:sz w:val="24"/>
                <w:szCs w:val="24"/>
                <w:highlight w:val="none"/>
              </w:rPr>
            </w:pPr>
          </w:p>
        </w:tc>
        <w:tc>
          <w:tcPr>
            <w:tcW w:w="1379" w:type="dxa"/>
            <w:shd w:val="clear" w:color="auto" w:fill="auto"/>
            <w:vAlign w:val="center"/>
          </w:tcPr>
          <w:p w14:paraId="6E995A27">
            <w:pPr>
              <w:spacing w:after="12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527" w:type="dxa"/>
            <w:shd w:val="clear" w:color="auto" w:fill="auto"/>
            <w:vAlign w:val="center"/>
          </w:tcPr>
          <w:p w14:paraId="2D969A9D">
            <w:pPr>
              <w:spacing w:after="120"/>
              <w:outlineLvl w:val="9"/>
              <w:rPr>
                <w:rFonts w:hint="eastAsia" w:ascii="宋体" w:hAnsi="宋体" w:eastAsia="宋体" w:cs="宋体"/>
                <w:color w:val="auto"/>
                <w:sz w:val="24"/>
                <w:szCs w:val="24"/>
                <w:highlight w:val="none"/>
              </w:rPr>
            </w:pPr>
          </w:p>
        </w:tc>
      </w:tr>
      <w:tr w14:paraId="72F77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jc w:val="center"/>
        </w:trPr>
        <w:tc>
          <w:tcPr>
            <w:tcW w:w="2502" w:type="dxa"/>
            <w:shd w:val="clear" w:color="auto" w:fill="auto"/>
            <w:vAlign w:val="center"/>
          </w:tcPr>
          <w:p w14:paraId="03FBBEA8">
            <w:pPr>
              <w:spacing w:after="12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基本账户开户银行</w:t>
            </w:r>
          </w:p>
        </w:tc>
        <w:tc>
          <w:tcPr>
            <w:tcW w:w="6477" w:type="dxa"/>
            <w:gridSpan w:val="4"/>
            <w:shd w:val="clear" w:color="auto" w:fill="auto"/>
            <w:vAlign w:val="center"/>
          </w:tcPr>
          <w:p w14:paraId="180356BB">
            <w:pPr>
              <w:spacing w:after="120"/>
              <w:outlineLvl w:val="9"/>
              <w:rPr>
                <w:rFonts w:hint="eastAsia" w:ascii="宋体" w:hAnsi="宋体" w:eastAsia="宋体" w:cs="宋体"/>
                <w:color w:val="auto"/>
                <w:sz w:val="24"/>
                <w:szCs w:val="24"/>
                <w:highlight w:val="none"/>
              </w:rPr>
            </w:pPr>
          </w:p>
        </w:tc>
      </w:tr>
      <w:tr w14:paraId="7AD8C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jc w:val="center"/>
        </w:trPr>
        <w:tc>
          <w:tcPr>
            <w:tcW w:w="2502" w:type="dxa"/>
            <w:shd w:val="clear" w:color="auto" w:fill="auto"/>
            <w:vAlign w:val="center"/>
          </w:tcPr>
          <w:p w14:paraId="083DF278">
            <w:pPr>
              <w:spacing w:after="12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基本账户银行账号</w:t>
            </w:r>
          </w:p>
        </w:tc>
        <w:tc>
          <w:tcPr>
            <w:tcW w:w="6477" w:type="dxa"/>
            <w:gridSpan w:val="4"/>
            <w:shd w:val="clear" w:color="auto" w:fill="auto"/>
            <w:vAlign w:val="center"/>
          </w:tcPr>
          <w:p w14:paraId="263E54A9">
            <w:pPr>
              <w:spacing w:after="120"/>
              <w:outlineLvl w:val="9"/>
              <w:rPr>
                <w:rFonts w:hint="eastAsia" w:ascii="宋体" w:hAnsi="宋体" w:eastAsia="宋体" w:cs="宋体"/>
                <w:color w:val="auto"/>
                <w:sz w:val="24"/>
                <w:szCs w:val="24"/>
                <w:highlight w:val="none"/>
              </w:rPr>
            </w:pPr>
          </w:p>
        </w:tc>
      </w:tr>
      <w:tr w14:paraId="04640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jc w:val="center"/>
        </w:trPr>
        <w:tc>
          <w:tcPr>
            <w:tcW w:w="2502" w:type="dxa"/>
            <w:shd w:val="clear" w:color="auto" w:fill="auto"/>
            <w:vAlign w:val="center"/>
          </w:tcPr>
          <w:p w14:paraId="008F90E8">
            <w:pPr>
              <w:spacing w:after="120"/>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经营范围</w:t>
            </w:r>
          </w:p>
        </w:tc>
        <w:tc>
          <w:tcPr>
            <w:tcW w:w="6477" w:type="dxa"/>
            <w:gridSpan w:val="4"/>
            <w:shd w:val="clear" w:color="auto" w:fill="auto"/>
            <w:vAlign w:val="center"/>
          </w:tcPr>
          <w:p w14:paraId="20732A97">
            <w:pPr>
              <w:spacing w:after="120"/>
              <w:outlineLvl w:val="9"/>
              <w:rPr>
                <w:rFonts w:hint="eastAsia" w:ascii="宋体" w:hAnsi="宋体" w:eastAsia="宋体" w:cs="宋体"/>
                <w:color w:val="auto"/>
                <w:sz w:val="24"/>
                <w:szCs w:val="24"/>
                <w:highlight w:val="none"/>
              </w:rPr>
            </w:pPr>
          </w:p>
        </w:tc>
      </w:tr>
      <w:tr w14:paraId="22065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2502" w:type="dxa"/>
            <w:shd w:val="clear" w:color="auto" w:fill="auto"/>
            <w:vAlign w:val="center"/>
          </w:tcPr>
          <w:p w14:paraId="4F3DEE7D">
            <w:pPr>
              <w:spacing w:after="12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477" w:type="dxa"/>
            <w:gridSpan w:val="4"/>
            <w:shd w:val="clear" w:color="auto" w:fill="auto"/>
            <w:vAlign w:val="center"/>
          </w:tcPr>
          <w:p w14:paraId="539696F6">
            <w:pPr>
              <w:spacing w:after="120"/>
              <w:outlineLvl w:val="9"/>
              <w:rPr>
                <w:rFonts w:hint="eastAsia" w:ascii="宋体" w:hAnsi="宋体" w:eastAsia="宋体" w:cs="宋体"/>
                <w:color w:val="auto"/>
                <w:sz w:val="24"/>
                <w:szCs w:val="24"/>
                <w:highlight w:val="none"/>
              </w:rPr>
            </w:pPr>
          </w:p>
        </w:tc>
      </w:tr>
    </w:tbl>
    <w:p w14:paraId="432E4B38">
      <w:pPr>
        <w:spacing w:after="120"/>
        <w:outlineLvl w:val="9"/>
        <w:rPr>
          <w:rFonts w:hint="eastAsia" w:ascii="宋体" w:hAnsi="宋体" w:eastAsia="宋体" w:cs="宋体"/>
          <w:color w:val="auto"/>
          <w:szCs w:val="24"/>
          <w:highlight w:val="none"/>
        </w:rPr>
      </w:pPr>
    </w:p>
    <w:p w14:paraId="4E0D214A">
      <w:pPr>
        <w:pStyle w:val="29"/>
        <w:widowControl w:val="0"/>
        <w:spacing w:before="120" w:beforeAutospacing="0" w:after="120" w:afterAutospacing="0" w:line="500" w:lineRule="exact"/>
        <w:ind w:right="29" w:rightChars="14"/>
        <w:jc w:val="both"/>
        <w:outlineLvl w:val="9"/>
        <w:rPr>
          <w:rFonts w:hint="eastAsia" w:ascii="宋体" w:hAnsi="宋体" w:eastAsia="宋体" w:cs="宋体"/>
          <w:b/>
          <w:color w:val="auto"/>
          <w:kern w:val="2"/>
          <w:sz w:val="30"/>
          <w:szCs w:val="30"/>
          <w:highlight w:val="none"/>
        </w:rPr>
      </w:pPr>
      <w:r>
        <w:rPr>
          <w:rFonts w:hint="eastAsia" w:ascii="宋体" w:hAnsi="宋体" w:eastAsia="宋体" w:cs="宋体"/>
          <w:color w:val="auto"/>
          <w:szCs w:val="24"/>
          <w:highlight w:val="none"/>
        </w:rPr>
        <w:br w:type="page"/>
      </w:r>
    </w:p>
    <w:p w14:paraId="05FD4039">
      <w:pPr>
        <w:pStyle w:val="3"/>
        <w:bidi w:val="0"/>
        <w:rPr>
          <w:rFonts w:hint="eastAsia" w:ascii="宋体" w:hAnsi="宋体" w:eastAsia="宋体" w:cs="宋体"/>
          <w:color w:val="auto"/>
          <w:highlight w:val="none"/>
        </w:rPr>
      </w:pPr>
      <w:bookmarkStart w:id="360" w:name="_Toc11610"/>
      <w:r>
        <w:rPr>
          <w:rFonts w:hint="eastAsia" w:ascii="宋体" w:hAnsi="宋体" w:cs="宋体"/>
          <w:color w:val="auto"/>
          <w:highlight w:val="none"/>
          <w:lang w:val="en-US" w:eastAsia="zh-CN"/>
        </w:rPr>
        <w:t>八</w:t>
      </w:r>
      <w:r>
        <w:rPr>
          <w:rFonts w:hint="eastAsia" w:ascii="宋体" w:hAnsi="宋体" w:eastAsia="宋体" w:cs="宋体"/>
          <w:color w:val="auto"/>
          <w:highlight w:val="none"/>
        </w:rPr>
        <w:t>、政府采购投标人资格证明承诺函</w:t>
      </w:r>
      <w:bookmarkEnd w:id="360"/>
    </w:p>
    <w:p w14:paraId="11A4AD4D">
      <w:pPr>
        <w:spacing w:line="460" w:lineRule="exact"/>
        <w:ind w:right="330" w:rightChars="157"/>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（采购人）</w:t>
      </w:r>
      <w:r>
        <w:rPr>
          <w:rFonts w:hint="eastAsia" w:ascii="宋体" w:hAnsi="宋体" w:eastAsia="宋体" w:cs="宋体"/>
          <w:color w:val="auto"/>
          <w:sz w:val="24"/>
          <w:highlight w:val="none"/>
        </w:rPr>
        <w:t xml:space="preserve"> ： </w:t>
      </w:r>
    </w:p>
    <w:p w14:paraId="79DEAEF4">
      <w:pPr>
        <w:spacing w:line="460" w:lineRule="exact"/>
        <w:ind w:right="330" w:rightChars="157"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3B64FDD">
      <w:pPr>
        <w:spacing w:line="460" w:lineRule="exact"/>
        <w:ind w:right="330" w:rightChars="157"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r>
        <w:rPr>
          <w:rFonts w:hint="eastAsia" w:ascii="宋体" w:hAnsi="宋体" w:eastAsia="宋体" w:cs="宋体"/>
          <w:color w:val="auto"/>
          <w:sz w:val="24"/>
          <w:highlight w:val="none"/>
          <w:u w:val="single"/>
        </w:rPr>
        <w:t xml:space="preserve">                       </w:t>
      </w:r>
    </w:p>
    <w:p w14:paraId="7933BC33">
      <w:pPr>
        <w:spacing w:line="460" w:lineRule="exact"/>
        <w:ind w:right="330" w:rightChars="157" w:firstLine="480" w:firstLineChars="200"/>
        <w:jc w:val="left"/>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投标人地址：</w:t>
      </w:r>
      <w:r>
        <w:rPr>
          <w:rFonts w:hint="eastAsia" w:ascii="宋体" w:hAnsi="宋体" w:eastAsia="宋体" w:cs="宋体"/>
          <w:color w:val="auto"/>
          <w:sz w:val="24"/>
          <w:highlight w:val="none"/>
          <w:u w:val="single"/>
        </w:rPr>
        <w:t xml:space="preserve">                              </w:t>
      </w:r>
    </w:p>
    <w:p w14:paraId="4A0310AB">
      <w:pPr>
        <w:spacing w:line="460" w:lineRule="exact"/>
        <w:ind w:right="330" w:rightChars="157"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我单位自愿参加本次政府采购活动，严格遵守《中华人民共和国政府采购法》及相关法律法规，依法诚信经营，无条件遵守本次政府采购活动的各项规定。我单位郑重承诺：</w:t>
      </w:r>
    </w:p>
    <w:p w14:paraId="518A6EC0">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一、我单位具有有效的营业执照（三证合一）</w:t>
      </w:r>
      <w:r>
        <w:rPr>
          <w:rFonts w:ascii="宋体" w:hAnsi="宋体" w:eastAsia="宋体" w:cs="宋体"/>
          <w:spacing w:val="8"/>
          <w:sz w:val="24"/>
          <w:szCs w:val="24"/>
          <w:highlight w:val="none"/>
        </w:rPr>
        <w:t>，</w:t>
      </w:r>
      <w:r>
        <w:rPr>
          <w:rFonts w:ascii="宋体" w:hAnsi="宋体" w:eastAsia="宋体" w:cs="宋体"/>
          <w:sz w:val="24"/>
          <w:szCs w:val="24"/>
          <w:highlight w:val="none"/>
        </w:rPr>
        <w:t>并具有实施完</w:t>
      </w:r>
      <w:r>
        <w:rPr>
          <w:rFonts w:ascii="宋体" w:hAnsi="宋体" w:eastAsia="宋体" w:cs="宋体"/>
          <w:spacing w:val="-1"/>
          <w:sz w:val="24"/>
          <w:szCs w:val="24"/>
          <w:highlight w:val="none"/>
        </w:rPr>
        <w:t>成本项目的经营实力和完善</w:t>
      </w:r>
      <w:r>
        <w:rPr>
          <w:rFonts w:ascii="宋体" w:hAnsi="宋体" w:eastAsia="宋体" w:cs="宋体"/>
          <w:spacing w:val="-10"/>
          <w:sz w:val="24"/>
          <w:szCs w:val="24"/>
          <w:highlight w:val="none"/>
        </w:rPr>
        <w:t>的售后服务体系；</w:t>
      </w:r>
    </w:p>
    <w:p w14:paraId="415DCE7B">
      <w:pPr>
        <w:spacing w:line="460" w:lineRule="exact"/>
        <w:ind w:right="330" w:rightChars="157"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二、我单位符合《中华人民共和国政府采购法》第二十二条规定的条件： </w:t>
      </w:r>
    </w:p>
    <w:p w14:paraId="20946241">
      <w:pPr>
        <w:spacing w:line="460" w:lineRule="exact"/>
        <w:ind w:right="330" w:rightChars="157"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1.我单位具有符合采购文件资格要求独立承担民事责任的能力。</w:t>
      </w:r>
    </w:p>
    <w:p w14:paraId="709185C7">
      <w:pPr>
        <w:spacing w:line="460" w:lineRule="exact"/>
        <w:ind w:right="330" w:rightChars="157"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2.我单位具有符合采购文件资格要求的财务状况报告。 </w:t>
      </w:r>
    </w:p>
    <w:p w14:paraId="7F3C2650">
      <w:pPr>
        <w:spacing w:line="460" w:lineRule="exact"/>
        <w:ind w:right="330" w:rightChars="157"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3.我单位具有符合采购文件资格要求的依法缴纳税收和社会保障记录的良好记录。 </w:t>
      </w:r>
    </w:p>
    <w:p w14:paraId="35FCCE72">
      <w:pPr>
        <w:spacing w:line="460" w:lineRule="exact"/>
        <w:ind w:right="330" w:rightChars="157"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4.我单位具有符合采购文件资格要求履行合同所必需的设备和专业技术能力。 </w:t>
      </w:r>
    </w:p>
    <w:p w14:paraId="2093386C">
      <w:pPr>
        <w:spacing w:line="460" w:lineRule="exact"/>
        <w:ind w:right="330" w:rightChars="157"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6EB3289F">
      <w:pPr>
        <w:spacing w:line="460" w:lineRule="exact"/>
        <w:ind w:right="330" w:rightChars="157"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若我单位承诺不实，自愿承担提供虚假材料谋取中标、成交的法律责任。</w:t>
      </w:r>
    </w:p>
    <w:p w14:paraId="69133232">
      <w:pPr>
        <w:spacing w:line="460" w:lineRule="exact"/>
        <w:ind w:right="330" w:rightChars="157" w:firstLine="480" w:firstLineChars="200"/>
        <w:outlineLvl w:val="9"/>
        <w:rPr>
          <w:rFonts w:hint="eastAsia" w:ascii="宋体" w:hAnsi="宋体" w:eastAsia="宋体" w:cs="宋体"/>
          <w:color w:val="auto"/>
          <w:sz w:val="24"/>
          <w:highlight w:val="none"/>
        </w:rPr>
      </w:pPr>
    </w:p>
    <w:p w14:paraId="1A664832">
      <w:pPr>
        <w:spacing w:line="460" w:lineRule="exact"/>
        <w:ind w:right="330" w:rightChars="157"/>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承诺投标人：</w:t>
      </w:r>
      <w:r>
        <w:rPr>
          <w:rFonts w:hint="eastAsia" w:ascii="宋体" w:hAnsi="宋体" w:eastAsia="宋体" w:cs="宋体"/>
          <w:color w:val="auto"/>
          <w:spacing w:val="8"/>
          <w:sz w:val="24"/>
          <w:highlight w:val="none"/>
          <w:u w:val="single"/>
        </w:rPr>
        <w:t xml:space="preserve">                  </w:t>
      </w:r>
      <w:r>
        <w:rPr>
          <w:rFonts w:hint="eastAsia" w:ascii="宋体" w:hAnsi="宋体" w:eastAsia="宋体" w:cs="宋体"/>
          <w:color w:val="auto"/>
          <w:sz w:val="24"/>
          <w:highlight w:val="none"/>
        </w:rPr>
        <w:t xml:space="preserve">（全称并加盖公章） </w:t>
      </w:r>
    </w:p>
    <w:p w14:paraId="2632CB93">
      <w:pPr>
        <w:spacing w:line="460" w:lineRule="exact"/>
        <w:ind w:right="330" w:rightChars="157"/>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bCs/>
          <w:color w:val="auto"/>
          <w:sz w:val="24"/>
          <w:szCs w:val="20"/>
          <w:highlight w:val="none"/>
        </w:rPr>
        <w:t>其</w:t>
      </w:r>
      <w:r>
        <w:rPr>
          <w:rFonts w:hint="eastAsia" w:ascii="宋体" w:hAnsi="宋体" w:eastAsia="宋体" w:cs="宋体"/>
          <w:color w:val="auto"/>
          <w:sz w:val="24"/>
          <w:highlight w:val="none"/>
        </w:rPr>
        <w:t>委托代理人：</w:t>
      </w:r>
      <w:r>
        <w:rPr>
          <w:rFonts w:hint="eastAsia" w:ascii="宋体" w:hAnsi="宋体" w:eastAsia="宋体" w:cs="宋体"/>
          <w:color w:val="auto"/>
          <w:spacing w:val="8"/>
          <w:sz w:val="24"/>
          <w:highlight w:val="none"/>
          <w:u w:val="single"/>
        </w:rPr>
        <w:t xml:space="preserve">                  </w:t>
      </w:r>
      <w:r>
        <w:rPr>
          <w:rFonts w:hint="eastAsia" w:ascii="宋体" w:hAnsi="宋体" w:eastAsia="宋体" w:cs="宋体"/>
          <w:color w:val="auto"/>
          <w:sz w:val="24"/>
          <w:highlight w:val="none"/>
        </w:rPr>
        <w:t xml:space="preserve"> (签字或签章) </w:t>
      </w:r>
    </w:p>
    <w:p w14:paraId="2A5AB771">
      <w:pPr>
        <w:spacing w:line="460" w:lineRule="exact"/>
        <w:ind w:right="330" w:rightChars="157"/>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月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日 </w:t>
      </w:r>
    </w:p>
    <w:p w14:paraId="1243126C">
      <w:pPr>
        <w:spacing w:line="460" w:lineRule="exact"/>
        <w:ind w:right="330" w:rightChars="157" w:firstLine="480" w:firstLineChars="200"/>
        <w:outlineLvl w:val="9"/>
        <w:rPr>
          <w:rFonts w:hint="eastAsia" w:ascii="宋体" w:hAnsi="宋体" w:eastAsia="宋体" w:cs="宋体"/>
          <w:color w:val="auto"/>
          <w:sz w:val="24"/>
          <w:highlight w:val="none"/>
        </w:rPr>
      </w:pPr>
    </w:p>
    <w:p w14:paraId="31875F52">
      <w:pPr>
        <w:spacing w:line="440" w:lineRule="exact"/>
        <w:ind w:firstLine="240" w:firstLineChars="1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投标人须在投标文件中按此模板提供承诺函，未提供视为未实质性响应招标文件要求，按无效投标处理。</w:t>
      </w:r>
    </w:p>
    <w:p w14:paraId="45B602A1">
      <w:pPr>
        <w:pStyle w:val="29"/>
        <w:widowControl w:val="0"/>
        <w:tabs>
          <w:tab w:val="left" w:pos="0"/>
        </w:tabs>
        <w:spacing w:before="120" w:beforeAutospacing="0" w:after="120" w:afterAutospacing="0" w:line="500" w:lineRule="exact"/>
        <w:ind w:right="29" w:rightChars="14"/>
        <w:jc w:val="center"/>
        <w:outlineLvl w:val="9"/>
        <w:rPr>
          <w:rFonts w:hint="eastAsia" w:ascii="宋体" w:hAnsi="宋体" w:eastAsia="宋体" w:cs="宋体"/>
          <w:b/>
          <w:color w:val="auto"/>
          <w:kern w:val="2"/>
          <w:sz w:val="30"/>
          <w:szCs w:val="30"/>
          <w:highlight w:val="none"/>
        </w:rPr>
      </w:pPr>
      <w:bookmarkStart w:id="361" w:name="_Toc8330"/>
      <w:bookmarkStart w:id="362" w:name="_Toc6465"/>
      <w:bookmarkStart w:id="363" w:name="_Toc31553"/>
    </w:p>
    <w:p w14:paraId="7F7D7B59">
      <w:pPr>
        <w:pStyle w:val="29"/>
        <w:widowControl w:val="0"/>
        <w:tabs>
          <w:tab w:val="left" w:pos="0"/>
        </w:tabs>
        <w:spacing w:before="120" w:beforeAutospacing="0" w:after="120" w:afterAutospacing="0" w:line="500" w:lineRule="exact"/>
        <w:ind w:right="29" w:rightChars="14"/>
        <w:jc w:val="center"/>
        <w:outlineLvl w:val="9"/>
        <w:rPr>
          <w:rFonts w:hint="eastAsia" w:ascii="宋体" w:hAnsi="宋体" w:eastAsia="宋体" w:cs="宋体"/>
          <w:b/>
          <w:color w:val="auto"/>
          <w:kern w:val="2"/>
          <w:sz w:val="30"/>
          <w:szCs w:val="30"/>
          <w:highlight w:val="none"/>
        </w:rPr>
      </w:pPr>
    </w:p>
    <w:p w14:paraId="0B69FB9A">
      <w:pPr>
        <w:pStyle w:val="3"/>
        <w:bidi w:val="0"/>
        <w:rPr>
          <w:rFonts w:hint="eastAsia" w:ascii="宋体" w:hAnsi="宋体" w:eastAsia="宋体" w:cs="宋体"/>
          <w:color w:val="auto"/>
          <w:highlight w:val="none"/>
        </w:rPr>
      </w:pPr>
      <w:bookmarkStart w:id="364" w:name="_Toc700"/>
      <w:bookmarkStart w:id="365" w:name="_Toc5757"/>
      <w:r>
        <w:rPr>
          <w:rFonts w:hint="eastAsia" w:ascii="宋体" w:hAnsi="宋体" w:cs="宋体"/>
          <w:color w:val="auto"/>
          <w:highlight w:val="none"/>
          <w:lang w:val="en-US" w:eastAsia="zh-CN"/>
        </w:rPr>
        <w:t>九</w:t>
      </w:r>
      <w:r>
        <w:rPr>
          <w:rFonts w:hint="eastAsia" w:ascii="宋体" w:hAnsi="宋体" w:eastAsia="宋体" w:cs="宋体"/>
          <w:color w:val="auto"/>
          <w:highlight w:val="none"/>
        </w:rPr>
        <w:t>、投标人所投产品属于政府采购清单规定的节能环保产品的</w:t>
      </w:r>
      <w:bookmarkEnd w:id="361"/>
      <w:bookmarkEnd w:id="364"/>
      <w:bookmarkStart w:id="366" w:name="_Toc28422"/>
      <w:bookmarkStart w:id="367" w:name="_Toc18925"/>
      <w:bookmarkStart w:id="368" w:name="_Toc24210"/>
      <w:bookmarkStart w:id="369" w:name="_Toc21287"/>
      <w:r>
        <w:rPr>
          <w:rFonts w:hint="eastAsia" w:ascii="宋体" w:hAnsi="宋体" w:eastAsia="宋体" w:cs="宋体"/>
          <w:color w:val="auto"/>
          <w:highlight w:val="none"/>
        </w:rPr>
        <w:t>证明材料</w:t>
      </w:r>
      <w:bookmarkEnd w:id="362"/>
      <w:bookmarkEnd w:id="366"/>
      <w:bookmarkEnd w:id="367"/>
      <w:bookmarkEnd w:id="368"/>
      <w:r>
        <w:rPr>
          <w:rFonts w:hint="eastAsia" w:ascii="宋体" w:hAnsi="宋体" w:eastAsia="宋体" w:cs="宋体"/>
          <w:color w:val="auto"/>
          <w:highlight w:val="none"/>
        </w:rPr>
        <w:t>（如有）</w:t>
      </w:r>
      <w:bookmarkEnd w:id="365"/>
      <w:bookmarkEnd w:id="369"/>
    </w:p>
    <w:p w14:paraId="7AA8888C">
      <w:pPr>
        <w:pStyle w:val="29"/>
        <w:widowControl w:val="0"/>
        <w:spacing w:before="120" w:beforeAutospacing="0" w:after="120" w:afterAutospacing="0" w:line="500" w:lineRule="exact"/>
        <w:ind w:right="29" w:rightChars="14"/>
        <w:jc w:val="center"/>
        <w:outlineLvl w:val="9"/>
        <w:rPr>
          <w:rFonts w:hint="eastAsia" w:ascii="宋体" w:hAnsi="宋体" w:eastAsia="宋体" w:cs="宋体"/>
          <w:color w:val="auto"/>
          <w:sz w:val="30"/>
          <w:szCs w:val="30"/>
          <w:highlight w:val="none"/>
        </w:rPr>
      </w:pPr>
    </w:p>
    <w:p w14:paraId="1EF3829D">
      <w:pPr>
        <w:pStyle w:val="29"/>
        <w:widowControl w:val="0"/>
        <w:spacing w:before="120" w:beforeAutospacing="0" w:after="120" w:afterAutospacing="0" w:line="500" w:lineRule="exact"/>
        <w:ind w:right="29" w:rightChars="14"/>
        <w:jc w:val="center"/>
        <w:outlineLvl w:val="9"/>
        <w:rPr>
          <w:rFonts w:hint="eastAsia" w:ascii="宋体" w:hAnsi="宋体" w:eastAsia="宋体" w:cs="宋体"/>
          <w:color w:val="auto"/>
          <w:sz w:val="30"/>
          <w:szCs w:val="30"/>
          <w:highlight w:val="none"/>
        </w:rPr>
      </w:pPr>
    </w:p>
    <w:p w14:paraId="064847DC">
      <w:pPr>
        <w:pStyle w:val="29"/>
        <w:widowControl w:val="0"/>
        <w:spacing w:before="120" w:beforeAutospacing="0" w:after="120" w:afterAutospacing="0" w:line="500" w:lineRule="exact"/>
        <w:ind w:right="29" w:rightChars="14"/>
        <w:jc w:val="center"/>
        <w:outlineLvl w:val="9"/>
        <w:rPr>
          <w:rFonts w:hint="eastAsia" w:ascii="宋体" w:hAnsi="宋体" w:eastAsia="宋体" w:cs="宋体"/>
          <w:color w:val="auto"/>
          <w:sz w:val="30"/>
          <w:szCs w:val="30"/>
          <w:highlight w:val="none"/>
        </w:rPr>
      </w:pPr>
    </w:p>
    <w:p w14:paraId="2200B689">
      <w:pPr>
        <w:pStyle w:val="29"/>
        <w:widowControl w:val="0"/>
        <w:spacing w:before="120" w:beforeAutospacing="0" w:after="120" w:afterAutospacing="0" w:line="500" w:lineRule="exact"/>
        <w:ind w:right="29" w:rightChars="14"/>
        <w:jc w:val="center"/>
        <w:outlineLvl w:val="9"/>
        <w:rPr>
          <w:rFonts w:hint="eastAsia" w:ascii="宋体" w:hAnsi="宋体" w:eastAsia="宋体" w:cs="宋体"/>
          <w:color w:val="auto"/>
          <w:sz w:val="30"/>
          <w:szCs w:val="30"/>
          <w:highlight w:val="none"/>
        </w:rPr>
      </w:pPr>
    </w:p>
    <w:p w14:paraId="63E17220">
      <w:pPr>
        <w:pStyle w:val="29"/>
        <w:widowControl w:val="0"/>
        <w:spacing w:before="120" w:beforeAutospacing="0" w:after="120" w:afterAutospacing="0" w:line="500" w:lineRule="exact"/>
        <w:ind w:right="29" w:rightChars="14"/>
        <w:jc w:val="center"/>
        <w:outlineLvl w:val="9"/>
        <w:rPr>
          <w:rFonts w:hint="eastAsia" w:ascii="宋体" w:hAnsi="宋体" w:eastAsia="宋体" w:cs="宋体"/>
          <w:color w:val="auto"/>
          <w:sz w:val="30"/>
          <w:szCs w:val="30"/>
          <w:highlight w:val="none"/>
        </w:rPr>
      </w:pPr>
    </w:p>
    <w:p w14:paraId="69A67681">
      <w:pPr>
        <w:pStyle w:val="29"/>
        <w:widowControl w:val="0"/>
        <w:spacing w:before="120" w:beforeAutospacing="0" w:after="120" w:afterAutospacing="0" w:line="500" w:lineRule="exact"/>
        <w:ind w:right="29" w:rightChars="14"/>
        <w:jc w:val="center"/>
        <w:outlineLvl w:val="9"/>
        <w:rPr>
          <w:rFonts w:hint="eastAsia" w:ascii="宋体" w:hAnsi="宋体" w:eastAsia="宋体" w:cs="宋体"/>
          <w:color w:val="auto"/>
          <w:sz w:val="30"/>
          <w:szCs w:val="30"/>
          <w:highlight w:val="none"/>
        </w:rPr>
      </w:pPr>
    </w:p>
    <w:p w14:paraId="4637679E">
      <w:pPr>
        <w:pStyle w:val="29"/>
        <w:widowControl w:val="0"/>
        <w:spacing w:before="120" w:beforeAutospacing="0" w:after="120" w:afterAutospacing="0" w:line="500" w:lineRule="exact"/>
        <w:ind w:right="29" w:rightChars="14"/>
        <w:jc w:val="center"/>
        <w:outlineLvl w:val="9"/>
        <w:rPr>
          <w:rFonts w:hint="eastAsia" w:ascii="宋体" w:hAnsi="宋体" w:eastAsia="宋体" w:cs="宋体"/>
          <w:color w:val="auto"/>
          <w:sz w:val="30"/>
          <w:szCs w:val="30"/>
          <w:highlight w:val="none"/>
        </w:rPr>
      </w:pPr>
    </w:p>
    <w:p w14:paraId="6CB12824">
      <w:pPr>
        <w:pStyle w:val="29"/>
        <w:widowControl w:val="0"/>
        <w:spacing w:before="120" w:beforeAutospacing="0" w:after="120" w:afterAutospacing="0" w:line="500" w:lineRule="exact"/>
        <w:ind w:right="29" w:rightChars="14"/>
        <w:jc w:val="center"/>
        <w:outlineLvl w:val="9"/>
        <w:rPr>
          <w:rFonts w:hint="eastAsia" w:ascii="宋体" w:hAnsi="宋体" w:eastAsia="宋体" w:cs="宋体"/>
          <w:color w:val="auto"/>
          <w:sz w:val="30"/>
          <w:szCs w:val="30"/>
          <w:highlight w:val="none"/>
        </w:rPr>
      </w:pPr>
    </w:p>
    <w:p w14:paraId="148D0E12">
      <w:pPr>
        <w:pStyle w:val="29"/>
        <w:widowControl w:val="0"/>
        <w:spacing w:before="120" w:beforeAutospacing="0" w:after="120" w:afterAutospacing="0" w:line="500" w:lineRule="exact"/>
        <w:ind w:right="29" w:rightChars="14"/>
        <w:jc w:val="center"/>
        <w:outlineLvl w:val="9"/>
        <w:rPr>
          <w:rFonts w:hint="eastAsia" w:ascii="宋体" w:hAnsi="宋体" w:eastAsia="宋体" w:cs="宋体"/>
          <w:color w:val="auto"/>
          <w:sz w:val="30"/>
          <w:szCs w:val="30"/>
          <w:highlight w:val="none"/>
        </w:rPr>
      </w:pPr>
    </w:p>
    <w:p w14:paraId="2D5AB5ED">
      <w:pPr>
        <w:pStyle w:val="29"/>
        <w:widowControl w:val="0"/>
        <w:spacing w:before="120" w:beforeAutospacing="0" w:after="120" w:afterAutospacing="0" w:line="500" w:lineRule="exact"/>
        <w:ind w:right="29" w:rightChars="14"/>
        <w:jc w:val="center"/>
        <w:outlineLvl w:val="9"/>
        <w:rPr>
          <w:rFonts w:hint="eastAsia" w:ascii="宋体" w:hAnsi="宋体" w:eastAsia="宋体" w:cs="宋体"/>
          <w:color w:val="auto"/>
          <w:sz w:val="30"/>
          <w:szCs w:val="30"/>
          <w:highlight w:val="none"/>
        </w:rPr>
      </w:pPr>
    </w:p>
    <w:p w14:paraId="4EF443E8">
      <w:pPr>
        <w:pStyle w:val="29"/>
        <w:widowControl w:val="0"/>
        <w:spacing w:before="120" w:beforeAutospacing="0" w:after="120" w:afterAutospacing="0" w:line="500" w:lineRule="exact"/>
        <w:ind w:right="29" w:rightChars="14"/>
        <w:jc w:val="center"/>
        <w:outlineLvl w:val="9"/>
        <w:rPr>
          <w:rFonts w:hint="eastAsia" w:ascii="宋体" w:hAnsi="宋体" w:eastAsia="宋体" w:cs="宋体"/>
          <w:color w:val="auto"/>
          <w:sz w:val="30"/>
          <w:szCs w:val="30"/>
          <w:highlight w:val="none"/>
        </w:rPr>
      </w:pPr>
    </w:p>
    <w:p w14:paraId="54518A70">
      <w:pPr>
        <w:pStyle w:val="29"/>
        <w:widowControl w:val="0"/>
        <w:spacing w:before="120" w:beforeAutospacing="0" w:after="120" w:afterAutospacing="0" w:line="500" w:lineRule="exact"/>
        <w:ind w:right="29" w:rightChars="14"/>
        <w:jc w:val="center"/>
        <w:outlineLvl w:val="9"/>
        <w:rPr>
          <w:rFonts w:hint="eastAsia" w:ascii="宋体" w:hAnsi="宋体" w:eastAsia="宋体" w:cs="宋体"/>
          <w:color w:val="auto"/>
          <w:sz w:val="30"/>
          <w:szCs w:val="30"/>
          <w:highlight w:val="none"/>
        </w:rPr>
      </w:pPr>
    </w:p>
    <w:p w14:paraId="7138D862">
      <w:pPr>
        <w:pStyle w:val="29"/>
        <w:widowControl w:val="0"/>
        <w:spacing w:before="120" w:beforeAutospacing="0" w:after="120" w:afterAutospacing="0" w:line="500" w:lineRule="exact"/>
        <w:ind w:right="29" w:rightChars="14"/>
        <w:jc w:val="center"/>
        <w:outlineLvl w:val="9"/>
        <w:rPr>
          <w:rFonts w:hint="eastAsia" w:ascii="宋体" w:hAnsi="宋体" w:eastAsia="宋体" w:cs="宋体"/>
          <w:color w:val="auto"/>
          <w:sz w:val="30"/>
          <w:szCs w:val="30"/>
          <w:highlight w:val="none"/>
        </w:rPr>
      </w:pPr>
    </w:p>
    <w:p w14:paraId="3A23F6A3">
      <w:pPr>
        <w:pStyle w:val="29"/>
        <w:widowControl w:val="0"/>
        <w:spacing w:before="120" w:beforeAutospacing="0" w:after="120" w:afterAutospacing="0" w:line="500" w:lineRule="exact"/>
        <w:ind w:right="29" w:rightChars="14"/>
        <w:jc w:val="center"/>
        <w:outlineLvl w:val="9"/>
        <w:rPr>
          <w:rFonts w:hint="eastAsia" w:ascii="宋体" w:hAnsi="宋体" w:eastAsia="宋体" w:cs="宋体"/>
          <w:color w:val="auto"/>
          <w:sz w:val="30"/>
          <w:szCs w:val="30"/>
          <w:highlight w:val="none"/>
        </w:rPr>
      </w:pPr>
    </w:p>
    <w:p w14:paraId="36979EE0">
      <w:pPr>
        <w:pStyle w:val="29"/>
        <w:widowControl w:val="0"/>
        <w:spacing w:before="120" w:beforeAutospacing="0" w:after="120" w:afterAutospacing="0" w:line="500" w:lineRule="exact"/>
        <w:ind w:right="29" w:rightChars="14"/>
        <w:jc w:val="center"/>
        <w:outlineLvl w:val="9"/>
        <w:rPr>
          <w:rFonts w:hint="eastAsia" w:ascii="宋体" w:hAnsi="宋体" w:eastAsia="宋体" w:cs="宋体"/>
          <w:color w:val="auto"/>
          <w:sz w:val="30"/>
          <w:szCs w:val="30"/>
          <w:highlight w:val="none"/>
        </w:rPr>
      </w:pPr>
    </w:p>
    <w:p w14:paraId="0642A5EC">
      <w:pPr>
        <w:pStyle w:val="29"/>
        <w:widowControl w:val="0"/>
        <w:spacing w:before="120" w:beforeAutospacing="0" w:after="120" w:afterAutospacing="0" w:line="500" w:lineRule="exact"/>
        <w:ind w:right="29" w:rightChars="14"/>
        <w:jc w:val="center"/>
        <w:outlineLvl w:val="9"/>
        <w:rPr>
          <w:rFonts w:hint="eastAsia" w:ascii="宋体" w:hAnsi="宋体" w:eastAsia="宋体" w:cs="宋体"/>
          <w:color w:val="auto"/>
          <w:sz w:val="30"/>
          <w:szCs w:val="30"/>
          <w:highlight w:val="none"/>
        </w:rPr>
      </w:pPr>
    </w:p>
    <w:p w14:paraId="4E28B29A">
      <w:pPr>
        <w:pStyle w:val="29"/>
        <w:widowControl w:val="0"/>
        <w:spacing w:before="120" w:beforeAutospacing="0" w:after="120" w:afterAutospacing="0" w:line="500" w:lineRule="exact"/>
        <w:ind w:right="29" w:rightChars="14"/>
        <w:jc w:val="center"/>
        <w:outlineLvl w:val="9"/>
        <w:rPr>
          <w:rFonts w:hint="eastAsia" w:ascii="宋体" w:hAnsi="宋体" w:eastAsia="宋体" w:cs="宋体"/>
          <w:b/>
          <w:color w:val="auto"/>
          <w:kern w:val="2"/>
          <w:sz w:val="30"/>
          <w:szCs w:val="30"/>
          <w:highlight w:val="none"/>
        </w:rPr>
      </w:pPr>
      <w:bookmarkStart w:id="370" w:name="_Toc23227"/>
      <w:bookmarkStart w:id="371" w:name="_Toc10717"/>
      <w:bookmarkStart w:id="372" w:name="_Toc24850"/>
    </w:p>
    <w:p w14:paraId="1D41302B">
      <w:pPr>
        <w:pStyle w:val="29"/>
        <w:widowControl w:val="0"/>
        <w:spacing w:before="120" w:beforeAutospacing="0" w:after="120" w:afterAutospacing="0" w:line="500" w:lineRule="exact"/>
        <w:ind w:right="29" w:rightChars="14"/>
        <w:jc w:val="center"/>
        <w:outlineLvl w:val="9"/>
        <w:rPr>
          <w:rFonts w:hint="eastAsia" w:ascii="宋体" w:hAnsi="宋体" w:eastAsia="宋体" w:cs="宋体"/>
          <w:b/>
          <w:color w:val="auto"/>
          <w:kern w:val="2"/>
          <w:sz w:val="30"/>
          <w:szCs w:val="30"/>
          <w:highlight w:val="none"/>
        </w:rPr>
      </w:pPr>
    </w:p>
    <w:p w14:paraId="09C764BD">
      <w:pPr>
        <w:rPr>
          <w:rFonts w:hint="eastAsia" w:ascii="宋体" w:hAnsi="宋体" w:eastAsia="宋体" w:cs="宋体"/>
          <w:b/>
          <w:color w:val="auto"/>
          <w:kern w:val="2"/>
          <w:sz w:val="28"/>
          <w:szCs w:val="28"/>
          <w:highlight w:val="none"/>
          <w:lang w:val="en-US" w:eastAsia="zh-CN"/>
        </w:rPr>
      </w:pPr>
    </w:p>
    <w:p w14:paraId="69732445">
      <w:pPr>
        <w:pStyle w:val="3"/>
        <w:numPr>
          <w:ilvl w:val="0"/>
          <w:numId w:val="0"/>
        </w:numPr>
        <w:bidi w:val="0"/>
        <w:rPr>
          <w:rFonts w:hint="eastAsia" w:ascii="宋体" w:hAnsi="宋体" w:eastAsia="宋体" w:cs="宋体"/>
          <w:color w:val="auto"/>
          <w:highlight w:val="none"/>
        </w:rPr>
      </w:pPr>
      <w:bookmarkStart w:id="373" w:name="_Toc6774"/>
      <w:r>
        <w:rPr>
          <w:rFonts w:hint="eastAsia" w:ascii="宋体" w:hAnsi="宋体" w:eastAsia="宋体" w:cs="宋体"/>
          <w:b/>
          <w:bCs/>
          <w:color w:val="auto"/>
          <w:kern w:val="2"/>
          <w:sz w:val="32"/>
          <w:szCs w:val="32"/>
          <w:highlight w:val="none"/>
          <w:lang w:val="en-US" w:eastAsia="zh-CN" w:bidi="ar-SA"/>
        </w:rPr>
        <w:t>十、</w:t>
      </w:r>
      <w:r>
        <w:rPr>
          <w:rFonts w:hint="eastAsia" w:ascii="宋体" w:hAnsi="宋体" w:eastAsia="宋体" w:cs="宋体"/>
          <w:color w:val="auto"/>
          <w:highlight w:val="none"/>
        </w:rPr>
        <w:t>中小企业声明函（</w:t>
      </w:r>
      <w:r>
        <w:rPr>
          <w:rFonts w:hint="eastAsia" w:ascii="宋体" w:hAnsi="宋体" w:cs="宋体"/>
          <w:color w:val="auto"/>
          <w:highlight w:val="none"/>
          <w:lang w:val="en-US" w:eastAsia="zh-CN"/>
        </w:rPr>
        <w:t>如有</w:t>
      </w:r>
      <w:r>
        <w:rPr>
          <w:rFonts w:hint="eastAsia" w:ascii="宋体" w:hAnsi="宋体" w:eastAsia="宋体" w:cs="宋体"/>
          <w:color w:val="auto"/>
          <w:highlight w:val="none"/>
        </w:rPr>
        <w:t>）</w:t>
      </w:r>
      <w:bookmarkEnd w:id="370"/>
      <w:bookmarkEnd w:id="371"/>
      <w:bookmarkEnd w:id="372"/>
      <w:bookmarkEnd w:id="373"/>
    </w:p>
    <w:p w14:paraId="126A8EE6">
      <w:pPr>
        <w:spacing w:before="279" w:line="219" w:lineRule="auto"/>
        <w:jc w:val="center"/>
        <w:outlineLvl w:val="9"/>
        <w:rPr>
          <w:rFonts w:ascii="宋体" w:hAnsi="宋体" w:eastAsia="宋体" w:cs="宋体"/>
          <w:sz w:val="28"/>
          <w:szCs w:val="28"/>
          <w:highlight w:val="none"/>
        </w:rPr>
      </w:pPr>
      <w:r>
        <w:rPr>
          <w:rFonts w:ascii="宋体" w:hAnsi="宋体" w:eastAsia="宋体" w:cs="宋体"/>
          <w:b/>
          <w:bCs/>
          <w:spacing w:val="-7"/>
          <w:sz w:val="28"/>
          <w:szCs w:val="28"/>
          <w:highlight w:val="none"/>
        </w:rPr>
        <w:t>中小企业声明函（货物）</w:t>
      </w:r>
    </w:p>
    <w:p w14:paraId="0815CDA6">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 号）的规定，本公司 （联合体）参加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采购活动，提供的货物全部由符合政策要求的中小企业制造。相关企业 （含联合体中的中小企业、签订分包意向协议的中小企业） 的具体情况如下：</w:t>
      </w:r>
    </w:p>
    <w:p w14:paraId="0D502169">
      <w:pPr>
        <w:numPr>
          <w:ilvl w:val="0"/>
          <w:numId w:val="14"/>
        </w:numPr>
        <w:spacing w:line="560" w:lineRule="exact"/>
        <w:ind w:left="0" w:firstLine="600" w:firstLineChars="2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 xml:space="preserve"> ，属于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 xml:space="preserve"> 行业；制造商为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 ，属于</w:t>
      </w:r>
      <w:r>
        <w:rPr>
          <w:rFonts w:hint="eastAsia" w:ascii="宋体" w:hAnsi="宋体" w:eastAsia="宋体" w:cs="宋体"/>
          <w:color w:val="auto"/>
          <w:sz w:val="24"/>
          <w:highlight w:val="none"/>
          <w:u w:val="single"/>
        </w:rPr>
        <w:t>（中型企业、小 型企业、微型企业）</w:t>
      </w:r>
      <w:r>
        <w:rPr>
          <w:rFonts w:hint="eastAsia" w:ascii="宋体" w:hAnsi="宋体" w:eastAsia="宋体" w:cs="宋体"/>
          <w:color w:val="auto"/>
          <w:sz w:val="24"/>
          <w:highlight w:val="none"/>
        </w:rPr>
        <w:t>；</w:t>
      </w:r>
    </w:p>
    <w:p w14:paraId="6875F70F">
      <w:pPr>
        <w:numPr>
          <w:ilvl w:val="0"/>
          <w:numId w:val="14"/>
        </w:numPr>
        <w:spacing w:line="560" w:lineRule="exact"/>
        <w:ind w:left="0" w:firstLine="600" w:firstLineChars="2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（标的名称） </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 xml:space="preserve"> 行业；制造商为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 企业、微型企业）</w:t>
      </w:r>
      <w:r>
        <w:rPr>
          <w:rFonts w:hint="eastAsia" w:ascii="宋体" w:hAnsi="宋体" w:eastAsia="宋体" w:cs="宋体"/>
          <w:color w:val="auto"/>
          <w:sz w:val="24"/>
          <w:highlight w:val="none"/>
        </w:rPr>
        <w:t>；</w:t>
      </w:r>
    </w:p>
    <w:p w14:paraId="7A40A29A">
      <w:pPr>
        <w:spacing w:line="560" w:lineRule="exact"/>
        <w:ind w:left="525" w:leftChars="2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 </w:t>
      </w:r>
    </w:p>
    <w:p w14:paraId="6CE75A27">
      <w:pPr>
        <w:spacing w:line="560" w:lineRule="exact"/>
        <w:ind w:left="5" w:firstLine="518" w:firstLineChars="216"/>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以上企业，不属于大企业的分支机构，不存在控股股东为大企业的情形，也不存在与大企业的负责人为同一人的情形。 </w:t>
      </w:r>
    </w:p>
    <w:p w14:paraId="4F8926B0">
      <w:pPr>
        <w:spacing w:line="560" w:lineRule="exact"/>
        <w:ind w:left="5" w:firstLine="518" w:firstLineChars="216"/>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本企业对上述声明内容的真实性负责。如有虚假，将依法承担相应责任。 </w:t>
      </w:r>
    </w:p>
    <w:p w14:paraId="7B71120C">
      <w:pPr>
        <w:spacing w:line="560" w:lineRule="exact"/>
        <w:ind w:left="5" w:firstLine="518" w:firstLineChars="216"/>
        <w:outlineLvl w:val="9"/>
        <w:rPr>
          <w:rFonts w:hint="eastAsia" w:ascii="宋体" w:hAnsi="宋体" w:eastAsia="宋体" w:cs="宋体"/>
          <w:color w:val="auto"/>
          <w:sz w:val="24"/>
          <w:highlight w:val="none"/>
        </w:rPr>
      </w:pPr>
    </w:p>
    <w:p w14:paraId="4EE44886">
      <w:pPr>
        <w:spacing w:line="560" w:lineRule="exact"/>
        <w:ind w:left="5" w:firstLine="518" w:firstLineChars="216"/>
        <w:jc w:val="righ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企业名称（盖章）：</w:t>
      </w:r>
    </w:p>
    <w:p w14:paraId="22BA7196">
      <w:pPr>
        <w:spacing w:line="560" w:lineRule="exact"/>
        <w:ind w:left="5" w:firstLine="518" w:firstLineChars="216"/>
        <w:jc w:val="righ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 </w:t>
      </w:r>
    </w:p>
    <w:p w14:paraId="6C988F38">
      <w:pPr>
        <w:spacing w:line="560" w:lineRule="exact"/>
        <w:ind w:left="5" w:firstLine="518" w:firstLineChars="216"/>
        <w:outlineLvl w:val="9"/>
        <w:rPr>
          <w:rFonts w:hint="eastAsia" w:ascii="宋体" w:hAnsi="宋体" w:eastAsia="宋体" w:cs="宋体"/>
          <w:color w:val="auto"/>
          <w:sz w:val="24"/>
          <w:highlight w:val="none"/>
        </w:rPr>
      </w:pPr>
      <w:bookmarkStart w:id="386" w:name="_GoBack"/>
      <w:r>
        <w:rPr>
          <w:rFonts w:hint="eastAsia" w:ascii="宋体" w:hAnsi="宋体" w:eastAsia="宋体" w:cs="宋体"/>
          <w:color w:val="auto"/>
          <w:sz w:val="24"/>
          <w:highlight w:val="none"/>
        </w:rPr>
        <w:t>注：1、从业人员、营业收入、资产总额填报上一年度数据，无上一年度数据的新成立企业可不填报。</w:t>
      </w:r>
    </w:p>
    <w:p w14:paraId="3A626AC4">
      <w:pPr>
        <w:pStyle w:val="33"/>
        <w:numPr>
          <w:ilvl w:val="0"/>
          <w:numId w:val="15"/>
        </w:numPr>
        <w:ind w:firstLineChars="0"/>
        <w:outlineLvl w:val="9"/>
        <w:rPr>
          <w:rFonts w:hint="eastAsia" w:ascii="宋体" w:hAnsi="宋体" w:eastAsia="宋体" w:cs="宋体"/>
          <w:color w:val="auto"/>
          <w:highlight w:val="none"/>
        </w:rPr>
      </w:pPr>
      <w:r>
        <w:rPr>
          <w:rFonts w:hint="eastAsia" w:ascii="宋体" w:hAnsi="宋体" w:eastAsia="宋体" w:cs="宋体"/>
          <w:color w:val="auto"/>
          <w:highlight w:val="none"/>
        </w:rPr>
        <w:t>投标人提供的声明函将在中标后随中标公告一并公示，若声明函内容不实的，将依照《政府采购法》等国家有关规定追究相应责任。</w:t>
      </w:r>
      <w:bookmarkStart w:id="374" w:name="_Toc309736882"/>
      <w:bookmarkStart w:id="375" w:name="_Toc12390"/>
      <w:bookmarkStart w:id="376" w:name="_Toc352061202"/>
      <w:bookmarkEnd w:id="374"/>
      <w:bookmarkEnd w:id="375"/>
      <w:bookmarkEnd w:id="376"/>
    </w:p>
    <w:bookmarkEnd w:id="386"/>
    <w:p w14:paraId="320480D1">
      <w:pPr>
        <w:spacing w:before="47" w:line="220" w:lineRule="auto"/>
        <w:jc w:val="center"/>
        <w:rPr>
          <w:rFonts w:hint="eastAsia" w:ascii="宋体" w:hAnsi="宋体" w:eastAsia="宋体" w:cs="宋体"/>
          <w:b/>
          <w:color w:val="auto"/>
          <w:kern w:val="2"/>
          <w:szCs w:val="30"/>
          <w:highlight w:val="none"/>
        </w:rPr>
      </w:pPr>
      <w:r>
        <w:rPr>
          <w:rFonts w:hint="eastAsia" w:ascii="宋体" w:hAnsi="宋体" w:eastAsia="宋体" w:cs="宋体"/>
          <w:b/>
          <w:color w:val="auto"/>
          <w:kern w:val="2"/>
          <w:szCs w:val="30"/>
          <w:highlight w:val="none"/>
        </w:rPr>
        <w:br w:type="page"/>
      </w:r>
      <w:bookmarkStart w:id="377" w:name="_Toc11708"/>
      <w:bookmarkStart w:id="378" w:name="_Toc20881"/>
      <w:bookmarkStart w:id="379" w:name="_Toc14292"/>
      <w:bookmarkStart w:id="380" w:name="_Toc30170"/>
      <w:r>
        <w:rPr>
          <w:rFonts w:hint="eastAsia" w:ascii="宋体" w:hAnsi="宋体" w:eastAsia="宋体" w:cs="宋体"/>
          <w:b/>
          <w:bCs/>
          <w:color w:val="auto"/>
          <w:kern w:val="2"/>
          <w:sz w:val="32"/>
          <w:szCs w:val="32"/>
          <w:highlight w:val="none"/>
          <w:lang w:val="en-US" w:eastAsia="zh-CN" w:bidi="ar-SA"/>
        </w:rPr>
        <w:t>残疾人福利性单位声明函（如有）</w:t>
      </w:r>
      <w:bookmarkEnd w:id="377"/>
      <w:bookmarkEnd w:id="378"/>
    </w:p>
    <w:p w14:paraId="31ADAABF">
      <w:pPr>
        <w:spacing w:line="588" w:lineRule="exact"/>
        <w:ind w:firstLine="504" w:firstLineChars="200"/>
        <w:outlineLvl w:val="9"/>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highlight w:val="none"/>
        </w:rPr>
        <w:t>〔2017〕 141</w:t>
      </w:r>
      <w:r>
        <w:rPr>
          <w:rFonts w:hint="eastAsia" w:ascii="宋体" w:hAnsi="宋体" w:eastAsia="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4DDC06C">
      <w:pPr>
        <w:spacing w:line="588" w:lineRule="exact"/>
        <w:ind w:firstLine="504" w:firstLineChars="200"/>
        <w:outlineLvl w:val="9"/>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本单位对上述声明的真实性负责。如有虚假，将依法承担相应责任。</w:t>
      </w:r>
    </w:p>
    <w:p w14:paraId="7EFB480D">
      <w:pPr>
        <w:spacing w:line="588" w:lineRule="exact"/>
        <w:ind w:firstLine="504" w:firstLineChars="200"/>
        <w:outlineLvl w:val="9"/>
        <w:rPr>
          <w:rFonts w:hint="eastAsia" w:ascii="宋体" w:hAnsi="宋体" w:eastAsia="宋体" w:cs="宋体"/>
          <w:color w:val="auto"/>
          <w:spacing w:val="6"/>
          <w:sz w:val="24"/>
          <w:highlight w:val="none"/>
        </w:rPr>
      </w:pPr>
    </w:p>
    <w:p w14:paraId="27F30B87">
      <w:pPr>
        <w:spacing w:line="588" w:lineRule="exact"/>
        <w:ind w:firstLine="504" w:firstLineChars="200"/>
        <w:outlineLvl w:val="9"/>
        <w:rPr>
          <w:rFonts w:hint="eastAsia" w:ascii="宋体" w:hAnsi="宋体" w:eastAsia="宋体" w:cs="宋体"/>
          <w:color w:val="auto"/>
          <w:spacing w:val="6"/>
          <w:sz w:val="24"/>
          <w:highlight w:val="none"/>
        </w:rPr>
      </w:pPr>
    </w:p>
    <w:p w14:paraId="10822FC4">
      <w:pPr>
        <w:tabs>
          <w:tab w:val="left" w:pos="4860"/>
        </w:tabs>
        <w:spacing w:line="588" w:lineRule="exact"/>
        <w:ind w:right="1560" w:firstLine="504" w:firstLineChars="200"/>
        <w:jc w:val="center"/>
        <w:outlineLvl w:val="9"/>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单位名称（单位电子签章）：</w:t>
      </w:r>
    </w:p>
    <w:p w14:paraId="0A4CF5E1">
      <w:pPr>
        <w:tabs>
          <w:tab w:val="left" w:pos="4860"/>
        </w:tabs>
        <w:spacing w:line="588" w:lineRule="exact"/>
        <w:ind w:right="1560" w:firstLine="504" w:firstLineChars="200"/>
        <w:jc w:val="center"/>
        <w:outlineLvl w:val="9"/>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日  期：</w:t>
      </w:r>
    </w:p>
    <w:p w14:paraId="5753319A">
      <w:pPr>
        <w:spacing w:before="78" w:line="220" w:lineRule="auto"/>
        <w:ind w:left="481"/>
        <w:rPr>
          <w:rFonts w:ascii="宋体" w:hAnsi="宋体" w:eastAsia="宋体" w:cs="宋体"/>
          <w:spacing w:val="-4"/>
          <w:sz w:val="24"/>
          <w:szCs w:val="24"/>
          <w:highlight w:val="none"/>
        </w:rPr>
      </w:pPr>
    </w:p>
    <w:p w14:paraId="225A86DA">
      <w:pPr>
        <w:spacing w:before="78" w:line="220" w:lineRule="auto"/>
        <w:ind w:left="481"/>
        <w:rPr>
          <w:rFonts w:ascii="宋体" w:hAnsi="宋体" w:eastAsia="宋体" w:cs="宋体"/>
          <w:spacing w:val="-4"/>
          <w:sz w:val="24"/>
          <w:szCs w:val="24"/>
          <w:highlight w:val="none"/>
        </w:rPr>
      </w:pPr>
    </w:p>
    <w:p w14:paraId="23940896">
      <w:pPr>
        <w:spacing w:before="78" w:line="220" w:lineRule="auto"/>
        <w:ind w:left="481"/>
        <w:rPr>
          <w:rFonts w:ascii="宋体" w:hAnsi="宋体" w:eastAsia="宋体" w:cs="宋体"/>
          <w:spacing w:val="-4"/>
          <w:sz w:val="24"/>
          <w:szCs w:val="24"/>
          <w:highlight w:val="none"/>
        </w:rPr>
      </w:pPr>
      <w:r>
        <w:rPr>
          <w:rFonts w:ascii="宋体" w:hAnsi="宋体" w:eastAsia="宋体" w:cs="宋体"/>
          <w:spacing w:val="-4"/>
          <w:sz w:val="24"/>
          <w:szCs w:val="24"/>
          <w:highlight w:val="none"/>
        </w:rPr>
        <w:t>注：根据企业自身情况，填写此表；</w:t>
      </w:r>
    </w:p>
    <w:p w14:paraId="0B4C71A8">
      <w:pPr>
        <w:rPr>
          <w:rFonts w:ascii="宋体" w:hAnsi="宋体" w:eastAsia="宋体" w:cs="宋体"/>
          <w:spacing w:val="-4"/>
          <w:sz w:val="24"/>
          <w:szCs w:val="24"/>
          <w:highlight w:val="none"/>
        </w:rPr>
      </w:pPr>
      <w:r>
        <w:rPr>
          <w:rFonts w:ascii="宋体" w:hAnsi="宋体" w:eastAsia="宋体" w:cs="宋体"/>
          <w:spacing w:val="-4"/>
          <w:sz w:val="24"/>
          <w:szCs w:val="24"/>
          <w:highlight w:val="none"/>
        </w:rPr>
        <w:br w:type="page"/>
      </w:r>
    </w:p>
    <w:p w14:paraId="577EBEF6">
      <w:pPr>
        <w:spacing w:before="47" w:line="220" w:lineRule="auto"/>
        <w:jc w:val="cente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监狱企业声明函（如有）</w:t>
      </w:r>
    </w:p>
    <w:p w14:paraId="76B2C00F">
      <w:pPr>
        <w:spacing w:before="256" w:line="452" w:lineRule="auto"/>
        <w:ind w:firstLine="505"/>
        <w:jc w:val="both"/>
        <w:rPr>
          <w:rFonts w:ascii="宋体" w:hAnsi="宋体" w:eastAsia="宋体" w:cs="宋体"/>
          <w:sz w:val="24"/>
          <w:szCs w:val="24"/>
          <w:highlight w:val="none"/>
        </w:rPr>
      </w:pPr>
      <w:r>
        <w:rPr>
          <w:rFonts w:ascii="宋体" w:hAnsi="宋体" w:eastAsia="宋体" w:cs="宋体"/>
          <w:spacing w:val="12"/>
          <w:sz w:val="24"/>
          <w:szCs w:val="24"/>
          <w:highlight w:val="none"/>
        </w:rPr>
        <w:t>本单位郑重声明，根据财政部司法部《关于政府采购支持监狱企业发展有关问题的通</w:t>
      </w:r>
      <w:r>
        <w:rPr>
          <w:rFonts w:ascii="宋体" w:hAnsi="宋体" w:eastAsia="宋体" w:cs="宋体"/>
          <w:spacing w:val="16"/>
          <w:sz w:val="24"/>
          <w:szCs w:val="24"/>
          <w:highlight w:val="none"/>
        </w:rPr>
        <w:t xml:space="preserve"> </w:t>
      </w:r>
      <w:r>
        <w:rPr>
          <w:rFonts w:ascii="宋体" w:hAnsi="宋体" w:eastAsia="宋体" w:cs="宋体"/>
          <w:spacing w:val="-8"/>
          <w:sz w:val="24"/>
          <w:szCs w:val="24"/>
          <w:highlight w:val="none"/>
        </w:rPr>
        <w:t>知》（财库〔2014〕68</w:t>
      </w:r>
      <w:r>
        <w:rPr>
          <w:rFonts w:ascii="宋体" w:hAnsi="宋体" w:eastAsia="宋体" w:cs="宋体"/>
          <w:spacing w:val="-38"/>
          <w:sz w:val="24"/>
          <w:szCs w:val="24"/>
          <w:highlight w:val="none"/>
        </w:rPr>
        <w:t xml:space="preserve"> </w:t>
      </w:r>
      <w:r>
        <w:rPr>
          <w:rFonts w:ascii="宋体" w:hAnsi="宋体" w:eastAsia="宋体" w:cs="宋体"/>
          <w:spacing w:val="-8"/>
          <w:sz w:val="24"/>
          <w:szCs w:val="24"/>
          <w:highlight w:val="none"/>
        </w:rPr>
        <w:t>号）的规定，本单位为符合条件的监狱企业，且本单位</w:t>
      </w:r>
      <w:r>
        <w:rPr>
          <w:rFonts w:ascii="宋体" w:hAnsi="宋体" w:eastAsia="宋体" w:cs="宋体"/>
          <w:spacing w:val="-9"/>
          <w:sz w:val="24"/>
          <w:szCs w:val="24"/>
          <w:highlight w:val="none"/>
        </w:rPr>
        <w:t>参加</w:t>
      </w:r>
      <w:r>
        <w:rPr>
          <w:rFonts w:ascii="宋体" w:hAnsi="宋体" w:eastAsia="宋体" w:cs="宋体"/>
          <w:spacing w:val="-101"/>
          <w:sz w:val="24"/>
          <w:szCs w:val="24"/>
          <w:highlight w:val="none"/>
        </w:rPr>
        <w:t xml:space="preserve"> </w:t>
      </w:r>
      <w:r>
        <w:rPr>
          <w:rFonts w:ascii="宋体" w:hAnsi="宋体" w:eastAsia="宋体" w:cs="宋体"/>
          <w:spacing w:val="12"/>
          <w:sz w:val="24"/>
          <w:szCs w:val="24"/>
          <w:highlight w:val="none"/>
          <w:u w:val="single" w:color="auto"/>
        </w:rPr>
        <w:t xml:space="preserve">         </w:t>
      </w:r>
      <w:r>
        <w:rPr>
          <w:rFonts w:ascii="宋体" w:hAnsi="宋体" w:eastAsia="宋体" w:cs="宋体"/>
          <w:spacing w:val="-108"/>
          <w:sz w:val="24"/>
          <w:szCs w:val="24"/>
          <w:highlight w:val="none"/>
        </w:rPr>
        <w:t xml:space="preserve"> </w:t>
      </w:r>
      <w:r>
        <w:rPr>
          <w:rFonts w:ascii="宋体" w:hAnsi="宋体" w:eastAsia="宋体" w:cs="宋体"/>
          <w:spacing w:val="-9"/>
          <w:sz w:val="24"/>
          <w:szCs w:val="24"/>
          <w:highlight w:val="none"/>
        </w:rPr>
        <w:t>单</w:t>
      </w:r>
      <w:r>
        <w:rPr>
          <w:rFonts w:ascii="宋体" w:hAnsi="宋体" w:eastAsia="宋体" w:cs="宋体"/>
          <w:sz w:val="24"/>
          <w:szCs w:val="24"/>
          <w:highlight w:val="none"/>
        </w:rPr>
        <w:t xml:space="preserve"> </w:t>
      </w:r>
      <w:r>
        <w:rPr>
          <w:rFonts w:ascii="宋体" w:hAnsi="宋体" w:eastAsia="宋体" w:cs="宋体"/>
          <w:spacing w:val="10"/>
          <w:sz w:val="24"/>
          <w:szCs w:val="24"/>
          <w:highlight w:val="none"/>
        </w:rPr>
        <w:t>位的</w:t>
      </w:r>
      <w:r>
        <w:rPr>
          <w:rFonts w:ascii="宋体" w:hAnsi="宋体" w:eastAsia="宋体" w:cs="宋体"/>
          <w:spacing w:val="-107"/>
          <w:sz w:val="24"/>
          <w:szCs w:val="24"/>
          <w:highlight w:val="none"/>
        </w:rPr>
        <w:t xml:space="preserve"> </w:t>
      </w:r>
      <w:r>
        <w:rPr>
          <w:rFonts w:ascii="宋体" w:hAnsi="宋体" w:eastAsia="宋体" w:cs="宋体"/>
          <w:spacing w:val="12"/>
          <w:sz w:val="24"/>
          <w:szCs w:val="24"/>
          <w:highlight w:val="none"/>
          <w:u w:val="single" w:color="auto"/>
        </w:rPr>
        <w:t xml:space="preserve">       </w:t>
      </w:r>
      <w:r>
        <w:rPr>
          <w:rFonts w:ascii="宋体" w:hAnsi="宋体" w:eastAsia="宋体" w:cs="宋体"/>
          <w:spacing w:val="-107"/>
          <w:sz w:val="24"/>
          <w:szCs w:val="24"/>
          <w:highlight w:val="none"/>
        </w:rPr>
        <w:t xml:space="preserve"> </w:t>
      </w:r>
      <w:r>
        <w:rPr>
          <w:rFonts w:ascii="宋体" w:hAnsi="宋体" w:eastAsia="宋体" w:cs="宋体"/>
          <w:spacing w:val="10"/>
          <w:sz w:val="24"/>
          <w:szCs w:val="24"/>
          <w:highlight w:val="none"/>
        </w:rPr>
        <w:t>项目采购活动提供本单位</w:t>
      </w:r>
      <w:r>
        <w:rPr>
          <w:rFonts w:hint="eastAsia" w:ascii="宋体" w:hAnsi="宋体" w:cs="宋体"/>
          <w:spacing w:val="10"/>
          <w:sz w:val="24"/>
          <w:szCs w:val="24"/>
          <w:highlight w:val="none"/>
          <w:lang w:val="en-US" w:eastAsia="zh-CN"/>
        </w:rPr>
        <w:t>制造</w:t>
      </w:r>
      <w:r>
        <w:rPr>
          <w:rFonts w:ascii="宋体" w:hAnsi="宋体" w:eastAsia="宋体" w:cs="宋体"/>
          <w:spacing w:val="10"/>
          <w:sz w:val="24"/>
          <w:szCs w:val="24"/>
          <w:highlight w:val="none"/>
        </w:rPr>
        <w:t>的</w:t>
      </w:r>
      <w:r>
        <w:rPr>
          <w:rFonts w:hint="eastAsia" w:ascii="宋体" w:hAnsi="宋体" w:cs="宋体"/>
          <w:spacing w:val="10"/>
          <w:sz w:val="24"/>
          <w:szCs w:val="24"/>
          <w:highlight w:val="none"/>
          <w:lang w:val="en-US" w:eastAsia="zh-CN"/>
        </w:rPr>
        <w:t>货物</w:t>
      </w:r>
      <w:r>
        <w:rPr>
          <w:rFonts w:ascii="宋体" w:hAnsi="宋体" w:eastAsia="宋体" w:cs="宋体"/>
          <w:spacing w:val="10"/>
          <w:sz w:val="24"/>
          <w:szCs w:val="24"/>
          <w:highlight w:val="none"/>
        </w:rPr>
        <w:t>，或者提供其</w:t>
      </w:r>
      <w:r>
        <w:rPr>
          <w:rFonts w:ascii="宋体" w:hAnsi="宋体" w:eastAsia="宋体" w:cs="宋体"/>
          <w:spacing w:val="9"/>
          <w:sz w:val="24"/>
          <w:szCs w:val="24"/>
          <w:highlight w:val="none"/>
        </w:rPr>
        <w:t>他残疾人福利性单位的</w:t>
      </w:r>
      <w:r>
        <w:rPr>
          <w:rFonts w:hint="eastAsia" w:ascii="宋体" w:hAnsi="宋体" w:cs="宋体"/>
          <w:spacing w:val="9"/>
          <w:sz w:val="24"/>
          <w:szCs w:val="24"/>
          <w:highlight w:val="none"/>
          <w:lang w:val="en-US" w:eastAsia="zh-CN"/>
        </w:rPr>
        <w:t>制造的货物</w:t>
      </w:r>
      <w:r>
        <w:rPr>
          <w:rFonts w:ascii="宋体" w:hAnsi="宋体" w:eastAsia="宋体" w:cs="宋体"/>
          <w:spacing w:val="9"/>
          <w:sz w:val="24"/>
          <w:szCs w:val="24"/>
          <w:highlight w:val="none"/>
        </w:rPr>
        <w:t>。</w:t>
      </w:r>
    </w:p>
    <w:p w14:paraId="37251B26">
      <w:pPr>
        <w:spacing w:before="1" w:line="218" w:lineRule="auto"/>
        <w:ind w:left="505"/>
        <w:rPr>
          <w:rFonts w:ascii="宋体" w:hAnsi="宋体" w:eastAsia="宋体" w:cs="宋体"/>
          <w:sz w:val="24"/>
          <w:szCs w:val="24"/>
          <w:highlight w:val="none"/>
        </w:rPr>
      </w:pPr>
      <w:r>
        <w:rPr>
          <w:rFonts w:ascii="宋体" w:hAnsi="宋体" w:eastAsia="宋体" w:cs="宋体"/>
          <w:spacing w:val="10"/>
          <w:sz w:val="24"/>
          <w:szCs w:val="24"/>
          <w:highlight w:val="none"/>
        </w:rPr>
        <w:t>本单位对上述声明的真实性负责。如有虚假，将依法承担相应责任。</w:t>
      </w:r>
    </w:p>
    <w:p w14:paraId="258A3B14">
      <w:pPr>
        <w:pStyle w:val="17"/>
        <w:spacing w:line="259" w:lineRule="auto"/>
        <w:rPr>
          <w:highlight w:val="none"/>
        </w:rPr>
      </w:pPr>
    </w:p>
    <w:p w14:paraId="7B75B128">
      <w:pPr>
        <w:pStyle w:val="17"/>
        <w:spacing w:line="259" w:lineRule="auto"/>
        <w:rPr>
          <w:highlight w:val="none"/>
        </w:rPr>
      </w:pPr>
    </w:p>
    <w:p w14:paraId="70AC524B">
      <w:pPr>
        <w:pStyle w:val="17"/>
        <w:spacing w:line="259" w:lineRule="auto"/>
        <w:rPr>
          <w:highlight w:val="none"/>
        </w:rPr>
      </w:pPr>
    </w:p>
    <w:p w14:paraId="1B4031B2">
      <w:pPr>
        <w:pStyle w:val="17"/>
        <w:spacing w:line="259" w:lineRule="auto"/>
        <w:rPr>
          <w:highlight w:val="none"/>
        </w:rPr>
      </w:pPr>
    </w:p>
    <w:p w14:paraId="3F52BC54">
      <w:pPr>
        <w:pStyle w:val="17"/>
        <w:spacing w:line="259" w:lineRule="auto"/>
        <w:rPr>
          <w:highlight w:val="none"/>
        </w:rPr>
      </w:pPr>
    </w:p>
    <w:p w14:paraId="2F9A163C">
      <w:pPr>
        <w:spacing w:before="78" w:line="219" w:lineRule="auto"/>
        <w:ind w:left="2220"/>
        <w:rPr>
          <w:rFonts w:ascii="宋体" w:hAnsi="宋体" w:eastAsia="宋体" w:cs="宋体"/>
          <w:sz w:val="24"/>
          <w:szCs w:val="24"/>
          <w:highlight w:val="none"/>
        </w:rPr>
      </w:pPr>
      <w:r>
        <w:rPr>
          <w:rFonts w:ascii="宋体" w:hAnsi="宋体" w:eastAsia="宋体" w:cs="宋体"/>
          <w:spacing w:val="1"/>
          <w:sz w:val="24"/>
          <w:szCs w:val="24"/>
          <w:highlight w:val="none"/>
        </w:rPr>
        <w:t>供应商名称</w:t>
      </w:r>
      <w:r>
        <w:rPr>
          <w:rFonts w:ascii="宋体" w:hAnsi="宋体" w:eastAsia="宋体" w:cs="宋体"/>
          <w:spacing w:val="-17"/>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17"/>
          <w:sz w:val="24"/>
          <w:szCs w:val="24"/>
          <w:highlight w:val="none"/>
        </w:rPr>
        <w:t>（</w:t>
      </w:r>
      <w:r>
        <w:rPr>
          <w:rFonts w:ascii="宋体" w:hAnsi="宋体" w:eastAsia="宋体" w:cs="宋体"/>
          <w:spacing w:val="1"/>
          <w:sz w:val="24"/>
          <w:szCs w:val="24"/>
          <w:highlight w:val="none"/>
        </w:rPr>
        <w:t>单位盖章）</w:t>
      </w:r>
    </w:p>
    <w:p w14:paraId="007FD9AB">
      <w:pPr>
        <w:spacing w:before="283" w:line="220" w:lineRule="auto"/>
        <w:ind w:left="4482"/>
        <w:rPr>
          <w:rFonts w:ascii="宋体" w:hAnsi="宋体" w:eastAsia="宋体" w:cs="宋体"/>
          <w:sz w:val="24"/>
          <w:szCs w:val="24"/>
          <w:highlight w:val="none"/>
        </w:rPr>
      </w:pPr>
      <w:r>
        <w:rPr>
          <w:rFonts w:ascii="宋体" w:hAnsi="宋体" w:eastAsia="宋体" w:cs="宋体"/>
          <w:spacing w:val="-13"/>
          <w:sz w:val="24"/>
          <w:szCs w:val="24"/>
          <w:highlight w:val="none"/>
        </w:rPr>
        <w:t>日期：</w:t>
      </w:r>
      <w:r>
        <w:rPr>
          <w:rFonts w:ascii="宋体" w:hAnsi="宋体" w:eastAsia="宋体" w:cs="宋体"/>
          <w:sz w:val="24"/>
          <w:szCs w:val="24"/>
          <w:highlight w:val="none"/>
          <w:u w:val="single" w:color="auto"/>
        </w:rPr>
        <w:t xml:space="preserve">   </w:t>
      </w:r>
      <w:r>
        <w:rPr>
          <w:rFonts w:ascii="宋体" w:hAnsi="宋体" w:eastAsia="宋体" w:cs="宋体"/>
          <w:spacing w:val="-109"/>
          <w:sz w:val="24"/>
          <w:szCs w:val="24"/>
          <w:highlight w:val="none"/>
        </w:rPr>
        <w:t xml:space="preserve"> </w:t>
      </w:r>
      <w:r>
        <w:rPr>
          <w:rFonts w:ascii="宋体" w:hAnsi="宋体" w:eastAsia="宋体" w:cs="宋体"/>
          <w:spacing w:val="-13"/>
          <w:sz w:val="24"/>
          <w:szCs w:val="24"/>
          <w:highlight w:val="none"/>
        </w:rPr>
        <w:t>年</w:t>
      </w:r>
      <w:r>
        <w:rPr>
          <w:rFonts w:ascii="宋体" w:hAnsi="宋体" w:eastAsia="宋体" w:cs="宋体"/>
          <w:spacing w:val="-120"/>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105"/>
          <w:sz w:val="24"/>
          <w:szCs w:val="24"/>
          <w:highlight w:val="none"/>
        </w:rPr>
        <w:t xml:space="preserve"> </w:t>
      </w:r>
      <w:r>
        <w:rPr>
          <w:rFonts w:ascii="宋体" w:hAnsi="宋体" w:eastAsia="宋体" w:cs="宋体"/>
          <w:spacing w:val="-13"/>
          <w:sz w:val="24"/>
          <w:szCs w:val="24"/>
          <w:highlight w:val="none"/>
        </w:rPr>
        <w:t>月</w:t>
      </w:r>
      <w:r>
        <w:rPr>
          <w:rFonts w:ascii="宋体" w:hAnsi="宋体" w:eastAsia="宋体" w:cs="宋体"/>
          <w:sz w:val="24"/>
          <w:szCs w:val="24"/>
          <w:highlight w:val="none"/>
          <w:u w:val="single" w:color="auto"/>
        </w:rPr>
        <w:t xml:space="preserve">   </w:t>
      </w:r>
      <w:r>
        <w:rPr>
          <w:rFonts w:ascii="宋体" w:hAnsi="宋体" w:eastAsia="宋体" w:cs="宋体"/>
          <w:spacing w:val="-69"/>
          <w:sz w:val="24"/>
          <w:szCs w:val="24"/>
          <w:highlight w:val="none"/>
        </w:rPr>
        <w:t xml:space="preserve"> </w:t>
      </w:r>
      <w:r>
        <w:rPr>
          <w:rFonts w:ascii="宋体" w:hAnsi="宋体" w:eastAsia="宋体" w:cs="宋体"/>
          <w:spacing w:val="-13"/>
          <w:sz w:val="24"/>
          <w:szCs w:val="24"/>
          <w:highlight w:val="none"/>
        </w:rPr>
        <w:t>日</w:t>
      </w:r>
    </w:p>
    <w:p w14:paraId="4E1E61A4">
      <w:pPr>
        <w:pStyle w:val="17"/>
        <w:spacing w:line="279" w:lineRule="auto"/>
        <w:rPr>
          <w:highlight w:val="none"/>
        </w:rPr>
      </w:pPr>
    </w:p>
    <w:p w14:paraId="2A2A4F86">
      <w:pPr>
        <w:pStyle w:val="17"/>
        <w:spacing w:line="279" w:lineRule="auto"/>
        <w:rPr>
          <w:highlight w:val="none"/>
        </w:rPr>
      </w:pPr>
    </w:p>
    <w:p w14:paraId="379EB62F">
      <w:pPr>
        <w:pStyle w:val="17"/>
        <w:spacing w:line="279" w:lineRule="auto"/>
        <w:rPr>
          <w:highlight w:val="none"/>
        </w:rPr>
      </w:pPr>
    </w:p>
    <w:p w14:paraId="3BA2478C">
      <w:pPr>
        <w:pStyle w:val="17"/>
        <w:spacing w:line="279" w:lineRule="auto"/>
        <w:rPr>
          <w:highlight w:val="none"/>
        </w:rPr>
      </w:pPr>
    </w:p>
    <w:p w14:paraId="7CA5C50B">
      <w:pPr>
        <w:pStyle w:val="17"/>
        <w:spacing w:line="280" w:lineRule="auto"/>
        <w:rPr>
          <w:highlight w:val="none"/>
        </w:rPr>
      </w:pPr>
    </w:p>
    <w:p w14:paraId="551764C9">
      <w:pPr>
        <w:spacing w:after="758" w:afterLines="200"/>
        <w:outlineLvl w:val="9"/>
        <w:rPr>
          <w:rFonts w:hint="eastAsia" w:ascii="宋体" w:hAnsi="宋体" w:eastAsia="宋体" w:cs="宋体"/>
          <w:b/>
          <w:color w:val="auto"/>
          <w:sz w:val="30"/>
          <w:szCs w:val="30"/>
          <w:highlight w:val="none"/>
        </w:rPr>
      </w:pPr>
      <w:r>
        <w:rPr>
          <w:rFonts w:ascii="宋体" w:hAnsi="宋体" w:eastAsia="宋体" w:cs="宋体"/>
          <w:spacing w:val="-4"/>
          <w:sz w:val="24"/>
          <w:szCs w:val="24"/>
          <w:highlight w:val="none"/>
        </w:rPr>
        <w:t>注：根据企业自身情况，填写此表</w:t>
      </w:r>
    </w:p>
    <w:p w14:paraId="421E4565">
      <w:pPr>
        <w:spacing w:after="758" w:afterLines="200"/>
        <w:ind w:firstLine="2259" w:firstLineChars="750"/>
        <w:outlineLvl w:val="9"/>
        <w:rPr>
          <w:rFonts w:hint="eastAsia" w:ascii="宋体" w:hAnsi="宋体" w:eastAsia="宋体" w:cs="宋体"/>
          <w:b/>
          <w:color w:val="auto"/>
          <w:sz w:val="30"/>
          <w:szCs w:val="30"/>
          <w:highlight w:val="none"/>
        </w:rPr>
      </w:pPr>
    </w:p>
    <w:p w14:paraId="17420202">
      <w:pPr>
        <w:spacing w:after="758" w:afterLines="200"/>
        <w:ind w:firstLine="2259" w:firstLineChars="750"/>
        <w:outlineLvl w:val="9"/>
        <w:rPr>
          <w:rFonts w:hint="eastAsia" w:ascii="宋体" w:hAnsi="宋体" w:eastAsia="宋体" w:cs="宋体"/>
          <w:b/>
          <w:color w:val="auto"/>
          <w:sz w:val="30"/>
          <w:szCs w:val="30"/>
          <w:highlight w:val="none"/>
        </w:rPr>
      </w:pPr>
    </w:p>
    <w:bookmarkEnd w:id="363"/>
    <w:bookmarkEnd w:id="379"/>
    <w:bookmarkEnd w:id="380"/>
    <w:p w14:paraId="3B440FF0">
      <w:pPr>
        <w:pStyle w:val="3"/>
        <w:bidi w:val="0"/>
        <w:rPr>
          <w:rFonts w:hint="eastAsia" w:ascii="宋体" w:hAnsi="宋体" w:eastAsia="宋体" w:cs="宋体"/>
          <w:color w:val="auto"/>
          <w:highlight w:val="none"/>
          <w:lang w:val="en-US" w:eastAsia="zh-CN"/>
        </w:rPr>
      </w:pPr>
      <w:bookmarkStart w:id="381" w:name="_Toc20627"/>
      <w:bookmarkStart w:id="382" w:name="_Toc16608"/>
      <w:bookmarkStart w:id="383" w:name="_Toc18605"/>
      <w:r>
        <w:rPr>
          <w:rFonts w:hint="eastAsia" w:ascii="宋体" w:hAnsi="宋体" w:eastAsia="宋体" w:cs="宋体"/>
          <w:color w:val="auto"/>
          <w:highlight w:val="none"/>
          <w:lang w:val="en-US" w:eastAsia="zh-CN"/>
        </w:rPr>
        <w:t>十</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、招标文件要求的或投标人认为须提交的其他材料</w:t>
      </w:r>
      <w:bookmarkEnd w:id="381"/>
      <w:bookmarkEnd w:id="382"/>
      <w:bookmarkEnd w:id="383"/>
    </w:p>
    <w:p w14:paraId="287E77F6">
      <w:pPr>
        <w:spacing w:line="360" w:lineRule="auto"/>
        <w:outlineLvl w:val="9"/>
        <w:rPr>
          <w:rFonts w:hint="eastAsia" w:ascii="宋体" w:hAnsi="宋体" w:eastAsia="宋体" w:cs="宋体"/>
          <w:color w:val="auto"/>
          <w:sz w:val="24"/>
          <w:highlight w:val="none"/>
          <w:shd w:val="clear" w:color="FFFFFF" w:fill="D9D9D9"/>
        </w:rPr>
      </w:pPr>
    </w:p>
    <w:p w14:paraId="02D6F840">
      <w:pPr>
        <w:spacing w:line="6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招标文件规定的其他资料及投标人认为需要提交的其他材料</w:t>
      </w:r>
      <w:r>
        <w:rPr>
          <w:rFonts w:hint="eastAsia" w:ascii="宋体" w:hAnsi="宋体" w:eastAsia="宋体" w:cs="宋体"/>
          <w:color w:val="auto"/>
          <w:sz w:val="24"/>
          <w:szCs w:val="24"/>
          <w:highlight w:val="none"/>
          <w:lang w:eastAsia="zh-CN"/>
        </w:rPr>
        <w:t>）</w:t>
      </w:r>
    </w:p>
    <w:p w14:paraId="79D049F9">
      <w:pPr>
        <w:spacing w:line="600" w:lineRule="exact"/>
        <w:ind w:firstLine="600" w:firstLineChars="200"/>
        <w:outlineLvl w:val="9"/>
        <w:rPr>
          <w:rFonts w:hint="eastAsia" w:ascii="宋体" w:hAnsi="宋体" w:eastAsia="宋体" w:cs="宋体"/>
          <w:color w:val="auto"/>
          <w:sz w:val="30"/>
          <w:szCs w:val="30"/>
          <w:highlight w:val="none"/>
        </w:rPr>
      </w:pPr>
    </w:p>
    <w:p w14:paraId="3DFD8B8B">
      <w:pPr>
        <w:widowControl/>
        <w:spacing w:line="580" w:lineRule="atLeast"/>
        <w:jc w:val="center"/>
        <w:outlineLvl w:val="9"/>
        <w:rPr>
          <w:rFonts w:hint="eastAsia" w:ascii="宋体" w:hAnsi="宋体" w:eastAsia="宋体" w:cs="宋体"/>
          <w:b/>
          <w:color w:val="auto"/>
          <w:kern w:val="0"/>
          <w:sz w:val="32"/>
          <w:szCs w:val="32"/>
          <w:highlight w:val="none"/>
        </w:rPr>
      </w:pPr>
    </w:p>
    <w:p w14:paraId="0AFB6E45">
      <w:pPr>
        <w:spacing w:line="440" w:lineRule="exact"/>
        <w:outlineLvl w:val="9"/>
        <w:rPr>
          <w:rFonts w:hint="eastAsia" w:ascii="宋体" w:hAnsi="宋体" w:eastAsia="宋体" w:cs="宋体"/>
          <w:b/>
          <w:color w:val="auto"/>
          <w:sz w:val="36"/>
          <w:szCs w:val="36"/>
          <w:highlight w:val="none"/>
        </w:rPr>
      </w:pPr>
    </w:p>
    <w:p w14:paraId="7B7B1D24">
      <w:pPr>
        <w:spacing w:line="440" w:lineRule="exact"/>
        <w:jc w:val="center"/>
        <w:outlineLvl w:val="9"/>
        <w:rPr>
          <w:rFonts w:hint="eastAsia" w:ascii="宋体" w:hAnsi="宋体" w:eastAsia="宋体" w:cs="宋体"/>
          <w:b/>
          <w:color w:val="auto"/>
          <w:sz w:val="36"/>
          <w:szCs w:val="36"/>
          <w:highlight w:val="none"/>
        </w:rPr>
      </w:pPr>
    </w:p>
    <w:p w14:paraId="67AF6663">
      <w:pPr>
        <w:outlineLvl w:val="9"/>
        <w:rPr>
          <w:rFonts w:hint="eastAsia" w:ascii="宋体" w:hAnsi="宋体" w:eastAsia="宋体" w:cs="宋体"/>
          <w:color w:val="auto"/>
          <w:sz w:val="36"/>
          <w:szCs w:val="36"/>
          <w:highlight w:val="none"/>
        </w:rPr>
      </w:pPr>
    </w:p>
    <w:p w14:paraId="24F686F2">
      <w:pPr>
        <w:outlineLvl w:val="9"/>
        <w:rPr>
          <w:rFonts w:hint="eastAsia" w:ascii="宋体" w:hAnsi="宋体" w:eastAsia="宋体" w:cs="宋体"/>
          <w:b/>
          <w:color w:val="auto"/>
          <w:sz w:val="36"/>
          <w:szCs w:val="36"/>
          <w:highlight w:val="none"/>
        </w:rPr>
      </w:pPr>
    </w:p>
    <w:p w14:paraId="7F10C86F">
      <w:pPr>
        <w:spacing w:line="440" w:lineRule="exact"/>
        <w:jc w:val="center"/>
        <w:outlineLvl w:val="9"/>
        <w:rPr>
          <w:rFonts w:hint="eastAsia" w:ascii="宋体" w:hAnsi="宋体" w:eastAsia="宋体" w:cs="宋体"/>
          <w:b/>
          <w:color w:val="auto"/>
          <w:sz w:val="36"/>
          <w:szCs w:val="36"/>
          <w:highlight w:val="none"/>
        </w:rPr>
      </w:pPr>
    </w:p>
    <w:p w14:paraId="605680E7">
      <w:pPr>
        <w:outlineLvl w:val="9"/>
        <w:rPr>
          <w:rFonts w:hint="eastAsia" w:ascii="宋体" w:hAnsi="宋体" w:eastAsia="宋体" w:cs="宋体"/>
          <w:color w:val="auto"/>
          <w:highlight w:val="none"/>
        </w:rPr>
      </w:pPr>
    </w:p>
    <w:p w14:paraId="1FD3D9C3">
      <w:pPr>
        <w:pStyle w:val="44"/>
        <w:outlineLvl w:val="9"/>
        <w:rPr>
          <w:rFonts w:hint="eastAsia" w:ascii="宋体" w:hAnsi="宋体" w:eastAsia="宋体" w:cs="宋体"/>
          <w:color w:val="auto"/>
          <w:highlight w:val="none"/>
        </w:rPr>
      </w:pPr>
    </w:p>
    <w:p w14:paraId="5EEE5A50">
      <w:pPr>
        <w:pStyle w:val="46"/>
        <w:outlineLvl w:val="9"/>
        <w:rPr>
          <w:rFonts w:hint="eastAsia" w:ascii="宋体" w:hAnsi="宋体" w:eastAsia="宋体" w:cs="宋体"/>
          <w:color w:val="auto"/>
          <w:highlight w:val="none"/>
        </w:rPr>
      </w:pPr>
    </w:p>
    <w:p w14:paraId="6BCBE942">
      <w:pPr>
        <w:pStyle w:val="47"/>
        <w:outlineLvl w:val="9"/>
        <w:rPr>
          <w:rFonts w:hint="eastAsia" w:ascii="宋体" w:hAnsi="宋体" w:eastAsia="宋体" w:cs="宋体"/>
          <w:color w:val="auto"/>
          <w:highlight w:val="none"/>
        </w:rPr>
      </w:pPr>
    </w:p>
    <w:p w14:paraId="21586EF3">
      <w:pPr>
        <w:pStyle w:val="48"/>
        <w:outlineLvl w:val="9"/>
        <w:rPr>
          <w:rFonts w:hint="eastAsia" w:ascii="宋体" w:hAnsi="宋体" w:eastAsia="宋体" w:cs="宋体"/>
          <w:color w:val="auto"/>
          <w:highlight w:val="none"/>
        </w:rPr>
      </w:pPr>
    </w:p>
    <w:p w14:paraId="307FB793">
      <w:pPr>
        <w:outlineLvl w:val="9"/>
        <w:rPr>
          <w:rFonts w:hint="eastAsia" w:ascii="宋体" w:hAnsi="宋体" w:eastAsia="宋体" w:cs="宋体"/>
          <w:color w:val="auto"/>
          <w:highlight w:val="none"/>
        </w:rPr>
      </w:pPr>
    </w:p>
    <w:p w14:paraId="65D40E8B">
      <w:pPr>
        <w:pStyle w:val="44"/>
        <w:outlineLvl w:val="9"/>
        <w:rPr>
          <w:rFonts w:hint="eastAsia" w:ascii="宋体" w:hAnsi="宋体" w:eastAsia="宋体" w:cs="宋体"/>
          <w:color w:val="auto"/>
          <w:highlight w:val="none"/>
        </w:rPr>
      </w:pPr>
    </w:p>
    <w:p w14:paraId="6752C3F4">
      <w:pPr>
        <w:pStyle w:val="46"/>
        <w:outlineLvl w:val="9"/>
        <w:rPr>
          <w:rFonts w:hint="eastAsia" w:ascii="宋体" w:hAnsi="宋体" w:eastAsia="宋体" w:cs="宋体"/>
          <w:color w:val="auto"/>
          <w:highlight w:val="none"/>
        </w:rPr>
      </w:pPr>
    </w:p>
    <w:p w14:paraId="0BC8560F">
      <w:pPr>
        <w:pStyle w:val="47"/>
        <w:outlineLvl w:val="9"/>
        <w:rPr>
          <w:rFonts w:hint="eastAsia" w:ascii="宋体" w:hAnsi="宋体" w:eastAsia="宋体" w:cs="宋体"/>
          <w:color w:val="auto"/>
          <w:highlight w:val="none"/>
        </w:rPr>
      </w:pPr>
    </w:p>
    <w:p w14:paraId="1E6E2A8F">
      <w:pPr>
        <w:pStyle w:val="48"/>
        <w:outlineLvl w:val="9"/>
        <w:rPr>
          <w:rFonts w:hint="eastAsia" w:ascii="宋体" w:hAnsi="宋体" w:eastAsia="宋体" w:cs="宋体"/>
          <w:color w:val="auto"/>
          <w:highlight w:val="none"/>
        </w:rPr>
      </w:pPr>
    </w:p>
    <w:p w14:paraId="060A1EF9">
      <w:pPr>
        <w:outlineLvl w:val="9"/>
        <w:rPr>
          <w:rFonts w:hint="eastAsia" w:ascii="宋体" w:hAnsi="宋体" w:eastAsia="宋体" w:cs="宋体"/>
          <w:color w:val="auto"/>
          <w:highlight w:val="none"/>
        </w:rPr>
      </w:pPr>
    </w:p>
    <w:p w14:paraId="527403C5">
      <w:pPr>
        <w:pStyle w:val="44"/>
        <w:outlineLvl w:val="9"/>
        <w:rPr>
          <w:rFonts w:hint="eastAsia" w:ascii="宋体" w:hAnsi="宋体" w:eastAsia="宋体" w:cs="宋体"/>
          <w:color w:val="auto"/>
          <w:highlight w:val="none"/>
        </w:rPr>
      </w:pPr>
    </w:p>
    <w:p w14:paraId="62051432">
      <w:pPr>
        <w:pStyle w:val="46"/>
        <w:outlineLvl w:val="9"/>
        <w:rPr>
          <w:rFonts w:hint="eastAsia" w:ascii="宋体" w:hAnsi="宋体" w:eastAsia="宋体" w:cs="宋体"/>
          <w:color w:val="auto"/>
          <w:highlight w:val="none"/>
        </w:rPr>
      </w:pPr>
    </w:p>
    <w:p w14:paraId="6A0073BB">
      <w:pPr>
        <w:pStyle w:val="47"/>
        <w:outlineLvl w:val="9"/>
        <w:rPr>
          <w:rFonts w:hint="eastAsia" w:ascii="宋体" w:hAnsi="宋体" w:eastAsia="宋体" w:cs="宋体"/>
          <w:color w:val="auto"/>
          <w:highlight w:val="none"/>
        </w:rPr>
      </w:pPr>
    </w:p>
    <w:p w14:paraId="65DCADC1">
      <w:pPr>
        <w:pStyle w:val="48"/>
        <w:outlineLvl w:val="9"/>
        <w:rPr>
          <w:rFonts w:hint="eastAsia" w:ascii="宋体" w:hAnsi="宋体" w:eastAsia="宋体" w:cs="宋体"/>
          <w:color w:val="auto"/>
          <w:highlight w:val="none"/>
        </w:rPr>
      </w:pPr>
    </w:p>
    <w:p w14:paraId="132AB2CD">
      <w:pPr>
        <w:spacing w:line="360" w:lineRule="auto"/>
        <w:jc w:val="center"/>
        <w:outlineLvl w:val="0"/>
        <w:rPr>
          <w:rFonts w:hint="eastAsia" w:ascii="宋体" w:hAnsi="宋体" w:eastAsia="宋体" w:cs="宋体"/>
          <w:b/>
          <w:color w:val="auto"/>
          <w:sz w:val="36"/>
          <w:szCs w:val="36"/>
          <w:highlight w:val="none"/>
        </w:rPr>
      </w:pPr>
      <w:bookmarkStart w:id="384" w:name="_Toc10128"/>
      <w:r>
        <w:rPr>
          <w:rFonts w:hint="eastAsia" w:ascii="宋体" w:hAnsi="宋体" w:eastAsia="宋体" w:cs="宋体"/>
          <w:b/>
          <w:color w:val="auto"/>
          <w:sz w:val="36"/>
          <w:szCs w:val="36"/>
          <w:highlight w:val="none"/>
        </w:rPr>
        <w:t>优化和提升政府采购政策</w:t>
      </w:r>
      <w:bookmarkEnd w:id="384"/>
    </w:p>
    <w:p w14:paraId="0CE111B7">
      <w:pPr>
        <w:pStyle w:val="44"/>
        <w:outlineLvl w:val="9"/>
        <w:rPr>
          <w:rFonts w:hint="eastAsia" w:ascii="宋体" w:hAnsi="宋体" w:eastAsia="宋体" w:cs="宋体"/>
          <w:color w:val="auto"/>
          <w:highlight w:val="none"/>
        </w:rPr>
      </w:pPr>
    </w:p>
    <w:p w14:paraId="69C5CEE7">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一、全面取消采购文件费用和投标保证金费用。</w:t>
      </w:r>
    </w:p>
    <w:p w14:paraId="39A9455E">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二、免收履约保证金。确因项目需要的，应以保函等非现金形式收取，比例不得超过合同金额的</w:t>
      </w:r>
      <w:r>
        <w:rPr>
          <w:rFonts w:hint="eastAsia" w:ascii="宋体" w:hAnsi="宋体" w:eastAsia="宋体" w:cs="宋体"/>
          <w:color w:val="auto"/>
          <w:sz w:val="24"/>
          <w:highlight w:val="none"/>
          <w:u w:val="single"/>
        </w:rPr>
        <w:t>6%</w:t>
      </w:r>
      <w:r>
        <w:rPr>
          <w:rFonts w:hint="eastAsia" w:ascii="宋体" w:hAnsi="宋体" w:eastAsia="宋体" w:cs="宋体"/>
          <w:color w:val="auto"/>
          <w:sz w:val="24"/>
          <w:highlight w:val="none"/>
        </w:rPr>
        <w:t>，并按约定的时间和条件退还。</w:t>
      </w:r>
    </w:p>
    <w:p w14:paraId="1F9DB39F">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三、评标结果确认时限。自评标（评审）结束后应2个工作日内确定中标投标人，5个工作日内公告结果，同时发送中标通知书。</w:t>
      </w:r>
    </w:p>
    <w:p w14:paraId="74056AD7">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四、合同签订时限。自中标通知书发出之日起</w:t>
      </w:r>
      <w:r>
        <w:rPr>
          <w:rFonts w:hint="eastAsia" w:ascii="宋体" w:hAnsi="宋体" w:eastAsia="宋体" w:cs="宋体"/>
          <w:color w:val="auto"/>
          <w:sz w:val="24"/>
          <w:highlight w:val="none"/>
          <w:u w:val="single"/>
        </w:rPr>
        <w:t>15</w:t>
      </w:r>
      <w:r>
        <w:rPr>
          <w:rFonts w:hint="eastAsia" w:ascii="宋体" w:hAnsi="宋体" w:eastAsia="宋体" w:cs="宋体"/>
          <w:color w:val="auto"/>
          <w:sz w:val="24"/>
          <w:highlight w:val="none"/>
        </w:rPr>
        <w:t xml:space="preserve">日内，按照采购文件和投标文件确定的事项签订政府采购合同。 </w:t>
      </w:r>
    </w:p>
    <w:p w14:paraId="05C8DFED">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五、合同公告和备案时限。自合同签订之日起2个工作日内。</w:t>
      </w:r>
    </w:p>
    <w:p w14:paraId="0F1C328B">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六、项目验收。自收到投标人项目验收建议之日起5个工作日内组织验收；验收结束后2个工作日内出具《验收报告》，并在焦作市政府采购网公告验收结果。</w:t>
      </w:r>
    </w:p>
    <w:p w14:paraId="5C938251">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七、资金支付。按照合同约定的条件及时支付资金，不得因机构变更、人员更替、政策调整等原因拒绝或延迟资金支付。</w:t>
      </w:r>
    </w:p>
    <w:p w14:paraId="3331AABF">
      <w:pPr>
        <w:spacing w:line="360" w:lineRule="auto"/>
        <w:ind w:firstLine="480" w:firstLineChars="200"/>
        <w:outlineLvl w:val="9"/>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在政府采购活动中，若发现采购人或采购代理机构未按以上政策执行的，可向监督部门举报反映。</w:t>
      </w:r>
    </w:p>
    <w:p w14:paraId="6B7C04C3">
      <w:pPr>
        <w:spacing w:line="360" w:lineRule="auto"/>
        <w:ind w:firstLine="480" w:firstLineChars="200"/>
        <w:outlineLvl w:val="9"/>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监督单位：博爱县财政局政府采购监督管理办公室</w:t>
      </w:r>
    </w:p>
    <w:p w14:paraId="0F6B2DD2">
      <w:pPr>
        <w:spacing w:line="360" w:lineRule="auto"/>
        <w:ind w:firstLine="480" w:firstLineChars="200"/>
        <w:outlineLvl w:val="9"/>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监督电话：0391-8683273</w:t>
      </w:r>
    </w:p>
    <w:p w14:paraId="4ABD0B0C">
      <w:pPr>
        <w:spacing w:line="360" w:lineRule="auto"/>
        <w:ind w:firstLine="480" w:firstLineChars="200"/>
        <w:outlineLvl w:val="9"/>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地址：博爱县发展大道188号机关综合办公楼主楼1213室</w:t>
      </w:r>
    </w:p>
    <w:p w14:paraId="389D07AE">
      <w:pPr>
        <w:spacing w:line="440" w:lineRule="exact"/>
        <w:jc w:val="center"/>
        <w:outlineLvl w:val="9"/>
        <w:rPr>
          <w:rFonts w:hint="eastAsia" w:ascii="宋体" w:hAnsi="宋体" w:eastAsia="宋体" w:cs="宋体"/>
          <w:b/>
          <w:color w:val="auto"/>
          <w:sz w:val="36"/>
          <w:szCs w:val="36"/>
          <w:highlight w:val="none"/>
        </w:rPr>
      </w:pPr>
    </w:p>
    <w:p w14:paraId="61669AE1">
      <w:pPr>
        <w:spacing w:line="440" w:lineRule="exact"/>
        <w:jc w:val="center"/>
        <w:outlineLvl w:val="9"/>
        <w:rPr>
          <w:rFonts w:hint="eastAsia" w:ascii="宋体" w:hAnsi="宋体" w:eastAsia="宋体" w:cs="宋体"/>
          <w:b/>
          <w:color w:val="auto"/>
          <w:sz w:val="36"/>
          <w:szCs w:val="36"/>
          <w:highlight w:val="none"/>
        </w:rPr>
      </w:pPr>
    </w:p>
    <w:p w14:paraId="01ABDE28">
      <w:pPr>
        <w:outlineLvl w:val="9"/>
        <w:rPr>
          <w:rFonts w:hint="eastAsia" w:ascii="宋体" w:hAnsi="宋体" w:eastAsia="宋体" w:cs="宋体"/>
          <w:color w:val="auto"/>
          <w:sz w:val="36"/>
          <w:szCs w:val="36"/>
          <w:highlight w:val="none"/>
        </w:rPr>
      </w:pPr>
    </w:p>
    <w:p w14:paraId="521CEFD8">
      <w:pPr>
        <w:spacing w:line="440" w:lineRule="exact"/>
        <w:outlineLvl w:val="9"/>
        <w:rPr>
          <w:rFonts w:hint="eastAsia" w:ascii="宋体" w:hAnsi="宋体" w:eastAsia="宋体" w:cs="宋体"/>
          <w:b/>
          <w:color w:val="auto"/>
          <w:sz w:val="36"/>
          <w:szCs w:val="36"/>
          <w:highlight w:val="none"/>
        </w:rPr>
      </w:pPr>
    </w:p>
    <w:p w14:paraId="173EA075">
      <w:pPr>
        <w:pStyle w:val="44"/>
        <w:outlineLvl w:val="9"/>
        <w:rPr>
          <w:rFonts w:hint="eastAsia" w:ascii="宋体" w:hAnsi="宋体" w:eastAsia="宋体" w:cs="宋体"/>
          <w:color w:val="auto"/>
          <w:highlight w:val="none"/>
        </w:rPr>
      </w:pPr>
    </w:p>
    <w:p w14:paraId="4B43F8B0">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42D5FE87">
      <w:pPr>
        <w:spacing w:line="440" w:lineRule="exact"/>
        <w:jc w:val="center"/>
        <w:outlineLvl w:val="0"/>
        <w:rPr>
          <w:rFonts w:hint="eastAsia" w:ascii="宋体" w:hAnsi="宋体" w:eastAsia="宋体" w:cs="宋体"/>
          <w:b/>
          <w:color w:val="auto"/>
          <w:sz w:val="36"/>
          <w:szCs w:val="36"/>
          <w:highlight w:val="none"/>
        </w:rPr>
      </w:pPr>
      <w:bookmarkStart w:id="385" w:name="_Toc14410"/>
      <w:r>
        <w:rPr>
          <w:rFonts w:hint="eastAsia" w:ascii="宋体" w:hAnsi="宋体" w:eastAsia="宋体" w:cs="宋体"/>
          <w:b/>
          <w:color w:val="auto"/>
          <w:sz w:val="36"/>
          <w:szCs w:val="36"/>
          <w:highlight w:val="none"/>
        </w:rPr>
        <w:t>河南省政府采购合同融资政策告知函</w:t>
      </w:r>
      <w:bookmarkEnd w:id="385"/>
    </w:p>
    <w:p w14:paraId="0889200A">
      <w:pPr>
        <w:spacing w:line="420" w:lineRule="exact"/>
        <w:ind w:firstLine="420" w:firstLineChars="175"/>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各投标人：</w:t>
      </w:r>
    </w:p>
    <w:p w14:paraId="66853633">
      <w:pPr>
        <w:spacing w:line="420" w:lineRule="exact"/>
        <w:ind w:firstLine="420" w:firstLineChars="175"/>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欢迎贵公司参与河南省政府采购活动！</w:t>
      </w:r>
    </w:p>
    <w:p w14:paraId="49866E27">
      <w:pPr>
        <w:spacing w:line="420" w:lineRule="exact"/>
        <w:ind w:firstLine="420" w:firstLineChars="175"/>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依据《河南省采购合同融资工作实施方案》（豫财购[2017]10号），按照双方自愿的原则提供便捷、优惠的贷款服务。</w:t>
      </w:r>
    </w:p>
    <w:p w14:paraId="44C361B1">
      <w:pPr>
        <w:spacing w:line="420" w:lineRule="exact"/>
        <w:ind w:firstLine="420" w:firstLineChars="175"/>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贷款渠道和提供贷款的金融机构，可在河南省政府采购网“河南省政府采购合同融资平台”查询联系。</w:t>
      </w:r>
    </w:p>
    <w:p w14:paraId="7F8E99D1">
      <w:pPr>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焦作市政府采购合同融资合作企业</w:t>
      </w:r>
    </w:p>
    <w:tbl>
      <w:tblPr>
        <w:tblStyle w:val="34"/>
        <w:tblW w:w="9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3"/>
        <w:gridCol w:w="1353"/>
        <w:gridCol w:w="2064"/>
        <w:gridCol w:w="2558"/>
      </w:tblGrid>
      <w:tr w14:paraId="5194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023" w:type="dxa"/>
            <w:vAlign w:val="center"/>
          </w:tcPr>
          <w:p w14:paraId="7ABB7E4C">
            <w:pPr>
              <w:widowControl/>
              <w:tabs>
                <w:tab w:val="left" w:pos="0"/>
              </w:tabs>
              <w:jc w:val="center"/>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名称</w:t>
            </w:r>
          </w:p>
        </w:tc>
        <w:tc>
          <w:tcPr>
            <w:tcW w:w="1353" w:type="dxa"/>
            <w:vAlign w:val="center"/>
          </w:tcPr>
          <w:p w14:paraId="0CBDA8B6">
            <w:pPr>
              <w:widowControl/>
              <w:tabs>
                <w:tab w:val="left" w:pos="0"/>
              </w:tabs>
              <w:jc w:val="center"/>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联系人</w:t>
            </w:r>
          </w:p>
        </w:tc>
        <w:tc>
          <w:tcPr>
            <w:tcW w:w="2064" w:type="dxa"/>
            <w:vAlign w:val="center"/>
          </w:tcPr>
          <w:p w14:paraId="20827231">
            <w:pPr>
              <w:widowControl/>
              <w:tabs>
                <w:tab w:val="left" w:pos="0"/>
              </w:tabs>
              <w:jc w:val="center"/>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联系电话</w:t>
            </w:r>
          </w:p>
        </w:tc>
        <w:tc>
          <w:tcPr>
            <w:tcW w:w="2558" w:type="dxa"/>
            <w:vAlign w:val="center"/>
          </w:tcPr>
          <w:p w14:paraId="6B59FCE3">
            <w:pPr>
              <w:widowControl/>
              <w:tabs>
                <w:tab w:val="left" w:pos="0"/>
              </w:tabs>
              <w:jc w:val="center"/>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地址</w:t>
            </w:r>
          </w:p>
        </w:tc>
      </w:tr>
      <w:tr w14:paraId="37D4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4023" w:type="dxa"/>
            <w:shd w:val="clear" w:color="auto" w:fill="auto"/>
            <w:vAlign w:val="center"/>
          </w:tcPr>
          <w:p w14:paraId="23DA4D7D">
            <w:pPr>
              <w:widowControl/>
              <w:tabs>
                <w:tab w:val="left" w:pos="0"/>
              </w:tabs>
              <w:spacing w:line="36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中国农业银行股份有限公司</w:t>
            </w:r>
          </w:p>
          <w:p w14:paraId="1F741BAB">
            <w:pPr>
              <w:widowControl/>
              <w:tabs>
                <w:tab w:val="left" w:pos="0"/>
              </w:tabs>
              <w:spacing w:line="36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焦作分行</w:t>
            </w:r>
          </w:p>
        </w:tc>
        <w:tc>
          <w:tcPr>
            <w:tcW w:w="1353" w:type="dxa"/>
            <w:shd w:val="clear" w:color="auto" w:fill="auto"/>
            <w:vAlign w:val="center"/>
          </w:tcPr>
          <w:p w14:paraId="32AAFE2A">
            <w:pPr>
              <w:shd w:val="solid" w:color="FFFFFF" w:fill="auto"/>
              <w:autoSpaceDN w:val="0"/>
              <w:jc w:val="center"/>
              <w:textAlignment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FFFFFF"/>
              </w:rPr>
              <w:t>薛国战</w:t>
            </w:r>
          </w:p>
        </w:tc>
        <w:tc>
          <w:tcPr>
            <w:tcW w:w="2064" w:type="dxa"/>
            <w:shd w:val="clear" w:color="auto" w:fill="auto"/>
            <w:vAlign w:val="center"/>
          </w:tcPr>
          <w:p w14:paraId="75F91F8F">
            <w:pPr>
              <w:shd w:val="solid" w:color="FFFFFF" w:fill="auto"/>
              <w:autoSpaceDN w:val="0"/>
              <w:jc w:val="center"/>
              <w:textAlignment w:val="center"/>
              <w:outlineLvl w:val="9"/>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0391-2878039       13839109026</w:t>
            </w:r>
          </w:p>
        </w:tc>
        <w:tc>
          <w:tcPr>
            <w:tcW w:w="2558" w:type="dxa"/>
            <w:shd w:val="clear" w:color="auto" w:fill="auto"/>
            <w:vAlign w:val="center"/>
          </w:tcPr>
          <w:p w14:paraId="054C9E73">
            <w:pPr>
              <w:shd w:val="solid" w:color="FFFFFF" w:fill="auto"/>
              <w:autoSpaceDN w:val="0"/>
              <w:jc w:val="center"/>
              <w:textAlignment w:val="center"/>
              <w:outlineLvl w:val="9"/>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焦作市民主南路88号</w:t>
            </w:r>
          </w:p>
        </w:tc>
      </w:tr>
      <w:tr w14:paraId="34EE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3" w:type="dxa"/>
            <w:shd w:val="clear" w:color="auto" w:fill="auto"/>
            <w:vAlign w:val="center"/>
          </w:tcPr>
          <w:p w14:paraId="4AAF33F5">
            <w:pPr>
              <w:widowControl/>
              <w:tabs>
                <w:tab w:val="left" w:pos="0"/>
              </w:tabs>
              <w:spacing w:line="36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中国银行股份有限公司焦作分行</w:t>
            </w:r>
          </w:p>
        </w:tc>
        <w:tc>
          <w:tcPr>
            <w:tcW w:w="1353" w:type="dxa"/>
            <w:shd w:val="clear" w:color="auto" w:fill="auto"/>
            <w:vAlign w:val="center"/>
          </w:tcPr>
          <w:p w14:paraId="7337B5AA">
            <w:pPr>
              <w:shd w:val="solid" w:color="FFFFFF" w:fill="auto"/>
              <w:autoSpaceDN w:val="0"/>
              <w:jc w:val="center"/>
              <w:textAlignment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FFFFFF"/>
              </w:rPr>
              <w:t>曹阳</w:t>
            </w:r>
          </w:p>
        </w:tc>
        <w:tc>
          <w:tcPr>
            <w:tcW w:w="2064" w:type="dxa"/>
            <w:shd w:val="clear" w:color="auto" w:fill="auto"/>
            <w:vAlign w:val="center"/>
          </w:tcPr>
          <w:p w14:paraId="142E49F1">
            <w:pPr>
              <w:shd w:val="solid" w:color="FFFFFF" w:fill="auto"/>
              <w:autoSpaceDN w:val="0"/>
              <w:jc w:val="center"/>
              <w:textAlignment w:val="center"/>
              <w:outlineLvl w:val="9"/>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0391-8825171  13839118160</w:t>
            </w:r>
          </w:p>
        </w:tc>
        <w:tc>
          <w:tcPr>
            <w:tcW w:w="2558" w:type="dxa"/>
            <w:shd w:val="clear" w:color="auto" w:fill="auto"/>
            <w:vAlign w:val="center"/>
          </w:tcPr>
          <w:p w14:paraId="1F52DEB8">
            <w:pPr>
              <w:shd w:val="solid" w:color="FFFFFF" w:fill="auto"/>
              <w:autoSpaceDN w:val="0"/>
              <w:jc w:val="center"/>
              <w:textAlignment w:val="center"/>
              <w:outlineLvl w:val="9"/>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焦作市丰收路159号</w:t>
            </w:r>
          </w:p>
        </w:tc>
      </w:tr>
      <w:tr w14:paraId="1E6E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3" w:type="dxa"/>
            <w:shd w:val="clear" w:color="auto" w:fill="auto"/>
            <w:vAlign w:val="center"/>
          </w:tcPr>
          <w:p w14:paraId="5CF8D001">
            <w:pPr>
              <w:widowControl/>
              <w:tabs>
                <w:tab w:val="left" w:pos="0"/>
              </w:tabs>
              <w:spacing w:line="36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中国建设银行股份有限公司焦作分行</w:t>
            </w:r>
          </w:p>
        </w:tc>
        <w:tc>
          <w:tcPr>
            <w:tcW w:w="1353" w:type="dxa"/>
            <w:shd w:val="clear" w:color="auto" w:fill="auto"/>
            <w:vAlign w:val="center"/>
          </w:tcPr>
          <w:p w14:paraId="54BAD8C0">
            <w:pPr>
              <w:widowControl/>
              <w:tabs>
                <w:tab w:val="left" w:pos="0"/>
              </w:tabs>
              <w:spacing w:line="36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李华莹</w:t>
            </w:r>
          </w:p>
        </w:tc>
        <w:tc>
          <w:tcPr>
            <w:tcW w:w="2064" w:type="dxa"/>
            <w:shd w:val="clear" w:color="auto" w:fill="auto"/>
            <w:vAlign w:val="center"/>
          </w:tcPr>
          <w:p w14:paraId="2D28D0FC">
            <w:pPr>
              <w:widowControl/>
              <w:tabs>
                <w:tab w:val="left" w:pos="0"/>
              </w:tabs>
              <w:spacing w:line="36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0391-3918471</w:t>
            </w:r>
          </w:p>
        </w:tc>
        <w:tc>
          <w:tcPr>
            <w:tcW w:w="2558" w:type="dxa"/>
            <w:shd w:val="clear" w:color="auto" w:fill="auto"/>
            <w:vAlign w:val="center"/>
          </w:tcPr>
          <w:p w14:paraId="44B136A3">
            <w:pPr>
              <w:widowControl/>
              <w:tabs>
                <w:tab w:val="left" w:pos="0"/>
              </w:tabs>
              <w:spacing w:line="36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焦作市建设东路152号</w:t>
            </w:r>
          </w:p>
        </w:tc>
      </w:tr>
      <w:tr w14:paraId="422F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3" w:type="dxa"/>
            <w:shd w:val="clear" w:color="auto" w:fill="auto"/>
            <w:vAlign w:val="center"/>
          </w:tcPr>
          <w:p w14:paraId="5CED84EB">
            <w:pPr>
              <w:widowControl/>
              <w:tabs>
                <w:tab w:val="left" w:pos="0"/>
              </w:tabs>
              <w:spacing w:line="36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中国邮政储蓄银行股份有限公司焦作市分行</w:t>
            </w:r>
          </w:p>
        </w:tc>
        <w:tc>
          <w:tcPr>
            <w:tcW w:w="1353" w:type="dxa"/>
            <w:shd w:val="clear" w:color="auto" w:fill="auto"/>
            <w:vAlign w:val="center"/>
          </w:tcPr>
          <w:p w14:paraId="0BA5A55D">
            <w:pPr>
              <w:shd w:val="solid" w:color="FFFFFF" w:fill="auto"/>
              <w:autoSpaceDN w:val="0"/>
              <w:jc w:val="center"/>
              <w:textAlignment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FFFFFF"/>
              </w:rPr>
              <w:t>李天祥</w:t>
            </w:r>
          </w:p>
        </w:tc>
        <w:tc>
          <w:tcPr>
            <w:tcW w:w="2064" w:type="dxa"/>
            <w:shd w:val="clear" w:color="auto" w:fill="auto"/>
            <w:vAlign w:val="center"/>
          </w:tcPr>
          <w:p w14:paraId="11A5A3DC">
            <w:pPr>
              <w:shd w:val="solid" w:color="FFFFFF" w:fill="auto"/>
              <w:autoSpaceDN w:val="0"/>
              <w:jc w:val="center"/>
              <w:textAlignment w:val="center"/>
              <w:outlineLvl w:val="9"/>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0391-2981968 13523359082</w:t>
            </w:r>
          </w:p>
        </w:tc>
        <w:tc>
          <w:tcPr>
            <w:tcW w:w="2558" w:type="dxa"/>
            <w:shd w:val="clear" w:color="auto" w:fill="auto"/>
            <w:vAlign w:val="center"/>
          </w:tcPr>
          <w:p w14:paraId="2EECE396">
            <w:pPr>
              <w:shd w:val="solid" w:color="FFFFFF" w:fill="auto"/>
              <w:autoSpaceDN w:val="0"/>
              <w:jc w:val="center"/>
              <w:textAlignment w:val="center"/>
              <w:outlineLvl w:val="9"/>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焦作市丰收中路2233号</w:t>
            </w:r>
          </w:p>
        </w:tc>
      </w:tr>
      <w:tr w14:paraId="499F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4023" w:type="dxa"/>
            <w:shd w:val="clear" w:color="auto" w:fill="auto"/>
            <w:vAlign w:val="center"/>
          </w:tcPr>
          <w:p w14:paraId="2175BAF6">
            <w:pPr>
              <w:widowControl/>
              <w:tabs>
                <w:tab w:val="left" w:pos="0"/>
              </w:tabs>
              <w:spacing w:line="36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焦作中旅银行股份有限公司</w:t>
            </w:r>
          </w:p>
        </w:tc>
        <w:tc>
          <w:tcPr>
            <w:tcW w:w="1353" w:type="dxa"/>
            <w:shd w:val="clear" w:color="auto" w:fill="auto"/>
            <w:vAlign w:val="center"/>
          </w:tcPr>
          <w:p w14:paraId="6D191BDF">
            <w:pPr>
              <w:shd w:val="solid" w:color="FFFFFF" w:fill="auto"/>
              <w:autoSpaceDN w:val="0"/>
              <w:jc w:val="center"/>
              <w:textAlignment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FFFFFF"/>
              </w:rPr>
              <w:t>周建林</w:t>
            </w:r>
          </w:p>
        </w:tc>
        <w:tc>
          <w:tcPr>
            <w:tcW w:w="2064" w:type="dxa"/>
            <w:shd w:val="clear" w:color="auto" w:fill="auto"/>
            <w:vAlign w:val="center"/>
          </w:tcPr>
          <w:p w14:paraId="33414B42">
            <w:pPr>
              <w:shd w:val="solid" w:color="FFFFFF" w:fill="auto"/>
              <w:autoSpaceDN w:val="0"/>
              <w:jc w:val="center"/>
              <w:textAlignment w:val="center"/>
              <w:outlineLvl w:val="9"/>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 xml:space="preserve">0391-2116963 15893053027 </w:t>
            </w:r>
          </w:p>
        </w:tc>
        <w:tc>
          <w:tcPr>
            <w:tcW w:w="2558" w:type="dxa"/>
            <w:shd w:val="clear" w:color="auto" w:fill="auto"/>
            <w:vAlign w:val="center"/>
          </w:tcPr>
          <w:p w14:paraId="1335CE90">
            <w:pPr>
              <w:shd w:val="solid" w:color="FFFFFF" w:fill="auto"/>
              <w:autoSpaceDN w:val="0"/>
              <w:jc w:val="center"/>
              <w:textAlignment w:val="center"/>
              <w:outlineLvl w:val="9"/>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焦作市山阳区迎宾路1号</w:t>
            </w:r>
          </w:p>
        </w:tc>
      </w:tr>
      <w:tr w14:paraId="652E5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4023" w:type="dxa"/>
            <w:shd w:val="clear" w:color="auto" w:fill="auto"/>
            <w:vAlign w:val="center"/>
          </w:tcPr>
          <w:p w14:paraId="3C41C494">
            <w:pPr>
              <w:widowControl/>
              <w:tabs>
                <w:tab w:val="left" w:pos="0"/>
              </w:tabs>
              <w:spacing w:line="36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中信银行股份有限公司焦作分行</w:t>
            </w:r>
          </w:p>
        </w:tc>
        <w:tc>
          <w:tcPr>
            <w:tcW w:w="1353" w:type="dxa"/>
            <w:shd w:val="clear" w:color="auto" w:fill="auto"/>
            <w:vAlign w:val="center"/>
          </w:tcPr>
          <w:p w14:paraId="283F2542">
            <w:pPr>
              <w:widowControl/>
              <w:tabs>
                <w:tab w:val="left" w:pos="0"/>
              </w:tabs>
              <w:spacing w:line="36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周江江</w:t>
            </w:r>
          </w:p>
        </w:tc>
        <w:tc>
          <w:tcPr>
            <w:tcW w:w="2064" w:type="dxa"/>
            <w:shd w:val="clear" w:color="auto" w:fill="auto"/>
            <w:vAlign w:val="center"/>
          </w:tcPr>
          <w:p w14:paraId="380890F7">
            <w:pPr>
              <w:widowControl/>
              <w:tabs>
                <w:tab w:val="left" w:pos="0"/>
              </w:tabs>
              <w:spacing w:line="36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17639185001</w:t>
            </w:r>
          </w:p>
        </w:tc>
        <w:tc>
          <w:tcPr>
            <w:tcW w:w="2558" w:type="dxa"/>
            <w:shd w:val="clear" w:color="auto" w:fill="auto"/>
            <w:vAlign w:val="center"/>
          </w:tcPr>
          <w:p w14:paraId="47BFB4AD">
            <w:pPr>
              <w:widowControl/>
              <w:tabs>
                <w:tab w:val="left" w:pos="0"/>
              </w:tabs>
              <w:spacing w:line="36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焦作市塔南路1736号嘉隆国际中心</w:t>
            </w:r>
          </w:p>
        </w:tc>
      </w:tr>
      <w:tr w14:paraId="296B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023" w:type="dxa"/>
            <w:shd w:val="clear" w:color="auto" w:fill="auto"/>
            <w:vAlign w:val="center"/>
          </w:tcPr>
          <w:p w14:paraId="77A3B9FF">
            <w:pPr>
              <w:widowControl/>
              <w:tabs>
                <w:tab w:val="left" w:pos="0"/>
              </w:tabs>
              <w:spacing w:line="360" w:lineRule="exact"/>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中国光大银行股份有限公司焦作分行</w:t>
            </w:r>
          </w:p>
        </w:tc>
        <w:tc>
          <w:tcPr>
            <w:tcW w:w="1353" w:type="dxa"/>
            <w:shd w:val="clear" w:color="auto" w:fill="auto"/>
            <w:vAlign w:val="center"/>
          </w:tcPr>
          <w:p w14:paraId="6B8ED50A">
            <w:pPr>
              <w:shd w:val="solid" w:color="FFFFFF" w:fill="auto"/>
              <w:autoSpaceDN w:val="0"/>
              <w:jc w:val="center"/>
              <w:textAlignment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FFFFFF"/>
              </w:rPr>
              <w:t>王海宾</w:t>
            </w:r>
          </w:p>
        </w:tc>
        <w:tc>
          <w:tcPr>
            <w:tcW w:w="2064" w:type="dxa"/>
            <w:shd w:val="clear" w:color="auto" w:fill="auto"/>
            <w:vAlign w:val="center"/>
          </w:tcPr>
          <w:p w14:paraId="68A25A8D">
            <w:pPr>
              <w:shd w:val="solid" w:color="FFFFFF" w:fill="auto"/>
              <w:autoSpaceDN w:val="0"/>
              <w:jc w:val="center"/>
              <w:textAlignment w:val="center"/>
              <w:outlineLvl w:val="9"/>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0391-8787996 13598534626</w:t>
            </w:r>
          </w:p>
        </w:tc>
        <w:tc>
          <w:tcPr>
            <w:tcW w:w="2558" w:type="dxa"/>
            <w:shd w:val="clear" w:color="auto" w:fill="auto"/>
            <w:vAlign w:val="center"/>
          </w:tcPr>
          <w:p w14:paraId="69C32B01">
            <w:pPr>
              <w:shd w:val="solid" w:color="FFFFFF" w:fill="auto"/>
              <w:autoSpaceDN w:val="0"/>
              <w:jc w:val="center"/>
              <w:textAlignment w:val="center"/>
              <w:outlineLvl w:val="9"/>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焦作市塔南路1736号</w:t>
            </w:r>
          </w:p>
        </w:tc>
      </w:tr>
      <w:tr w14:paraId="64DF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4023" w:type="dxa"/>
            <w:shd w:val="clear" w:color="auto" w:fill="auto"/>
            <w:vAlign w:val="center"/>
          </w:tcPr>
          <w:p w14:paraId="2E8AB97C">
            <w:pPr>
              <w:widowControl/>
              <w:tabs>
                <w:tab w:val="left" w:pos="0"/>
              </w:tabs>
              <w:spacing w:line="36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中原银行股份有限公司焦作分行</w:t>
            </w:r>
          </w:p>
        </w:tc>
        <w:tc>
          <w:tcPr>
            <w:tcW w:w="1353" w:type="dxa"/>
            <w:shd w:val="clear" w:color="auto" w:fill="auto"/>
            <w:vAlign w:val="center"/>
          </w:tcPr>
          <w:p w14:paraId="2460E527">
            <w:pPr>
              <w:shd w:val="solid" w:color="FFFFFF" w:fill="auto"/>
              <w:autoSpaceDN w:val="0"/>
              <w:jc w:val="center"/>
              <w:textAlignment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FFFFFF"/>
              </w:rPr>
              <w:t>赵伟</w:t>
            </w:r>
          </w:p>
        </w:tc>
        <w:tc>
          <w:tcPr>
            <w:tcW w:w="2064" w:type="dxa"/>
            <w:shd w:val="clear" w:color="auto" w:fill="auto"/>
            <w:vAlign w:val="center"/>
          </w:tcPr>
          <w:p w14:paraId="6FC3E677">
            <w:pPr>
              <w:shd w:val="solid" w:color="FFFFFF" w:fill="auto"/>
              <w:autoSpaceDN w:val="0"/>
              <w:jc w:val="center"/>
              <w:textAlignment w:val="center"/>
              <w:outlineLvl w:val="9"/>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0391-8796520 15738533033</w:t>
            </w:r>
          </w:p>
        </w:tc>
        <w:tc>
          <w:tcPr>
            <w:tcW w:w="2558" w:type="dxa"/>
            <w:shd w:val="clear" w:color="auto" w:fill="auto"/>
            <w:vAlign w:val="center"/>
          </w:tcPr>
          <w:p w14:paraId="770F35AA">
            <w:pPr>
              <w:shd w:val="solid" w:color="FFFFFF" w:fill="auto"/>
              <w:autoSpaceDN w:val="0"/>
              <w:jc w:val="center"/>
              <w:textAlignment w:val="center"/>
              <w:outlineLvl w:val="9"/>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焦作市解放区人民路479号</w:t>
            </w:r>
          </w:p>
        </w:tc>
      </w:tr>
      <w:tr w14:paraId="2098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023" w:type="dxa"/>
            <w:shd w:val="clear" w:color="auto" w:fill="auto"/>
            <w:vAlign w:val="center"/>
          </w:tcPr>
          <w:p w14:paraId="30D392EA">
            <w:pPr>
              <w:widowControl/>
              <w:tabs>
                <w:tab w:val="left" w:pos="0"/>
              </w:tabs>
              <w:spacing w:line="36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广发银行股份有限公司焦作分行</w:t>
            </w:r>
          </w:p>
        </w:tc>
        <w:tc>
          <w:tcPr>
            <w:tcW w:w="1353" w:type="dxa"/>
            <w:shd w:val="clear" w:color="auto" w:fill="auto"/>
            <w:vAlign w:val="center"/>
          </w:tcPr>
          <w:p w14:paraId="36CDC02F">
            <w:pPr>
              <w:shd w:val="solid" w:color="FFFFFF" w:fill="auto"/>
              <w:autoSpaceDN w:val="0"/>
              <w:jc w:val="center"/>
              <w:textAlignment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FFFFFF"/>
              </w:rPr>
              <w:t>张嘉强</w:t>
            </w:r>
          </w:p>
        </w:tc>
        <w:tc>
          <w:tcPr>
            <w:tcW w:w="2064" w:type="dxa"/>
            <w:shd w:val="clear" w:color="auto" w:fill="auto"/>
            <w:vAlign w:val="center"/>
          </w:tcPr>
          <w:p w14:paraId="2210A8AB">
            <w:pPr>
              <w:shd w:val="solid" w:color="FFFFFF" w:fill="auto"/>
              <w:autoSpaceDN w:val="0"/>
              <w:jc w:val="center"/>
              <w:textAlignment w:val="center"/>
              <w:outlineLvl w:val="9"/>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0391-653785 13203910032</w:t>
            </w:r>
          </w:p>
        </w:tc>
        <w:tc>
          <w:tcPr>
            <w:tcW w:w="2558" w:type="dxa"/>
            <w:shd w:val="clear" w:color="auto" w:fill="auto"/>
            <w:vAlign w:val="center"/>
          </w:tcPr>
          <w:p w14:paraId="545DEA77">
            <w:pPr>
              <w:shd w:val="solid" w:color="FFFFFF" w:fill="auto"/>
              <w:autoSpaceDN w:val="0"/>
              <w:jc w:val="center"/>
              <w:textAlignment w:val="center"/>
              <w:outlineLvl w:val="9"/>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焦作市塔南路1736号嘉隆金融中心</w:t>
            </w:r>
          </w:p>
        </w:tc>
      </w:tr>
    </w:tbl>
    <w:p w14:paraId="132C4A0A">
      <w:pPr>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备注：融资服务机构名单和人员联系方式会随时变化。具体情况可登录“焦作市政府采购网”政府采购合同融资平台查询。</w:t>
      </w:r>
    </w:p>
    <w:sectPr>
      <w:pgSz w:w="11907" w:h="16840"/>
      <w:pgMar w:top="1440" w:right="1519" w:bottom="1440" w:left="1576" w:header="850" w:footer="998" w:gutter="0"/>
      <w:pgNumType w:fmt="decimal"/>
      <w:cols w:space="0" w:num="1"/>
      <w:docGrid w:type="lines" w:linePitch="3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A00002EF" w:usb1="4000207B"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36F06">
    <w:pPr>
      <w:pBdr>
        <w:top w:val="thinThickSmallGap" w:color="ED7D31" w:sz="12" w:space="1"/>
        <w:left w:val="none" w:color="auto" w:sz="0" w:space="4"/>
        <w:bottom w:val="none" w:color="auto" w:sz="0" w:space="1"/>
        <w:right w:val="none" w:color="auto" w:sz="0" w:space="4"/>
      </w:pBdr>
      <w:spacing w:before="49" w:line="219" w:lineRule="auto"/>
      <w:rPr>
        <w:rFonts w:ascii="Times New Roman" w:hAnsi="Times New Roman" w:eastAsia="宋体" w:cs="Times New Roman"/>
        <w:kern w:val="2"/>
        <w:sz w:val="18"/>
        <w:szCs w:val="24"/>
        <w:lang w:val="en-US" w:eastAsia="zh-CN" w:bidi="ar-SA"/>
      </w:rPr>
    </w:pPr>
    <w:r>
      <w:rPr>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98FDA">
                          <w:pPr>
                            <w:pStyle w:val="22"/>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F98FDA">
                    <w:pPr>
                      <w:pStyle w:val="22"/>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p w14:paraId="1C471796">
    <w:pPr>
      <w:spacing w:line="223" w:lineRule="auto"/>
      <w:ind w:left="4470"/>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F74FE">
    <w:pPr>
      <w:pBdr>
        <w:top w:val="thinThickSmallGap" w:color="ED7D31" w:sz="12" w:space="1"/>
        <w:left w:val="none" w:color="auto" w:sz="0" w:space="4"/>
        <w:bottom w:val="none" w:color="auto" w:sz="0" w:space="1"/>
        <w:right w:val="none" w:color="auto" w:sz="0" w:space="4"/>
      </w:pBdr>
      <w:spacing w:before="49" w:line="219" w:lineRule="auto"/>
      <w:rPr>
        <w:rFonts w:ascii="Times New Roman" w:hAnsi="Times New Roman" w:eastAsia="Times New Roman" w:cs="Times New Roman"/>
        <w:sz w:val="18"/>
        <w:szCs w:val="18"/>
      </w:rPr>
    </w:pPr>
    <w:r>
      <w:rPr>
        <w:sz w:val="1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BF676">
                          <w:pPr>
                            <w:pStyle w:val="22"/>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4BF676">
                    <w:pPr>
                      <w:pStyle w:val="22"/>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DCC72">
    <w:pPr>
      <w:pBdr>
        <w:top w:val="thinThickSmallGap" w:color="ED7D31" w:sz="12" w:space="1"/>
        <w:left w:val="none" w:color="auto" w:sz="0" w:space="4"/>
        <w:bottom w:val="none" w:color="auto" w:sz="0" w:space="1"/>
        <w:right w:val="none" w:color="auto" w:sz="0" w:space="4"/>
      </w:pBdr>
      <w:spacing w:before="49" w:line="219" w:lineRule="auto"/>
      <w:rPr>
        <w:sz w:val="16"/>
        <w:szCs w:val="22"/>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5A4335">
                          <w:pPr>
                            <w:pStyle w:val="22"/>
                          </w:pPr>
                          <w:r>
                            <w:t xml:space="preserve">— </w:t>
                          </w:r>
                          <w:r>
                            <w:fldChar w:fldCharType="begin"/>
                          </w:r>
                          <w:r>
                            <w:instrText xml:space="preserve"> PAGE  \* MERGEFORMAT </w:instrText>
                          </w:r>
                          <w:r>
                            <w:fldChar w:fldCharType="separate"/>
                          </w:r>
                          <w:r>
                            <w:t>- 36 -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75A4335">
                    <w:pPr>
                      <w:pStyle w:val="22"/>
                    </w:pPr>
                    <w:r>
                      <w:t xml:space="preserve">— </w:t>
                    </w:r>
                    <w:r>
                      <w:fldChar w:fldCharType="begin"/>
                    </w:r>
                    <w:r>
                      <w:instrText xml:space="preserve"> PAGE  \* MERGEFORMAT </w:instrText>
                    </w:r>
                    <w:r>
                      <w:fldChar w:fldCharType="separate"/>
                    </w:r>
                    <w:r>
                      <w:t>- 36 -</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30DF7">
    <w:pPr>
      <w:pBdr>
        <w:top w:val="thinThickSmallGap" w:color="ED7D31" w:sz="12" w:space="1"/>
        <w:left w:val="none" w:color="auto" w:sz="0" w:space="4"/>
        <w:bottom w:val="none" w:color="auto" w:sz="0" w:space="1"/>
        <w:right w:val="none" w:color="auto" w:sz="0" w:space="4"/>
      </w:pBdr>
      <w:spacing w:before="49" w:line="219" w:lineRule="auto"/>
      <w:ind w:left="35"/>
      <w:rPr>
        <w:rFonts w:ascii="仿宋" w:hAnsi="仿宋" w:eastAsia="仿宋" w:cs="宋体"/>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2556F">
                          <w:pPr>
                            <w:pStyle w:val="22"/>
                          </w:pPr>
                          <w:r>
                            <w:t xml:space="preserve">— </w:t>
                          </w:r>
                          <w:r>
                            <w:fldChar w:fldCharType="begin"/>
                          </w:r>
                          <w:r>
                            <w:instrText xml:space="preserve"> PAGE  \* MERGEFORMAT </w:instrText>
                          </w:r>
                          <w:r>
                            <w:fldChar w:fldCharType="separate"/>
                          </w:r>
                          <w:r>
                            <w:t>- 154 -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D32556F">
                    <w:pPr>
                      <w:pStyle w:val="22"/>
                    </w:pPr>
                    <w:r>
                      <w:t xml:space="preserve">— </w:t>
                    </w:r>
                    <w:r>
                      <w:fldChar w:fldCharType="begin"/>
                    </w:r>
                    <w:r>
                      <w:instrText xml:space="preserve"> PAGE  \* MERGEFORMAT </w:instrText>
                    </w:r>
                    <w:r>
                      <w:fldChar w:fldCharType="separate"/>
                    </w:r>
                    <w:r>
                      <w:t>- 154 -</w:t>
                    </w:r>
                    <w:r>
                      <w:fldChar w:fldCharType="end"/>
                    </w:r>
                    <w:r>
                      <w:t xml:space="preserve"> —</w:t>
                    </w:r>
                  </w:p>
                </w:txbxContent>
              </v:textbox>
            </v:shape>
          </w:pict>
        </mc:Fallback>
      </mc:AlternateContent>
    </w:r>
    <w:r>
      <w:rPr>
        <w:rFonts w:hint="eastAsia" w:ascii="仿宋" w:hAnsi="仿宋" w:eastAsia="仿宋" w:cs="宋体"/>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141E4">
    <w:pPr>
      <w:pBdr>
        <w:bottom w:val="thinThickSmallGap" w:color="993300" w:sz="12" w:space="0"/>
      </w:pBdr>
      <w:spacing w:line="217" w:lineRule="auto"/>
      <w:jc w:val="left"/>
    </w:pPr>
    <w:r>
      <w:rPr>
        <w:rFonts w:hint="eastAsia" w:ascii="仿宋" w:hAnsi="仿宋" w:eastAsia="仿宋" w:cs="宋体"/>
        <w:szCs w:val="21"/>
        <w:lang w:eastAsia="zh-CN"/>
      </w:rPr>
      <w:t>焦作市新材料职业学院学术交流中心中央空调采购项目</w:t>
    </w:r>
    <w:r>
      <w:rPr>
        <w:rFonts w:hint="eastAsia" w:ascii="仿宋" w:hAnsi="仿宋" w:eastAsia="仿宋" w:cs="宋体"/>
        <w:szCs w:val="21"/>
        <w:lang w:val="en-US" w:eastAsia="zh-CN"/>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039FA"/>
    <w:multiLevelType w:val="singleLevel"/>
    <w:tmpl w:val="9FB039FA"/>
    <w:lvl w:ilvl="0" w:tentative="0">
      <w:start w:val="2"/>
      <w:numFmt w:val="chineseCounting"/>
      <w:suff w:val="nothing"/>
      <w:lvlText w:val="%1、"/>
      <w:lvlJc w:val="left"/>
      <w:rPr>
        <w:rFonts w:hint="eastAsia"/>
      </w:rPr>
    </w:lvl>
  </w:abstractNum>
  <w:abstractNum w:abstractNumId="1">
    <w:nsid w:val="A2C6ACF8"/>
    <w:multiLevelType w:val="singleLevel"/>
    <w:tmpl w:val="A2C6ACF8"/>
    <w:lvl w:ilvl="0" w:tentative="0">
      <w:start w:val="1"/>
      <w:numFmt w:val="decimal"/>
      <w:suff w:val="nothing"/>
      <w:lvlText w:val="（%1）"/>
      <w:lvlJc w:val="left"/>
      <w:pPr>
        <w:ind w:left="480" w:firstLine="0"/>
      </w:pPr>
      <w:rPr>
        <w:rFonts w:hint="default"/>
        <w:b w:val="0"/>
        <w:bCs w:val="0"/>
      </w:rPr>
    </w:lvl>
  </w:abstractNum>
  <w:abstractNum w:abstractNumId="2">
    <w:nsid w:val="A58974FB"/>
    <w:multiLevelType w:val="singleLevel"/>
    <w:tmpl w:val="A58974FB"/>
    <w:lvl w:ilvl="0" w:tentative="0">
      <w:start w:val="1"/>
      <w:numFmt w:val="decimal"/>
      <w:suff w:val="space"/>
      <w:lvlText w:val="%1."/>
      <w:lvlJc w:val="left"/>
    </w:lvl>
  </w:abstractNum>
  <w:abstractNum w:abstractNumId="3">
    <w:nsid w:val="A6676A1B"/>
    <w:multiLevelType w:val="singleLevel"/>
    <w:tmpl w:val="A6676A1B"/>
    <w:lvl w:ilvl="0" w:tentative="0">
      <w:start w:val="8"/>
      <w:numFmt w:val="chineseCounting"/>
      <w:suff w:val="space"/>
      <w:lvlText w:val="第%1章"/>
      <w:lvlJc w:val="left"/>
      <w:rPr>
        <w:rFonts w:hint="eastAsia"/>
      </w:rPr>
    </w:lvl>
  </w:abstractNum>
  <w:abstractNum w:abstractNumId="4">
    <w:nsid w:val="B7CCEAB9"/>
    <w:multiLevelType w:val="singleLevel"/>
    <w:tmpl w:val="B7CCEAB9"/>
    <w:lvl w:ilvl="0" w:tentative="0">
      <w:start w:val="1"/>
      <w:numFmt w:val="decimal"/>
      <w:suff w:val="space"/>
      <w:lvlText w:val="%1."/>
      <w:lvlJc w:val="left"/>
      <w:pPr>
        <w:ind w:left="600" w:firstLine="0"/>
      </w:pPr>
    </w:lvl>
  </w:abstractNum>
  <w:abstractNum w:abstractNumId="5">
    <w:nsid w:val="E25B3C03"/>
    <w:multiLevelType w:val="singleLevel"/>
    <w:tmpl w:val="E25B3C03"/>
    <w:lvl w:ilvl="0" w:tentative="0">
      <w:start w:val="1"/>
      <w:numFmt w:val="decimal"/>
      <w:suff w:val="nothing"/>
      <w:lvlText w:val="（%1）"/>
      <w:lvlJc w:val="left"/>
    </w:lvl>
  </w:abstractNum>
  <w:abstractNum w:abstractNumId="6">
    <w:nsid w:val="00000002"/>
    <w:multiLevelType w:val="multilevel"/>
    <w:tmpl w:val="00000002"/>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74054F6"/>
    <w:multiLevelType w:val="multilevel"/>
    <w:tmpl w:val="074054F6"/>
    <w:lvl w:ilvl="0" w:tentative="0">
      <w:start w:val="1"/>
      <w:numFmt w:val="decimal"/>
      <w:pStyle w:val="52"/>
      <w:lvlText w:val="第%1章"/>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8">
    <w:nsid w:val="12BF81D8"/>
    <w:multiLevelType w:val="singleLevel"/>
    <w:tmpl w:val="12BF81D8"/>
    <w:lvl w:ilvl="0" w:tentative="0">
      <w:start w:val="2"/>
      <w:numFmt w:val="decimal"/>
      <w:suff w:val="nothing"/>
      <w:lvlText w:val="%1、"/>
      <w:lvlJc w:val="left"/>
    </w:lvl>
  </w:abstractNum>
  <w:abstractNum w:abstractNumId="9">
    <w:nsid w:val="1C092B9A"/>
    <w:multiLevelType w:val="multilevel"/>
    <w:tmpl w:val="1C092B9A"/>
    <w:lvl w:ilvl="0" w:tentative="0">
      <w:start w:val="1"/>
      <w:numFmt w:val="chineseCountingThousand"/>
      <w:suff w:val="space"/>
      <w:lvlText w:val="第%1部分  "/>
      <w:lvlJc w:val="left"/>
      <w:pPr>
        <w:ind w:left="0" w:firstLine="0"/>
      </w:pPr>
      <w:rPr>
        <w:rFonts w:hint="default" w:ascii="Arial" w:hAnsi="Arial" w:eastAsia="宋体"/>
        <w:b/>
        <w:i w:val="0"/>
        <w:sz w:val="36"/>
      </w:rPr>
    </w:lvl>
    <w:lvl w:ilvl="1" w:tentative="0">
      <w:start w:val="1"/>
      <w:numFmt w:val="chineseCountingThousand"/>
      <w:suff w:val="space"/>
      <w:lvlText w:val="第%2章  "/>
      <w:lvlJc w:val="left"/>
      <w:pPr>
        <w:ind w:left="0" w:firstLine="0"/>
      </w:pPr>
      <w:rPr>
        <w:rFonts w:hint="default" w:ascii="Arial" w:hAnsi="Arial" w:eastAsia="宋体"/>
        <w:b/>
        <w:i w:val="0"/>
        <w:sz w:val="32"/>
      </w:rPr>
    </w:lvl>
    <w:lvl w:ilvl="2" w:tentative="0">
      <w:start w:val="1"/>
      <w:numFmt w:val="chineseCountingThousand"/>
      <w:suff w:val="space"/>
      <w:lvlText w:val="%3、"/>
      <w:lvlJc w:val="left"/>
      <w:pPr>
        <w:ind w:left="0" w:firstLine="0"/>
      </w:pPr>
      <w:rPr>
        <w:rFonts w:hint="default" w:ascii="Arial" w:hAnsi="Arial" w:eastAsia="宋体"/>
        <w:b/>
        <w:i w:val="0"/>
        <w:sz w:val="30"/>
      </w:rPr>
    </w:lvl>
    <w:lvl w:ilvl="3" w:tentative="0">
      <w:start w:val="1"/>
      <w:numFmt w:val="decimal"/>
      <w:suff w:val="space"/>
      <w:lvlText w:val="%4、"/>
      <w:lvlJc w:val="left"/>
      <w:pPr>
        <w:ind w:left="0" w:firstLine="0"/>
      </w:pPr>
      <w:rPr>
        <w:rFonts w:hint="default" w:ascii="Arial" w:hAnsi="Arial" w:eastAsia="宋体"/>
        <w:b/>
        <w:i w:val="0"/>
        <w:sz w:val="28"/>
      </w:rPr>
    </w:lvl>
    <w:lvl w:ilvl="4" w:tentative="0">
      <w:start w:val="1"/>
      <w:numFmt w:val="decimal"/>
      <w:pStyle w:val="6"/>
      <w:suff w:val="space"/>
      <w:lvlText w:val="%4.%5"/>
      <w:lvlJc w:val="left"/>
      <w:pPr>
        <w:ind w:left="0" w:firstLine="0"/>
      </w:pPr>
      <w:rPr>
        <w:rFonts w:hint="default" w:ascii="Arial" w:hAnsi="Arial" w:eastAsia="宋体"/>
        <w:b w:val="0"/>
        <w:i w:val="0"/>
        <w:sz w:val="24"/>
      </w:rPr>
    </w:lvl>
    <w:lvl w:ilvl="5" w:tentative="0">
      <w:start w:val="1"/>
      <w:numFmt w:val="decimal"/>
      <w:pStyle w:val="7"/>
      <w:suff w:val="space"/>
      <w:lvlText w:val="%4.%5.%6"/>
      <w:lvlJc w:val="left"/>
      <w:pPr>
        <w:ind w:left="0" w:firstLine="0"/>
      </w:pPr>
      <w:rPr>
        <w:rFonts w:hint="default" w:ascii="Arial" w:hAnsi="Arial" w:eastAsia="宋体"/>
        <w:b w:val="0"/>
        <w:i w:val="0"/>
        <w:sz w:val="24"/>
      </w:rPr>
    </w:lvl>
    <w:lvl w:ilvl="6" w:tentative="0">
      <w:start w:val="1"/>
      <w:numFmt w:val="decimal"/>
      <w:pStyle w:val="8"/>
      <w:suff w:val="space"/>
      <w:lvlText w:val="%4.%5.%6.%7"/>
      <w:lvlJc w:val="left"/>
      <w:pPr>
        <w:ind w:left="0" w:firstLine="0"/>
      </w:pPr>
      <w:rPr>
        <w:rFonts w:hint="default" w:ascii="Arial" w:hAnsi="Arial" w:eastAsia="宋体"/>
        <w:sz w:val="24"/>
      </w:rPr>
    </w:lvl>
    <w:lvl w:ilvl="7" w:tentative="0">
      <w:start w:val="1"/>
      <w:numFmt w:val="decimal"/>
      <w:pStyle w:val="9"/>
      <w:suff w:val="space"/>
      <w:lvlText w:val="%4.%5.%6.%7.%8"/>
      <w:lvlJc w:val="left"/>
      <w:pPr>
        <w:ind w:left="0" w:firstLine="0"/>
      </w:pPr>
      <w:rPr>
        <w:rFonts w:hint="default" w:ascii="Arial" w:hAnsi="Arial" w:eastAsia="宋体"/>
        <w:sz w:val="24"/>
      </w:rPr>
    </w:lvl>
    <w:lvl w:ilvl="8" w:tentative="0">
      <w:start w:val="1"/>
      <w:numFmt w:val="decimal"/>
      <w:pStyle w:val="10"/>
      <w:suff w:val="space"/>
      <w:lvlText w:val="%9）"/>
      <w:lvlJc w:val="left"/>
      <w:pPr>
        <w:ind w:left="0" w:firstLine="284"/>
      </w:pPr>
      <w:rPr>
        <w:rFonts w:hint="default" w:ascii="Arial" w:hAnsi="Arial" w:eastAsia="宋体"/>
        <w:sz w:val="24"/>
      </w:rPr>
    </w:lvl>
  </w:abstractNum>
  <w:abstractNum w:abstractNumId="10">
    <w:nsid w:val="1C58BAF0"/>
    <w:multiLevelType w:val="singleLevel"/>
    <w:tmpl w:val="1C58BAF0"/>
    <w:lvl w:ilvl="0" w:tentative="0">
      <w:start w:val="1"/>
      <w:numFmt w:val="decimal"/>
      <w:suff w:val="nothing"/>
      <w:lvlText w:val="（%1）"/>
      <w:lvlJc w:val="left"/>
    </w:lvl>
  </w:abstractNum>
  <w:abstractNum w:abstractNumId="11">
    <w:nsid w:val="29D121A3"/>
    <w:multiLevelType w:val="singleLevel"/>
    <w:tmpl w:val="29D121A3"/>
    <w:lvl w:ilvl="0" w:tentative="0">
      <w:start w:val="5"/>
      <w:numFmt w:val="decimal"/>
      <w:lvlText w:val="%1."/>
      <w:lvlJc w:val="left"/>
      <w:pPr>
        <w:tabs>
          <w:tab w:val="left" w:pos="312"/>
        </w:tabs>
      </w:pPr>
    </w:lvl>
  </w:abstractNum>
  <w:abstractNum w:abstractNumId="12">
    <w:nsid w:val="2E675402"/>
    <w:multiLevelType w:val="singleLevel"/>
    <w:tmpl w:val="2E675402"/>
    <w:lvl w:ilvl="0" w:tentative="0">
      <w:start w:val="1"/>
      <w:numFmt w:val="chineseCounting"/>
      <w:suff w:val="nothing"/>
      <w:lvlText w:val="（%1）"/>
      <w:lvlJc w:val="left"/>
      <w:rPr>
        <w:rFonts w:hint="eastAsia"/>
      </w:rPr>
    </w:lvl>
  </w:abstractNum>
  <w:abstractNum w:abstractNumId="13">
    <w:nsid w:val="5A693C2F"/>
    <w:multiLevelType w:val="singleLevel"/>
    <w:tmpl w:val="5A693C2F"/>
    <w:lvl w:ilvl="0" w:tentative="0">
      <w:start w:val="3"/>
      <w:numFmt w:val="chineseCounting"/>
      <w:suff w:val="space"/>
      <w:lvlText w:val="第%1章"/>
      <w:lvlJc w:val="left"/>
    </w:lvl>
  </w:abstractNum>
  <w:abstractNum w:abstractNumId="14">
    <w:nsid w:val="75324FB0"/>
    <w:multiLevelType w:val="singleLevel"/>
    <w:tmpl w:val="75324FB0"/>
    <w:lvl w:ilvl="0" w:tentative="0">
      <w:start w:val="1"/>
      <w:numFmt w:val="chineseCounting"/>
      <w:suff w:val="space"/>
      <w:lvlText w:val="第%1章"/>
      <w:lvlJc w:val="left"/>
      <w:pPr>
        <w:ind w:left="630"/>
      </w:pPr>
      <w:rPr>
        <w:rFonts w:hint="eastAsia"/>
      </w:rPr>
    </w:lvl>
  </w:abstractNum>
  <w:num w:numId="1">
    <w:abstractNumId w:val="9"/>
  </w:num>
  <w:num w:numId="2">
    <w:abstractNumId w:val="7"/>
  </w:num>
  <w:num w:numId="3">
    <w:abstractNumId w:val="1"/>
  </w:num>
  <w:num w:numId="4">
    <w:abstractNumId w:val="14"/>
  </w:num>
  <w:num w:numId="5">
    <w:abstractNumId w:val="11"/>
  </w:num>
  <w:num w:numId="6">
    <w:abstractNumId w:val="6"/>
  </w:num>
  <w:num w:numId="7">
    <w:abstractNumId w:val="13"/>
  </w:num>
  <w:num w:numId="8">
    <w:abstractNumId w:val="10"/>
  </w:num>
  <w:num w:numId="9">
    <w:abstractNumId w:val="5"/>
  </w:num>
  <w:num w:numId="10">
    <w:abstractNumId w:val="2"/>
  </w:num>
  <w:num w:numId="11">
    <w:abstractNumId w:val="3"/>
  </w:num>
  <w:num w:numId="12">
    <w:abstractNumId w:val="12"/>
  </w:num>
  <w:num w:numId="13">
    <w:abstractNumId w:val="0"/>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VerticalSpacing w:val="1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kNjMzZDFjMzkyYWM3NWU4ZWQ0YTYyYjViMjVmYmYifQ=="/>
    <w:docVar w:name="KSO_WPS_MARK_KEY" w:val="7b2f0240-85bb-4b13-bebb-70d144b1ca43"/>
  </w:docVars>
  <w:rsids>
    <w:rsidRoot w:val="00CF3BAF"/>
    <w:rsid w:val="00013DD1"/>
    <w:rsid w:val="000314A1"/>
    <w:rsid w:val="000325DD"/>
    <w:rsid w:val="00034427"/>
    <w:rsid w:val="0005238D"/>
    <w:rsid w:val="00081779"/>
    <w:rsid w:val="0008243C"/>
    <w:rsid w:val="000A0C36"/>
    <w:rsid w:val="000B5C4B"/>
    <w:rsid w:val="000C0CCC"/>
    <w:rsid w:val="000D08DD"/>
    <w:rsid w:val="00113652"/>
    <w:rsid w:val="001D4789"/>
    <w:rsid w:val="001E47D0"/>
    <w:rsid w:val="00205095"/>
    <w:rsid w:val="00205DE3"/>
    <w:rsid w:val="002075F5"/>
    <w:rsid w:val="00227539"/>
    <w:rsid w:val="00227FD4"/>
    <w:rsid w:val="00235567"/>
    <w:rsid w:val="00236004"/>
    <w:rsid w:val="00236DFC"/>
    <w:rsid w:val="002504A2"/>
    <w:rsid w:val="00261DC9"/>
    <w:rsid w:val="00272A9F"/>
    <w:rsid w:val="0027581C"/>
    <w:rsid w:val="00281BCC"/>
    <w:rsid w:val="00293D01"/>
    <w:rsid w:val="00295A55"/>
    <w:rsid w:val="002D45A3"/>
    <w:rsid w:val="002F33B2"/>
    <w:rsid w:val="0034193D"/>
    <w:rsid w:val="003464E3"/>
    <w:rsid w:val="00354C68"/>
    <w:rsid w:val="00380CC1"/>
    <w:rsid w:val="00382698"/>
    <w:rsid w:val="00387019"/>
    <w:rsid w:val="00392426"/>
    <w:rsid w:val="003D5A28"/>
    <w:rsid w:val="003E49E9"/>
    <w:rsid w:val="003F267F"/>
    <w:rsid w:val="003F6608"/>
    <w:rsid w:val="00400465"/>
    <w:rsid w:val="00410824"/>
    <w:rsid w:val="0041508E"/>
    <w:rsid w:val="00422435"/>
    <w:rsid w:val="00424DAB"/>
    <w:rsid w:val="0042593E"/>
    <w:rsid w:val="0044589E"/>
    <w:rsid w:val="00451A98"/>
    <w:rsid w:val="004623D5"/>
    <w:rsid w:val="00471CF0"/>
    <w:rsid w:val="0047687D"/>
    <w:rsid w:val="00481283"/>
    <w:rsid w:val="004856FA"/>
    <w:rsid w:val="00487C3E"/>
    <w:rsid w:val="004A6821"/>
    <w:rsid w:val="004B211D"/>
    <w:rsid w:val="004B78BE"/>
    <w:rsid w:val="004C776B"/>
    <w:rsid w:val="004E286C"/>
    <w:rsid w:val="004E3BC3"/>
    <w:rsid w:val="004E4875"/>
    <w:rsid w:val="004F7506"/>
    <w:rsid w:val="00500712"/>
    <w:rsid w:val="005106E0"/>
    <w:rsid w:val="00526EA5"/>
    <w:rsid w:val="00536F66"/>
    <w:rsid w:val="00547E39"/>
    <w:rsid w:val="00554290"/>
    <w:rsid w:val="005542F2"/>
    <w:rsid w:val="00573AC0"/>
    <w:rsid w:val="0058421F"/>
    <w:rsid w:val="005A2870"/>
    <w:rsid w:val="005A5DC2"/>
    <w:rsid w:val="005D5904"/>
    <w:rsid w:val="005E14C7"/>
    <w:rsid w:val="005F220F"/>
    <w:rsid w:val="005F311E"/>
    <w:rsid w:val="0063187F"/>
    <w:rsid w:val="00631E63"/>
    <w:rsid w:val="0063367A"/>
    <w:rsid w:val="006459F6"/>
    <w:rsid w:val="00650F15"/>
    <w:rsid w:val="00651B64"/>
    <w:rsid w:val="00651BA7"/>
    <w:rsid w:val="00656FFA"/>
    <w:rsid w:val="00666E50"/>
    <w:rsid w:val="00666FBE"/>
    <w:rsid w:val="00675512"/>
    <w:rsid w:val="006805EA"/>
    <w:rsid w:val="006958F7"/>
    <w:rsid w:val="006A610C"/>
    <w:rsid w:val="006B2CA3"/>
    <w:rsid w:val="006C42F7"/>
    <w:rsid w:val="006C7E0E"/>
    <w:rsid w:val="006D3E74"/>
    <w:rsid w:val="00712D43"/>
    <w:rsid w:val="00713767"/>
    <w:rsid w:val="007145D8"/>
    <w:rsid w:val="007270F5"/>
    <w:rsid w:val="00730BF2"/>
    <w:rsid w:val="00767590"/>
    <w:rsid w:val="00767C63"/>
    <w:rsid w:val="00771A7D"/>
    <w:rsid w:val="00783CF9"/>
    <w:rsid w:val="00791493"/>
    <w:rsid w:val="007952CC"/>
    <w:rsid w:val="00795A48"/>
    <w:rsid w:val="007966E7"/>
    <w:rsid w:val="007C65BE"/>
    <w:rsid w:val="007E2B28"/>
    <w:rsid w:val="0081081C"/>
    <w:rsid w:val="00826247"/>
    <w:rsid w:val="00850F37"/>
    <w:rsid w:val="008672C4"/>
    <w:rsid w:val="00870BF2"/>
    <w:rsid w:val="00871C94"/>
    <w:rsid w:val="008767AC"/>
    <w:rsid w:val="00884C5F"/>
    <w:rsid w:val="00887955"/>
    <w:rsid w:val="008935D3"/>
    <w:rsid w:val="00893CC3"/>
    <w:rsid w:val="008B06E6"/>
    <w:rsid w:val="008B741E"/>
    <w:rsid w:val="008D2165"/>
    <w:rsid w:val="008D2851"/>
    <w:rsid w:val="008D314A"/>
    <w:rsid w:val="009368F4"/>
    <w:rsid w:val="00937EC2"/>
    <w:rsid w:val="009431A8"/>
    <w:rsid w:val="00951DF1"/>
    <w:rsid w:val="009637C8"/>
    <w:rsid w:val="00975BA5"/>
    <w:rsid w:val="00983A1D"/>
    <w:rsid w:val="00997D09"/>
    <w:rsid w:val="009A0E66"/>
    <w:rsid w:val="009B3631"/>
    <w:rsid w:val="009B5EF4"/>
    <w:rsid w:val="009C1E86"/>
    <w:rsid w:val="009C50BF"/>
    <w:rsid w:val="009E6501"/>
    <w:rsid w:val="009F60C5"/>
    <w:rsid w:val="00A12982"/>
    <w:rsid w:val="00A152DF"/>
    <w:rsid w:val="00A31878"/>
    <w:rsid w:val="00A343B9"/>
    <w:rsid w:val="00A52CAF"/>
    <w:rsid w:val="00A53E4A"/>
    <w:rsid w:val="00A8044C"/>
    <w:rsid w:val="00A838C6"/>
    <w:rsid w:val="00AA57A6"/>
    <w:rsid w:val="00AD577B"/>
    <w:rsid w:val="00AD6BE9"/>
    <w:rsid w:val="00AF4EA8"/>
    <w:rsid w:val="00B32984"/>
    <w:rsid w:val="00B34D9F"/>
    <w:rsid w:val="00B41EAA"/>
    <w:rsid w:val="00B602BD"/>
    <w:rsid w:val="00B83CB4"/>
    <w:rsid w:val="00BC0BC9"/>
    <w:rsid w:val="00BC19AF"/>
    <w:rsid w:val="00BD0241"/>
    <w:rsid w:val="00BF3DA8"/>
    <w:rsid w:val="00C332E4"/>
    <w:rsid w:val="00C371A7"/>
    <w:rsid w:val="00C61018"/>
    <w:rsid w:val="00C63E59"/>
    <w:rsid w:val="00C86DE2"/>
    <w:rsid w:val="00C93CF9"/>
    <w:rsid w:val="00C94A06"/>
    <w:rsid w:val="00C94AF7"/>
    <w:rsid w:val="00C95C63"/>
    <w:rsid w:val="00CB7D71"/>
    <w:rsid w:val="00CC05CA"/>
    <w:rsid w:val="00CD310A"/>
    <w:rsid w:val="00CE65EE"/>
    <w:rsid w:val="00CF3BAF"/>
    <w:rsid w:val="00D058CE"/>
    <w:rsid w:val="00D22FC5"/>
    <w:rsid w:val="00D41BFD"/>
    <w:rsid w:val="00D823F8"/>
    <w:rsid w:val="00D90A3E"/>
    <w:rsid w:val="00DA0BC1"/>
    <w:rsid w:val="00DB4A39"/>
    <w:rsid w:val="00DB5C27"/>
    <w:rsid w:val="00DB6ECC"/>
    <w:rsid w:val="00DC6004"/>
    <w:rsid w:val="00DE7C62"/>
    <w:rsid w:val="00DF0492"/>
    <w:rsid w:val="00E11F75"/>
    <w:rsid w:val="00E12D45"/>
    <w:rsid w:val="00E23F37"/>
    <w:rsid w:val="00E5544B"/>
    <w:rsid w:val="00E616E3"/>
    <w:rsid w:val="00E61A34"/>
    <w:rsid w:val="00E63816"/>
    <w:rsid w:val="00E75C1B"/>
    <w:rsid w:val="00E77C6E"/>
    <w:rsid w:val="00EC289C"/>
    <w:rsid w:val="00EC5A2D"/>
    <w:rsid w:val="00ED32EC"/>
    <w:rsid w:val="00EE4C7A"/>
    <w:rsid w:val="00EE6C4C"/>
    <w:rsid w:val="00EF61C9"/>
    <w:rsid w:val="00F14C79"/>
    <w:rsid w:val="00F154DB"/>
    <w:rsid w:val="00F16816"/>
    <w:rsid w:val="00F5227C"/>
    <w:rsid w:val="00F82FF1"/>
    <w:rsid w:val="00F90EE8"/>
    <w:rsid w:val="00F91D0F"/>
    <w:rsid w:val="00F93CFE"/>
    <w:rsid w:val="00FB3E02"/>
    <w:rsid w:val="00FB58C0"/>
    <w:rsid w:val="00FC0F08"/>
    <w:rsid w:val="00FE4037"/>
    <w:rsid w:val="015A0ED7"/>
    <w:rsid w:val="018B79D4"/>
    <w:rsid w:val="01930027"/>
    <w:rsid w:val="019A53BC"/>
    <w:rsid w:val="019C74BD"/>
    <w:rsid w:val="01A249C3"/>
    <w:rsid w:val="01A90C02"/>
    <w:rsid w:val="01B450E1"/>
    <w:rsid w:val="01BA466C"/>
    <w:rsid w:val="01CD0413"/>
    <w:rsid w:val="01F77570"/>
    <w:rsid w:val="01F80A87"/>
    <w:rsid w:val="01F97E2C"/>
    <w:rsid w:val="0224187C"/>
    <w:rsid w:val="02474136"/>
    <w:rsid w:val="024768DF"/>
    <w:rsid w:val="02534437"/>
    <w:rsid w:val="02781E5F"/>
    <w:rsid w:val="027C2CDB"/>
    <w:rsid w:val="02975B59"/>
    <w:rsid w:val="02A079AD"/>
    <w:rsid w:val="02AD7AC3"/>
    <w:rsid w:val="02B2279A"/>
    <w:rsid w:val="02C572FD"/>
    <w:rsid w:val="02D346FD"/>
    <w:rsid w:val="02DC68CC"/>
    <w:rsid w:val="02DF753E"/>
    <w:rsid w:val="03885645"/>
    <w:rsid w:val="03EF01A2"/>
    <w:rsid w:val="03FE7771"/>
    <w:rsid w:val="0403320F"/>
    <w:rsid w:val="04035DC5"/>
    <w:rsid w:val="040F5B2D"/>
    <w:rsid w:val="041F1D93"/>
    <w:rsid w:val="04351B1E"/>
    <w:rsid w:val="04531FA4"/>
    <w:rsid w:val="04670E06"/>
    <w:rsid w:val="046F0DBE"/>
    <w:rsid w:val="04730C9A"/>
    <w:rsid w:val="04760D95"/>
    <w:rsid w:val="04806F22"/>
    <w:rsid w:val="04955EBF"/>
    <w:rsid w:val="049A2AB6"/>
    <w:rsid w:val="049A5F70"/>
    <w:rsid w:val="04B015F5"/>
    <w:rsid w:val="04B80A56"/>
    <w:rsid w:val="04C500C1"/>
    <w:rsid w:val="04DA27AA"/>
    <w:rsid w:val="04F44273"/>
    <w:rsid w:val="053E1993"/>
    <w:rsid w:val="05476DA0"/>
    <w:rsid w:val="05646F25"/>
    <w:rsid w:val="0587053C"/>
    <w:rsid w:val="05CF063D"/>
    <w:rsid w:val="05E90531"/>
    <w:rsid w:val="06112117"/>
    <w:rsid w:val="061F1094"/>
    <w:rsid w:val="064662A5"/>
    <w:rsid w:val="06494301"/>
    <w:rsid w:val="064B3EA8"/>
    <w:rsid w:val="067B2348"/>
    <w:rsid w:val="06B269FF"/>
    <w:rsid w:val="06C3755C"/>
    <w:rsid w:val="06F1337E"/>
    <w:rsid w:val="07190068"/>
    <w:rsid w:val="07310D7F"/>
    <w:rsid w:val="074849E3"/>
    <w:rsid w:val="074D4119"/>
    <w:rsid w:val="07997BA5"/>
    <w:rsid w:val="07CB68F2"/>
    <w:rsid w:val="07E07FF3"/>
    <w:rsid w:val="080023AB"/>
    <w:rsid w:val="08161B2A"/>
    <w:rsid w:val="08355432"/>
    <w:rsid w:val="083A174E"/>
    <w:rsid w:val="083B347B"/>
    <w:rsid w:val="083D3697"/>
    <w:rsid w:val="0844216B"/>
    <w:rsid w:val="08685028"/>
    <w:rsid w:val="0885658D"/>
    <w:rsid w:val="088859DB"/>
    <w:rsid w:val="08910593"/>
    <w:rsid w:val="08B6562F"/>
    <w:rsid w:val="09102B5A"/>
    <w:rsid w:val="091B22FA"/>
    <w:rsid w:val="098B21E0"/>
    <w:rsid w:val="09B4623D"/>
    <w:rsid w:val="09E55D95"/>
    <w:rsid w:val="0A127867"/>
    <w:rsid w:val="0A1A5EE2"/>
    <w:rsid w:val="0A3D6877"/>
    <w:rsid w:val="0A406050"/>
    <w:rsid w:val="0A645EB1"/>
    <w:rsid w:val="0A84735B"/>
    <w:rsid w:val="0A8B4CEF"/>
    <w:rsid w:val="0A9A1E42"/>
    <w:rsid w:val="0AAD4A1B"/>
    <w:rsid w:val="0AFE4F5A"/>
    <w:rsid w:val="0AFF2E86"/>
    <w:rsid w:val="0B057D70"/>
    <w:rsid w:val="0B2D5070"/>
    <w:rsid w:val="0B405D3F"/>
    <w:rsid w:val="0B440CBC"/>
    <w:rsid w:val="0B627FDD"/>
    <w:rsid w:val="0B664CB3"/>
    <w:rsid w:val="0B7902B3"/>
    <w:rsid w:val="0B8C1399"/>
    <w:rsid w:val="0B901D30"/>
    <w:rsid w:val="0BB8427D"/>
    <w:rsid w:val="0C051155"/>
    <w:rsid w:val="0C076843"/>
    <w:rsid w:val="0C2D57D1"/>
    <w:rsid w:val="0C3C2F86"/>
    <w:rsid w:val="0C5734B3"/>
    <w:rsid w:val="0CA073F2"/>
    <w:rsid w:val="0CB21806"/>
    <w:rsid w:val="0CB90E13"/>
    <w:rsid w:val="0CD05128"/>
    <w:rsid w:val="0CE441AE"/>
    <w:rsid w:val="0D22719E"/>
    <w:rsid w:val="0D270828"/>
    <w:rsid w:val="0D6214AA"/>
    <w:rsid w:val="0D792EC2"/>
    <w:rsid w:val="0D81592D"/>
    <w:rsid w:val="0D862B43"/>
    <w:rsid w:val="0D8716C8"/>
    <w:rsid w:val="0D974D65"/>
    <w:rsid w:val="0DB937C0"/>
    <w:rsid w:val="0DDB4CD7"/>
    <w:rsid w:val="0E2200DA"/>
    <w:rsid w:val="0E476696"/>
    <w:rsid w:val="0E651252"/>
    <w:rsid w:val="0E8C0D4D"/>
    <w:rsid w:val="0EA33B28"/>
    <w:rsid w:val="0EA67121"/>
    <w:rsid w:val="0EDC105C"/>
    <w:rsid w:val="0EDE6CBA"/>
    <w:rsid w:val="0EE45391"/>
    <w:rsid w:val="0EF32EFA"/>
    <w:rsid w:val="0F0410E0"/>
    <w:rsid w:val="0F0740B7"/>
    <w:rsid w:val="0F2B1112"/>
    <w:rsid w:val="0F340C24"/>
    <w:rsid w:val="0F9B449E"/>
    <w:rsid w:val="0FDE2EA6"/>
    <w:rsid w:val="0FE73EE9"/>
    <w:rsid w:val="100420C3"/>
    <w:rsid w:val="1012372A"/>
    <w:rsid w:val="10202516"/>
    <w:rsid w:val="10257C82"/>
    <w:rsid w:val="10544429"/>
    <w:rsid w:val="10586A77"/>
    <w:rsid w:val="107D20E4"/>
    <w:rsid w:val="10A2678D"/>
    <w:rsid w:val="11164A85"/>
    <w:rsid w:val="11481AF6"/>
    <w:rsid w:val="117266CB"/>
    <w:rsid w:val="11761DEC"/>
    <w:rsid w:val="11920A50"/>
    <w:rsid w:val="119A56B6"/>
    <w:rsid w:val="119B16ED"/>
    <w:rsid w:val="11A25357"/>
    <w:rsid w:val="11B34CF4"/>
    <w:rsid w:val="11BB0933"/>
    <w:rsid w:val="11E65143"/>
    <w:rsid w:val="11F2782C"/>
    <w:rsid w:val="120C0D33"/>
    <w:rsid w:val="12253216"/>
    <w:rsid w:val="12323723"/>
    <w:rsid w:val="1236105A"/>
    <w:rsid w:val="125032C0"/>
    <w:rsid w:val="12B210FC"/>
    <w:rsid w:val="12B87983"/>
    <w:rsid w:val="12F25439"/>
    <w:rsid w:val="130F3E82"/>
    <w:rsid w:val="134734DE"/>
    <w:rsid w:val="137072D5"/>
    <w:rsid w:val="13732E71"/>
    <w:rsid w:val="13A23695"/>
    <w:rsid w:val="13B25A32"/>
    <w:rsid w:val="13B32A60"/>
    <w:rsid w:val="13E8738A"/>
    <w:rsid w:val="13E9022F"/>
    <w:rsid w:val="143C687A"/>
    <w:rsid w:val="144162BD"/>
    <w:rsid w:val="144353ED"/>
    <w:rsid w:val="14860849"/>
    <w:rsid w:val="14AB3737"/>
    <w:rsid w:val="14B42FE5"/>
    <w:rsid w:val="14B770B6"/>
    <w:rsid w:val="14CC19C6"/>
    <w:rsid w:val="14CD5863"/>
    <w:rsid w:val="14DA2E06"/>
    <w:rsid w:val="14DE5E10"/>
    <w:rsid w:val="14E629C1"/>
    <w:rsid w:val="152353A4"/>
    <w:rsid w:val="15267F04"/>
    <w:rsid w:val="152E231F"/>
    <w:rsid w:val="153B2D0D"/>
    <w:rsid w:val="15545B7C"/>
    <w:rsid w:val="15826B8D"/>
    <w:rsid w:val="159522E3"/>
    <w:rsid w:val="159D7523"/>
    <w:rsid w:val="15F70220"/>
    <w:rsid w:val="161A1C96"/>
    <w:rsid w:val="16493207"/>
    <w:rsid w:val="16504596"/>
    <w:rsid w:val="165F3BC6"/>
    <w:rsid w:val="166D59E0"/>
    <w:rsid w:val="16997753"/>
    <w:rsid w:val="169D288C"/>
    <w:rsid w:val="16BC02B9"/>
    <w:rsid w:val="17134F36"/>
    <w:rsid w:val="17312F64"/>
    <w:rsid w:val="179C380B"/>
    <w:rsid w:val="17AC6DF4"/>
    <w:rsid w:val="17C07E41"/>
    <w:rsid w:val="17C72264"/>
    <w:rsid w:val="17D3631C"/>
    <w:rsid w:val="17ED0637"/>
    <w:rsid w:val="181867A0"/>
    <w:rsid w:val="18264209"/>
    <w:rsid w:val="183D74A2"/>
    <w:rsid w:val="18574301"/>
    <w:rsid w:val="18B90B18"/>
    <w:rsid w:val="18E10364"/>
    <w:rsid w:val="190C07F3"/>
    <w:rsid w:val="1942306E"/>
    <w:rsid w:val="19670574"/>
    <w:rsid w:val="196A7BE4"/>
    <w:rsid w:val="19D674A8"/>
    <w:rsid w:val="19EE17C2"/>
    <w:rsid w:val="19EE56BB"/>
    <w:rsid w:val="19EF2318"/>
    <w:rsid w:val="1A1025AF"/>
    <w:rsid w:val="1A2B26E2"/>
    <w:rsid w:val="1A3B0CC2"/>
    <w:rsid w:val="1A8B2040"/>
    <w:rsid w:val="1A913822"/>
    <w:rsid w:val="1AD02BB1"/>
    <w:rsid w:val="1B0F127C"/>
    <w:rsid w:val="1B33310F"/>
    <w:rsid w:val="1B577881"/>
    <w:rsid w:val="1B6E3990"/>
    <w:rsid w:val="1BD529D4"/>
    <w:rsid w:val="1BE9127A"/>
    <w:rsid w:val="1C211654"/>
    <w:rsid w:val="1C2B1493"/>
    <w:rsid w:val="1C2D32A0"/>
    <w:rsid w:val="1C644670"/>
    <w:rsid w:val="1C753023"/>
    <w:rsid w:val="1C9363D1"/>
    <w:rsid w:val="1CC37618"/>
    <w:rsid w:val="1CC51ABE"/>
    <w:rsid w:val="1CD57C9C"/>
    <w:rsid w:val="1D1E6C5C"/>
    <w:rsid w:val="1D2A77A9"/>
    <w:rsid w:val="1D3C3AC6"/>
    <w:rsid w:val="1D4A5CC7"/>
    <w:rsid w:val="1D525097"/>
    <w:rsid w:val="1D5A65E9"/>
    <w:rsid w:val="1D743812"/>
    <w:rsid w:val="1DA06BBC"/>
    <w:rsid w:val="1DC13FCB"/>
    <w:rsid w:val="1DCA10D2"/>
    <w:rsid w:val="1DDA0B91"/>
    <w:rsid w:val="1DEE66A2"/>
    <w:rsid w:val="1E212A6F"/>
    <w:rsid w:val="1E360353"/>
    <w:rsid w:val="1E4779B9"/>
    <w:rsid w:val="1E7C3987"/>
    <w:rsid w:val="1E921418"/>
    <w:rsid w:val="1EB33136"/>
    <w:rsid w:val="1EE937D9"/>
    <w:rsid w:val="1EF17A1C"/>
    <w:rsid w:val="1EF55393"/>
    <w:rsid w:val="1EFF56C4"/>
    <w:rsid w:val="1F111512"/>
    <w:rsid w:val="1F3F59B3"/>
    <w:rsid w:val="1FA91310"/>
    <w:rsid w:val="1FBB33A3"/>
    <w:rsid w:val="1FCF0C21"/>
    <w:rsid w:val="1FD46237"/>
    <w:rsid w:val="1FEC2733"/>
    <w:rsid w:val="204277FF"/>
    <w:rsid w:val="20892B01"/>
    <w:rsid w:val="20AB64FD"/>
    <w:rsid w:val="20E259AF"/>
    <w:rsid w:val="20E67A15"/>
    <w:rsid w:val="21854D72"/>
    <w:rsid w:val="218872DA"/>
    <w:rsid w:val="219C4D8C"/>
    <w:rsid w:val="21A96F53"/>
    <w:rsid w:val="2201780D"/>
    <w:rsid w:val="220B3A67"/>
    <w:rsid w:val="22635651"/>
    <w:rsid w:val="22645B7F"/>
    <w:rsid w:val="22821933"/>
    <w:rsid w:val="22851F14"/>
    <w:rsid w:val="22937A29"/>
    <w:rsid w:val="22A44C61"/>
    <w:rsid w:val="22D65C1B"/>
    <w:rsid w:val="22E0486C"/>
    <w:rsid w:val="22E7389D"/>
    <w:rsid w:val="236C0699"/>
    <w:rsid w:val="23971A56"/>
    <w:rsid w:val="23A75A11"/>
    <w:rsid w:val="23C21A0E"/>
    <w:rsid w:val="23C245F9"/>
    <w:rsid w:val="24081B41"/>
    <w:rsid w:val="24307B43"/>
    <w:rsid w:val="24364D63"/>
    <w:rsid w:val="24565832"/>
    <w:rsid w:val="24581EC9"/>
    <w:rsid w:val="245D7AC3"/>
    <w:rsid w:val="246511FA"/>
    <w:rsid w:val="24824179"/>
    <w:rsid w:val="24845123"/>
    <w:rsid w:val="249D52D3"/>
    <w:rsid w:val="24A85EE5"/>
    <w:rsid w:val="24B92551"/>
    <w:rsid w:val="24F722BB"/>
    <w:rsid w:val="252A4343"/>
    <w:rsid w:val="255249D2"/>
    <w:rsid w:val="25627E42"/>
    <w:rsid w:val="25B6127B"/>
    <w:rsid w:val="26211AAB"/>
    <w:rsid w:val="264840A1"/>
    <w:rsid w:val="2671382C"/>
    <w:rsid w:val="26AB160B"/>
    <w:rsid w:val="26AF355A"/>
    <w:rsid w:val="26BA05DD"/>
    <w:rsid w:val="26D40659"/>
    <w:rsid w:val="27070CA1"/>
    <w:rsid w:val="27144052"/>
    <w:rsid w:val="27481489"/>
    <w:rsid w:val="275C68E7"/>
    <w:rsid w:val="276A2C27"/>
    <w:rsid w:val="27765E26"/>
    <w:rsid w:val="27817A81"/>
    <w:rsid w:val="279A59FF"/>
    <w:rsid w:val="27B228CA"/>
    <w:rsid w:val="27B86C57"/>
    <w:rsid w:val="27CF39BA"/>
    <w:rsid w:val="27D71BB7"/>
    <w:rsid w:val="28013942"/>
    <w:rsid w:val="281E5115"/>
    <w:rsid w:val="28406DD2"/>
    <w:rsid w:val="28547F1D"/>
    <w:rsid w:val="285A332D"/>
    <w:rsid w:val="285C078A"/>
    <w:rsid w:val="287019A1"/>
    <w:rsid w:val="28881BFB"/>
    <w:rsid w:val="28BD1C36"/>
    <w:rsid w:val="28EA6ACC"/>
    <w:rsid w:val="29034F6A"/>
    <w:rsid w:val="2914146A"/>
    <w:rsid w:val="291F753F"/>
    <w:rsid w:val="29947247"/>
    <w:rsid w:val="29AD1F3E"/>
    <w:rsid w:val="29FC7FCE"/>
    <w:rsid w:val="2A1118F0"/>
    <w:rsid w:val="2A1D4C7F"/>
    <w:rsid w:val="2A334727"/>
    <w:rsid w:val="2A4F3E17"/>
    <w:rsid w:val="2A716636"/>
    <w:rsid w:val="2A8D3BB3"/>
    <w:rsid w:val="2A937333"/>
    <w:rsid w:val="2AA84457"/>
    <w:rsid w:val="2ABE19E5"/>
    <w:rsid w:val="2AF03966"/>
    <w:rsid w:val="2B1105F0"/>
    <w:rsid w:val="2B1F679A"/>
    <w:rsid w:val="2B2362C5"/>
    <w:rsid w:val="2B33475A"/>
    <w:rsid w:val="2B3F6790"/>
    <w:rsid w:val="2B9A5BB7"/>
    <w:rsid w:val="2B9B6B8C"/>
    <w:rsid w:val="2C0F5312"/>
    <w:rsid w:val="2C5243EF"/>
    <w:rsid w:val="2C7C3A3B"/>
    <w:rsid w:val="2C8F4C9E"/>
    <w:rsid w:val="2CC20013"/>
    <w:rsid w:val="2CF34593"/>
    <w:rsid w:val="2D340FB7"/>
    <w:rsid w:val="2D4759F0"/>
    <w:rsid w:val="2D4B17C9"/>
    <w:rsid w:val="2DA17287"/>
    <w:rsid w:val="2DAE23B9"/>
    <w:rsid w:val="2DEF0B6D"/>
    <w:rsid w:val="2E04418C"/>
    <w:rsid w:val="2E090307"/>
    <w:rsid w:val="2E171974"/>
    <w:rsid w:val="2E2F7C70"/>
    <w:rsid w:val="2E7164C1"/>
    <w:rsid w:val="2EA45C18"/>
    <w:rsid w:val="2EC469FF"/>
    <w:rsid w:val="2ECE479A"/>
    <w:rsid w:val="2ED658FB"/>
    <w:rsid w:val="2ED80964"/>
    <w:rsid w:val="2EF41B1E"/>
    <w:rsid w:val="2F3D38F1"/>
    <w:rsid w:val="2F662BA9"/>
    <w:rsid w:val="2F6B6F8C"/>
    <w:rsid w:val="2FA20F31"/>
    <w:rsid w:val="2FA713A3"/>
    <w:rsid w:val="2FA84FEB"/>
    <w:rsid w:val="2FD71DBF"/>
    <w:rsid w:val="2FEA0D3B"/>
    <w:rsid w:val="2FF165FA"/>
    <w:rsid w:val="2FFC693C"/>
    <w:rsid w:val="30204B81"/>
    <w:rsid w:val="305331A8"/>
    <w:rsid w:val="3054090C"/>
    <w:rsid w:val="30766F52"/>
    <w:rsid w:val="30A7457C"/>
    <w:rsid w:val="30AF513E"/>
    <w:rsid w:val="30BF439A"/>
    <w:rsid w:val="30C2271A"/>
    <w:rsid w:val="31183696"/>
    <w:rsid w:val="311B58CA"/>
    <w:rsid w:val="312875A3"/>
    <w:rsid w:val="31432453"/>
    <w:rsid w:val="314D39BA"/>
    <w:rsid w:val="315C20A8"/>
    <w:rsid w:val="315E08FB"/>
    <w:rsid w:val="316D2ED6"/>
    <w:rsid w:val="327012C3"/>
    <w:rsid w:val="32900317"/>
    <w:rsid w:val="32A73338"/>
    <w:rsid w:val="32AC094E"/>
    <w:rsid w:val="32DD09B1"/>
    <w:rsid w:val="334616B1"/>
    <w:rsid w:val="336B5FF6"/>
    <w:rsid w:val="3398566D"/>
    <w:rsid w:val="339B530E"/>
    <w:rsid w:val="33AB264D"/>
    <w:rsid w:val="33B71CA0"/>
    <w:rsid w:val="341E0659"/>
    <w:rsid w:val="34375174"/>
    <w:rsid w:val="34490FA6"/>
    <w:rsid w:val="345E5DAC"/>
    <w:rsid w:val="347B2F71"/>
    <w:rsid w:val="348A2F11"/>
    <w:rsid w:val="34BF0E0C"/>
    <w:rsid w:val="34D5735F"/>
    <w:rsid w:val="350E1ECE"/>
    <w:rsid w:val="35400F5E"/>
    <w:rsid w:val="356103C1"/>
    <w:rsid w:val="35624307"/>
    <w:rsid w:val="356E75B4"/>
    <w:rsid w:val="35C41641"/>
    <w:rsid w:val="35EF40B4"/>
    <w:rsid w:val="35F16A95"/>
    <w:rsid w:val="35F6214D"/>
    <w:rsid w:val="368220F2"/>
    <w:rsid w:val="36A93FED"/>
    <w:rsid w:val="36D77DC4"/>
    <w:rsid w:val="36F2243E"/>
    <w:rsid w:val="37261603"/>
    <w:rsid w:val="37284DD2"/>
    <w:rsid w:val="37316346"/>
    <w:rsid w:val="374C0952"/>
    <w:rsid w:val="376D0FF4"/>
    <w:rsid w:val="376D35DA"/>
    <w:rsid w:val="379522F8"/>
    <w:rsid w:val="379678D2"/>
    <w:rsid w:val="37AF1920"/>
    <w:rsid w:val="37BB5BE3"/>
    <w:rsid w:val="37C3064D"/>
    <w:rsid w:val="37C94B02"/>
    <w:rsid w:val="37D03331"/>
    <w:rsid w:val="38397128"/>
    <w:rsid w:val="385E298D"/>
    <w:rsid w:val="386115E2"/>
    <w:rsid w:val="38651CCB"/>
    <w:rsid w:val="38812459"/>
    <w:rsid w:val="38C51FA1"/>
    <w:rsid w:val="38C56745"/>
    <w:rsid w:val="38ED5B17"/>
    <w:rsid w:val="391F5908"/>
    <w:rsid w:val="393A5E0A"/>
    <w:rsid w:val="39851A7F"/>
    <w:rsid w:val="39946943"/>
    <w:rsid w:val="39B359F1"/>
    <w:rsid w:val="3AAA205E"/>
    <w:rsid w:val="3AAB47A9"/>
    <w:rsid w:val="3AB15A09"/>
    <w:rsid w:val="3AB76C35"/>
    <w:rsid w:val="3AC405E4"/>
    <w:rsid w:val="3ACB34B8"/>
    <w:rsid w:val="3B1B2B15"/>
    <w:rsid w:val="3B27182E"/>
    <w:rsid w:val="3B5755D8"/>
    <w:rsid w:val="3B680882"/>
    <w:rsid w:val="3BB11661"/>
    <w:rsid w:val="3BC85536"/>
    <w:rsid w:val="3BEE3DAF"/>
    <w:rsid w:val="3C3E4D0D"/>
    <w:rsid w:val="3C5740DD"/>
    <w:rsid w:val="3C6A6013"/>
    <w:rsid w:val="3C806CA2"/>
    <w:rsid w:val="3C875BD5"/>
    <w:rsid w:val="3CBA1A90"/>
    <w:rsid w:val="3D24482D"/>
    <w:rsid w:val="3D2D0B2E"/>
    <w:rsid w:val="3D3F6549"/>
    <w:rsid w:val="3D510A70"/>
    <w:rsid w:val="3D6E3B32"/>
    <w:rsid w:val="3DA476DF"/>
    <w:rsid w:val="3DA9026A"/>
    <w:rsid w:val="3DB23C83"/>
    <w:rsid w:val="3DC366D1"/>
    <w:rsid w:val="3DE713D4"/>
    <w:rsid w:val="3E007463"/>
    <w:rsid w:val="3E3D322B"/>
    <w:rsid w:val="3E8D79E9"/>
    <w:rsid w:val="3E8E1D06"/>
    <w:rsid w:val="3E955212"/>
    <w:rsid w:val="3EF618CF"/>
    <w:rsid w:val="3F1C6570"/>
    <w:rsid w:val="3F361F57"/>
    <w:rsid w:val="3F51170A"/>
    <w:rsid w:val="3F516B17"/>
    <w:rsid w:val="3F7C7BE6"/>
    <w:rsid w:val="3FD66319"/>
    <w:rsid w:val="40507902"/>
    <w:rsid w:val="405204BF"/>
    <w:rsid w:val="407A6954"/>
    <w:rsid w:val="407C1AED"/>
    <w:rsid w:val="40AE6405"/>
    <w:rsid w:val="40BE7560"/>
    <w:rsid w:val="40E2372C"/>
    <w:rsid w:val="40FF6EBE"/>
    <w:rsid w:val="41237074"/>
    <w:rsid w:val="415A08CA"/>
    <w:rsid w:val="416D51B0"/>
    <w:rsid w:val="416F7716"/>
    <w:rsid w:val="4176039B"/>
    <w:rsid w:val="417B430D"/>
    <w:rsid w:val="41A82C28"/>
    <w:rsid w:val="41C95079"/>
    <w:rsid w:val="41F76A00"/>
    <w:rsid w:val="420C4EF5"/>
    <w:rsid w:val="42181E5B"/>
    <w:rsid w:val="421F4DB9"/>
    <w:rsid w:val="422B007C"/>
    <w:rsid w:val="426B4E49"/>
    <w:rsid w:val="427312E5"/>
    <w:rsid w:val="42881AA6"/>
    <w:rsid w:val="42A81132"/>
    <w:rsid w:val="42D42289"/>
    <w:rsid w:val="42E02E33"/>
    <w:rsid w:val="42F65BA4"/>
    <w:rsid w:val="432202AB"/>
    <w:rsid w:val="434C47FE"/>
    <w:rsid w:val="43582988"/>
    <w:rsid w:val="435C1F1C"/>
    <w:rsid w:val="4364501E"/>
    <w:rsid w:val="437E00E5"/>
    <w:rsid w:val="440C7848"/>
    <w:rsid w:val="44337121"/>
    <w:rsid w:val="443C46BE"/>
    <w:rsid w:val="44443036"/>
    <w:rsid w:val="4453447A"/>
    <w:rsid w:val="44BD4C3D"/>
    <w:rsid w:val="44CD30D2"/>
    <w:rsid w:val="44CF7FE4"/>
    <w:rsid w:val="44E855CD"/>
    <w:rsid w:val="44EE4354"/>
    <w:rsid w:val="44F64D49"/>
    <w:rsid w:val="456D6663"/>
    <w:rsid w:val="457E1ABD"/>
    <w:rsid w:val="459B770E"/>
    <w:rsid w:val="459D408E"/>
    <w:rsid w:val="45A42374"/>
    <w:rsid w:val="45D313A6"/>
    <w:rsid w:val="45D94A67"/>
    <w:rsid w:val="45E375FE"/>
    <w:rsid w:val="46192D48"/>
    <w:rsid w:val="461E42D2"/>
    <w:rsid w:val="46316751"/>
    <w:rsid w:val="463827CD"/>
    <w:rsid w:val="46642C04"/>
    <w:rsid w:val="46662600"/>
    <w:rsid w:val="46905A5F"/>
    <w:rsid w:val="46B03E18"/>
    <w:rsid w:val="46B94545"/>
    <w:rsid w:val="46C978C9"/>
    <w:rsid w:val="46DF3334"/>
    <w:rsid w:val="46F40E8A"/>
    <w:rsid w:val="46FF153C"/>
    <w:rsid w:val="47103BFA"/>
    <w:rsid w:val="47195F8F"/>
    <w:rsid w:val="471C20EE"/>
    <w:rsid w:val="472509CB"/>
    <w:rsid w:val="472B3D7F"/>
    <w:rsid w:val="47360B9B"/>
    <w:rsid w:val="473C24B5"/>
    <w:rsid w:val="47601656"/>
    <w:rsid w:val="478A2A55"/>
    <w:rsid w:val="479E38D8"/>
    <w:rsid w:val="47D55BE2"/>
    <w:rsid w:val="47EB734B"/>
    <w:rsid w:val="48167CD1"/>
    <w:rsid w:val="486E372E"/>
    <w:rsid w:val="4876270A"/>
    <w:rsid w:val="48934AEB"/>
    <w:rsid w:val="492E33C0"/>
    <w:rsid w:val="495261A3"/>
    <w:rsid w:val="495D6F47"/>
    <w:rsid w:val="49767CE2"/>
    <w:rsid w:val="498A0C86"/>
    <w:rsid w:val="499A379E"/>
    <w:rsid w:val="49A4599E"/>
    <w:rsid w:val="49B919EB"/>
    <w:rsid w:val="4A0550BC"/>
    <w:rsid w:val="4A0B4816"/>
    <w:rsid w:val="4A107CDA"/>
    <w:rsid w:val="4A600544"/>
    <w:rsid w:val="4A79782A"/>
    <w:rsid w:val="4AE901CC"/>
    <w:rsid w:val="4AE90539"/>
    <w:rsid w:val="4AF33166"/>
    <w:rsid w:val="4B8D3FB4"/>
    <w:rsid w:val="4B9A273E"/>
    <w:rsid w:val="4C4814B5"/>
    <w:rsid w:val="4CC2475B"/>
    <w:rsid w:val="4CD16F98"/>
    <w:rsid w:val="4CD722EC"/>
    <w:rsid w:val="4CED7D8D"/>
    <w:rsid w:val="4D25613E"/>
    <w:rsid w:val="4D4C3002"/>
    <w:rsid w:val="4D553C64"/>
    <w:rsid w:val="4D69341E"/>
    <w:rsid w:val="4D7C440A"/>
    <w:rsid w:val="4D8C494F"/>
    <w:rsid w:val="4D907392"/>
    <w:rsid w:val="4DDE0F4B"/>
    <w:rsid w:val="4E1458CD"/>
    <w:rsid w:val="4E421330"/>
    <w:rsid w:val="4E4C44BA"/>
    <w:rsid w:val="4E7C3AE4"/>
    <w:rsid w:val="4E7D486E"/>
    <w:rsid w:val="4EB6646D"/>
    <w:rsid w:val="4EBE5C67"/>
    <w:rsid w:val="4EC476BC"/>
    <w:rsid w:val="4ED11A10"/>
    <w:rsid w:val="4ED36571"/>
    <w:rsid w:val="4EFA21EE"/>
    <w:rsid w:val="4F01461F"/>
    <w:rsid w:val="4F2A2BCF"/>
    <w:rsid w:val="4F5E692A"/>
    <w:rsid w:val="4FA766A8"/>
    <w:rsid w:val="4FDA48F5"/>
    <w:rsid w:val="504413AB"/>
    <w:rsid w:val="50964CC0"/>
    <w:rsid w:val="50A35267"/>
    <w:rsid w:val="50EE5FDE"/>
    <w:rsid w:val="50F41DA8"/>
    <w:rsid w:val="510F6896"/>
    <w:rsid w:val="51105A0F"/>
    <w:rsid w:val="51171D45"/>
    <w:rsid w:val="51404F43"/>
    <w:rsid w:val="519805C3"/>
    <w:rsid w:val="519C7BCD"/>
    <w:rsid w:val="51B11685"/>
    <w:rsid w:val="51F82BBB"/>
    <w:rsid w:val="522B7DE8"/>
    <w:rsid w:val="522D3402"/>
    <w:rsid w:val="52347D1C"/>
    <w:rsid w:val="523C53F3"/>
    <w:rsid w:val="527728CF"/>
    <w:rsid w:val="52D10F8C"/>
    <w:rsid w:val="52DC6BD6"/>
    <w:rsid w:val="52EB6588"/>
    <w:rsid w:val="52EF677C"/>
    <w:rsid w:val="53157C48"/>
    <w:rsid w:val="5324413E"/>
    <w:rsid w:val="53AC0B8F"/>
    <w:rsid w:val="53AC11E6"/>
    <w:rsid w:val="53BD2F33"/>
    <w:rsid w:val="542D2B1D"/>
    <w:rsid w:val="54413DC6"/>
    <w:rsid w:val="54417AF7"/>
    <w:rsid w:val="545F208E"/>
    <w:rsid w:val="5472334E"/>
    <w:rsid w:val="548E4707"/>
    <w:rsid w:val="54A61249"/>
    <w:rsid w:val="54D77655"/>
    <w:rsid w:val="54F634F2"/>
    <w:rsid w:val="551C7980"/>
    <w:rsid w:val="55417957"/>
    <w:rsid w:val="5549056E"/>
    <w:rsid w:val="555E5F8A"/>
    <w:rsid w:val="55C81AB9"/>
    <w:rsid w:val="55E72F2E"/>
    <w:rsid w:val="55E95892"/>
    <w:rsid w:val="55FF1840"/>
    <w:rsid w:val="55FF6EF7"/>
    <w:rsid w:val="56277A93"/>
    <w:rsid w:val="56325CFA"/>
    <w:rsid w:val="5664557C"/>
    <w:rsid w:val="56913258"/>
    <w:rsid w:val="569B7D3A"/>
    <w:rsid w:val="56BB3C75"/>
    <w:rsid w:val="56C07F03"/>
    <w:rsid w:val="56C3089C"/>
    <w:rsid w:val="56DE7067"/>
    <w:rsid w:val="570955B4"/>
    <w:rsid w:val="5725657E"/>
    <w:rsid w:val="574C257C"/>
    <w:rsid w:val="57527C3E"/>
    <w:rsid w:val="57607ED2"/>
    <w:rsid w:val="57710F2A"/>
    <w:rsid w:val="57714A87"/>
    <w:rsid w:val="5783793E"/>
    <w:rsid w:val="578C0BCA"/>
    <w:rsid w:val="579D4B86"/>
    <w:rsid w:val="57CB34E7"/>
    <w:rsid w:val="57CC2BA0"/>
    <w:rsid w:val="57D13BDA"/>
    <w:rsid w:val="580956C4"/>
    <w:rsid w:val="583E5061"/>
    <w:rsid w:val="585660EF"/>
    <w:rsid w:val="5878533F"/>
    <w:rsid w:val="587B1836"/>
    <w:rsid w:val="58B54151"/>
    <w:rsid w:val="58DC7930"/>
    <w:rsid w:val="58DF3A45"/>
    <w:rsid w:val="58EB36CF"/>
    <w:rsid w:val="59257C80"/>
    <w:rsid w:val="592D7DD9"/>
    <w:rsid w:val="597B5DBE"/>
    <w:rsid w:val="597C73A7"/>
    <w:rsid w:val="598D26AC"/>
    <w:rsid w:val="59902517"/>
    <w:rsid w:val="599F77C9"/>
    <w:rsid w:val="59B44408"/>
    <w:rsid w:val="59BF49F3"/>
    <w:rsid w:val="59C70988"/>
    <w:rsid w:val="59C95F43"/>
    <w:rsid w:val="59CA59DA"/>
    <w:rsid w:val="59DE214B"/>
    <w:rsid w:val="59F53571"/>
    <w:rsid w:val="5A0045B8"/>
    <w:rsid w:val="5A0D0F8F"/>
    <w:rsid w:val="5A21245B"/>
    <w:rsid w:val="5A3B26B8"/>
    <w:rsid w:val="5A772767"/>
    <w:rsid w:val="5A89377C"/>
    <w:rsid w:val="5A93268F"/>
    <w:rsid w:val="5AB2046A"/>
    <w:rsid w:val="5AC82B93"/>
    <w:rsid w:val="5AE14D89"/>
    <w:rsid w:val="5AE6318E"/>
    <w:rsid w:val="5AF414BE"/>
    <w:rsid w:val="5AFB13A2"/>
    <w:rsid w:val="5B0171D9"/>
    <w:rsid w:val="5B2D563B"/>
    <w:rsid w:val="5B487F38"/>
    <w:rsid w:val="5B4E0490"/>
    <w:rsid w:val="5B607711"/>
    <w:rsid w:val="5B686F75"/>
    <w:rsid w:val="5BFF13ED"/>
    <w:rsid w:val="5C142F3C"/>
    <w:rsid w:val="5C583771"/>
    <w:rsid w:val="5C8E651C"/>
    <w:rsid w:val="5CA377CF"/>
    <w:rsid w:val="5CCE57E1"/>
    <w:rsid w:val="5CE3404F"/>
    <w:rsid w:val="5CE538EF"/>
    <w:rsid w:val="5D120EE1"/>
    <w:rsid w:val="5D3A5D7E"/>
    <w:rsid w:val="5D3F4F5B"/>
    <w:rsid w:val="5D766CBF"/>
    <w:rsid w:val="5D7C6FEB"/>
    <w:rsid w:val="5DA550B9"/>
    <w:rsid w:val="5DAA3547"/>
    <w:rsid w:val="5DB443B5"/>
    <w:rsid w:val="5DC012A8"/>
    <w:rsid w:val="5DCA7D57"/>
    <w:rsid w:val="5DE3706A"/>
    <w:rsid w:val="5E2D4789"/>
    <w:rsid w:val="5E2E232E"/>
    <w:rsid w:val="5E313880"/>
    <w:rsid w:val="5E803BCC"/>
    <w:rsid w:val="5E873E9A"/>
    <w:rsid w:val="5E8A187A"/>
    <w:rsid w:val="5E9733D8"/>
    <w:rsid w:val="5EAA56B1"/>
    <w:rsid w:val="5EAE4FD3"/>
    <w:rsid w:val="5EB27108"/>
    <w:rsid w:val="5EC43DFE"/>
    <w:rsid w:val="5ECF055D"/>
    <w:rsid w:val="5F09244A"/>
    <w:rsid w:val="5F1A63D6"/>
    <w:rsid w:val="5F7A01B5"/>
    <w:rsid w:val="5F9177D9"/>
    <w:rsid w:val="5F9E0381"/>
    <w:rsid w:val="5FBC4DCF"/>
    <w:rsid w:val="5FBD159D"/>
    <w:rsid w:val="5FD41D53"/>
    <w:rsid w:val="600232C7"/>
    <w:rsid w:val="600474BD"/>
    <w:rsid w:val="600C2AB9"/>
    <w:rsid w:val="602A334A"/>
    <w:rsid w:val="60340B21"/>
    <w:rsid w:val="60410FB0"/>
    <w:rsid w:val="6084703E"/>
    <w:rsid w:val="60B25AEA"/>
    <w:rsid w:val="60B92304"/>
    <w:rsid w:val="60E11843"/>
    <w:rsid w:val="612C4930"/>
    <w:rsid w:val="614442C4"/>
    <w:rsid w:val="615C6151"/>
    <w:rsid w:val="616017BB"/>
    <w:rsid w:val="61686204"/>
    <w:rsid w:val="619F4014"/>
    <w:rsid w:val="61BD2A1D"/>
    <w:rsid w:val="61F61A82"/>
    <w:rsid w:val="61F77588"/>
    <w:rsid w:val="620424E6"/>
    <w:rsid w:val="62047871"/>
    <w:rsid w:val="622B3906"/>
    <w:rsid w:val="62494283"/>
    <w:rsid w:val="62EF46F3"/>
    <w:rsid w:val="63D170AC"/>
    <w:rsid w:val="640970FF"/>
    <w:rsid w:val="642B7DAF"/>
    <w:rsid w:val="642C0232"/>
    <w:rsid w:val="642D641E"/>
    <w:rsid w:val="646D3E65"/>
    <w:rsid w:val="647D2112"/>
    <w:rsid w:val="64914748"/>
    <w:rsid w:val="64BB1392"/>
    <w:rsid w:val="64C93ECA"/>
    <w:rsid w:val="64CA3CB4"/>
    <w:rsid w:val="64CB0731"/>
    <w:rsid w:val="64E2585A"/>
    <w:rsid w:val="64EA5182"/>
    <w:rsid w:val="64EC0669"/>
    <w:rsid w:val="65044496"/>
    <w:rsid w:val="652103CF"/>
    <w:rsid w:val="652B41A6"/>
    <w:rsid w:val="65693C54"/>
    <w:rsid w:val="65714A10"/>
    <w:rsid w:val="65776156"/>
    <w:rsid w:val="65896749"/>
    <w:rsid w:val="65AE61B0"/>
    <w:rsid w:val="65B705EA"/>
    <w:rsid w:val="65EF7DA6"/>
    <w:rsid w:val="65FC09A8"/>
    <w:rsid w:val="660C265C"/>
    <w:rsid w:val="6632293D"/>
    <w:rsid w:val="667941AD"/>
    <w:rsid w:val="66903AB5"/>
    <w:rsid w:val="66BA6E26"/>
    <w:rsid w:val="66F10A4A"/>
    <w:rsid w:val="671879DE"/>
    <w:rsid w:val="67477DD7"/>
    <w:rsid w:val="6788637E"/>
    <w:rsid w:val="67923FAF"/>
    <w:rsid w:val="67997816"/>
    <w:rsid w:val="67A856DC"/>
    <w:rsid w:val="67AB689B"/>
    <w:rsid w:val="67D565E6"/>
    <w:rsid w:val="67DD65CD"/>
    <w:rsid w:val="67EC5B39"/>
    <w:rsid w:val="682E6AFE"/>
    <w:rsid w:val="6843464A"/>
    <w:rsid w:val="687A082D"/>
    <w:rsid w:val="68A501F9"/>
    <w:rsid w:val="68AF4719"/>
    <w:rsid w:val="68B476C6"/>
    <w:rsid w:val="68C640DE"/>
    <w:rsid w:val="68D250A1"/>
    <w:rsid w:val="68F949C9"/>
    <w:rsid w:val="69194288"/>
    <w:rsid w:val="695F41A3"/>
    <w:rsid w:val="6960644A"/>
    <w:rsid w:val="69676C0C"/>
    <w:rsid w:val="698D10CC"/>
    <w:rsid w:val="69A00505"/>
    <w:rsid w:val="69AE1092"/>
    <w:rsid w:val="69C410AA"/>
    <w:rsid w:val="69C959DF"/>
    <w:rsid w:val="6A2D62D3"/>
    <w:rsid w:val="6A346D48"/>
    <w:rsid w:val="6A4B43FD"/>
    <w:rsid w:val="6A576495"/>
    <w:rsid w:val="6A613B14"/>
    <w:rsid w:val="6A753B41"/>
    <w:rsid w:val="6A940813"/>
    <w:rsid w:val="6AC00E8A"/>
    <w:rsid w:val="6AC33D7B"/>
    <w:rsid w:val="6AC515DC"/>
    <w:rsid w:val="6B0335F9"/>
    <w:rsid w:val="6B1E1664"/>
    <w:rsid w:val="6B454EF2"/>
    <w:rsid w:val="6BA30B8B"/>
    <w:rsid w:val="6BC664F4"/>
    <w:rsid w:val="6BD36CF4"/>
    <w:rsid w:val="6C402332"/>
    <w:rsid w:val="6C891725"/>
    <w:rsid w:val="6CDE2D6D"/>
    <w:rsid w:val="6CDF630A"/>
    <w:rsid w:val="6CFE17CB"/>
    <w:rsid w:val="6D025E70"/>
    <w:rsid w:val="6D0A63C2"/>
    <w:rsid w:val="6D0E40DB"/>
    <w:rsid w:val="6D2120C6"/>
    <w:rsid w:val="6D2917A9"/>
    <w:rsid w:val="6D2C01D4"/>
    <w:rsid w:val="6D4E6E2B"/>
    <w:rsid w:val="6D514B1A"/>
    <w:rsid w:val="6D712B93"/>
    <w:rsid w:val="6D785A21"/>
    <w:rsid w:val="6DCD6F00"/>
    <w:rsid w:val="6DD70987"/>
    <w:rsid w:val="6DD85753"/>
    <w:rsid w:val="6DDA2BFD"/>
    <w:rsid w:val="6DDE05B9"/>
    <w:rsid w:val="6DE049BF"/>
    <w:rsid w:val="6E2E4332"/>
    <w:rsid w:val="6E6C0E13"/>
    <w:rsid w:val="6E8615C7"/>
    <w:rsid w:val="6E886FBB"/>
    <w:rsid w:val="6EA23ED2"/>
    <w:rsid w:val="6EA4707E"/>
    <w:rsid w:val="6EDD1581"/>
    <w:rsid w:val="6EE37D9F"/>
    <w:rsid w:val="6EF57BEA"/>
    <w:rsid w:val="6F1B4E23"/>
    <w:rsid w:val="6F1E3CE5"/>
    <w:rsid w:val="6F33431F"/>
    <w:rsid w:val="6F627C19"/>
    <w:rsid w:val="6F681AEC"/>
    <w:rsid w:val="6F8C7562"/>
    <w:rsid w:val="6FB07A6B"/>
    <w:rsid w:val="6FD15FB0"/>
    <w:rsid w:val="6FD71E92"/>
    <w:rsid w:val="6FDC1B6B"/>
    <w:rsid w:val="6FE0340A"/>
    <w:rsid w:val="6FE93004"/>
    <w:rsid w:val="6FED3CDB"/>
    <w:rsid w:val="701F1A47"/>
    <w:rsid w:val="70227EC6"/>
    <w:rsid w:val="70381498"/>
    <w:rsid w:val="703F60A8"/>
    <w:rsid w:val="70460911"/>
    <w:rsid w:val="70530681"/>
    <w:rsid w:val="70644A73"/>
    <w:rsid w:val="70822713"/>
    <w:rsid w:val="70B46F74"/>
    <w:rsid w:val="70C160FE"/>
    <w:rsid w:val="70E02081"/>
    <w:rsid w:val="70EF1F9B"/>
    <w:rsid w:val="714E772A"/>
    <w:rsid w:val="71616E00"/>
    <w:rsid w:val="71A32941"/>
    <w:rsid w:val="71B27F52"/>
    <w:rsid w:val="71CE6184"/>
    <w:rsid w:val="71E73175"/>
    <w:rsid w:val="71FB028A"/>
    <w:rsid w:val="7242215A"/>
    <w:rsid w:val="724B5262"/>
    <w:rsid w:val="7254536D"/>
    <w:rsid w:val="72867401"/>
    <w:rsid w:val="72875C50"/>
    <w:rsid w:val="729130E1"/>
    <w:rsid w:val="72BB3CBA"/>
    <w:rsid w:val="72D134DE"/>
    <w:rsid w:val="72FA5E2A"/>
    <w:rsid w:val="72FD1EE3"/>
    <w:rsid w:val="73900C02"/>
    <w:rsid w:val="73940F35"/>
    <w:rsid w:val="73BE334D"/>
    <w:rsid w:val="73D253BE"/>
    <w:rsid w:val="740E0F6C"/>
    <w:rsid w:val="746C5BB4"/>
    <w:rsid w:val="748B7538"/>
    <w:rsid w:val="74A36C66"/>
    <w:rsid w:val="74A909A2"/>
    <w:rsid w:val="74E538AA"/>
    <w:rsid w:val="74EB0EC0"/>
    <w:rsid w:val="74FA2CFF"/>
    <w:rsid w:val="74FE7F1B"/>
    <w:rsid w:val="75246225"/>
    <w:rsid w:val="7529519B"/>
    <w:rsid w:val="752A613E"/>
    <w:rsid w:val="75360D61"/>
    <w:rsid w:val="7541494A"/>
    <w:rsid w:val="75AB44BA"/>
    <w:rsid w:val="75CC203F"/>
    <w:rsid w:val="75F6021B"/>
    <w:rsid w:val="76557CFE"/>
    <w:rsid w:val="767D2702"/>
    <w:rsid w:val="76847F9D"/>
    <w:rsid w:val="76A47A33"/>
    <w:rsid w:val="76A52F33"/>
    <w:rsid w:val="76AD3EE0"/>
    <w:rsid w:val="76B40FB3"/>
    <w:rsid w:val="76C573BE"/>
    <w:rsid w:val="76D87DA0"/>
    <w:rsid w:val="77162D24"/>
    <w:rsid w:val="772A0B42"/>
    <w:rsid w:val="77463913"/>
    <w:rsid w:val="778154D2"/>
    <w:rsid w:val="77AF64E3"/>
    <w:rsid w:val="77B3710F"/>
    <w:rsid w:val="77E4782D"/>
    <w:rsid w:val="77F14B39"/>
    <w:rsid w:val="78323D73"/>
    <w:rsid w:val="78326FD3"/>
    <w:rsid w:val="784C2A94"/>
    <w:rsid w:val="784E6FD5"/>
    <w:rsid w:val="790C01B6"/>
    <w:rsid w:val="7947653A"/>
    <w:rsid w:val="795758AD"/>
    <w:rsid w:val="79764F6E"/>
    <w:rsid w:val="7982320E"/>
    <w:rsid w:val="79992F3A"/>
    <w:rsid w:val="79A04F7A"/>
    <w:rsid w:val="79AE33E5"/>
    <w:rsid w:val="79DF3E60"/>
    <w:rsid w:val="79EC68CF"/>
    <w:rsid w:val="7A921700"/>
    <w:rsid w:val="7A9D7487"/>
    <w:rsid w:val="7AB22019"/>
    <w:rsid w:val="7AD324E9"/>
    <w:rsid w:val="7ADF7850"/>
    <w:rsid w:val="7AFA273A"/>
    <w:rsid w:val="7B447C52"/>
    <w:rsid w:val="7B4A57A5"/>
    <w:rsid w:val="7B4E05AB"/>
    <w:rsid w:val="7B5D1DB2"/>
    <w:rsid w:val="7B8A1A01"/>
    <w:rsid w:val="7BAD6BCB"/>
    <w:rsid w:val="7BBF4CC5"/>
    <w:rsid w:val="7BE44282"/>
    <w:rsid w:val="7BEB23A7"/>
    <w:rsid w:val="7C1A207B"/>
    <w:rsid w:val="7C30076C"/>
    <w:rsid w:val="7C3B3D33"/>
    <w:rsid w:val="7C537629"/>
    <w:rsid w:val="7C9712F4"/>
    <w:rsid w:val="7CA51C63"/>
    <w:rsid w:val="7CAE5E12"/>
    <w:rsid w:val="7CC04CEF"/>
    <w:rsid w:val="7CC83F86"/>
    <w:rsid w:val="7CCA3711"/>
    <w:rsid w:val="7CCE6A29"/>
    <w:rsid w:val="7CD71937"/>
    <w:rsid w:val="7CEA04EE"/>
    <w:rsid w:val="7CEC0790"/>
    <w:rsid w:val="7CF92E67"/>
    <w:rsid w:val="7D0D0CD7"/>
    <w:rsid w:val="7D0F532E"/>
    <w:rsid w:val="7D1A5598"/>
    <w:rsid w:val="7D1F193A"/>
    <w:rsid w:val="7D2E5A63"/>
    <w:rsid w:val="7D86745E"/>
    <w:rsid w:val="7D9921C2"/>
    <w:rsid w:val="7D9A12A0"/>
    <w:rsid w:val="7DE00C30"/>
    <w:rsid w:val="7DEE4676"/>
    <w:rsid w:val="7DF50DED"/>
    <w:rsid w:val="7DFE187A"/>
    <w:rsid w:val="7E0706D0"/>
    <w:rsid w:val="7E331077"/>
    <w:rsid w:val="7E6D055E"/>
    <w:rsid w:val="7E8A7362"/>
    <w:rsid w:val="7EBF38DE"/>
    <w:rsid w:val="7ED25A6D"/>
    <w:rsid w:val="7EF95A5A"/>
    <w:rsid w:val="7F1450F4"/>
    <w:rsid w:val="7F2E09F5"/>
    <w:rsid w:val="7F464EAE"/>
    <w:rsid w:val="7F531E4A"/>
    <w:rsid w:val="7F6F10F3"/>
    <w:rsid w:val="7FA34660"/>
    <w:rsid w:val="7FB117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Book Antiqua" w:hAnsi="Book Antiqua" w:eastAsia="宋体" w:cs="Times New Roman"/>
      <w:kern w:val="2"/>
      <w:sz w:val="21"/>
      <w:szCs w:val="24"/>
      <w:lang w:val="en-US" w:eastAsia="zh-CN" w:bidi="ar-SA"/>
    </w:rPr>
  </w:style>
  <w:style w:type="paragraph" w:styleId="2">
    <w:name w:val="heading 1"/>
    <w:basedOn w:val="1"/>
    <w:next w:val="1"/>
    <w:link w:val="40"/>
    <w:qFormat/>
    <w:uiPriority w:val="0"/>
    <w:pPr>
      <w:keepNext/>
      <w:keepLines/>
      <w:spacing w:line="579" w:lineRule="auto"/>
      <w:jc w:val="center"/>
      <w:outlineLvl w:val="0"/>
    </w:pPr>
    <w:rPr>
      <w:b/>
      <w:bCs/>
      <w:kern w:val="44"/>
      <w:sz w:val="32"/>
      <w:szCs w:val="44"/>
    </w:rPr>
  </w:style>
  <w:style w:type="paragraph" w:styleId="3">
    <w:name w:val="heading 2"/>
    <w:basedOn w:val="1"/>
    <w:next w:val="1"/>
    <w:link w:val="41"/>
    <w:qFormat/>
    <w:uiPriority w:val="9"/>
    <w:pPr>
      <w:keepNext/>
      <w:keepLines/>
      <w:spacing w:line="416" w:lineRule="auto"/>
      <w:jc w:val="center"/>
      <w:outlineLvl w:val="1"/>
    </w:pPr>
    <w:rPr>
      <w:rFonts w:ascii="Calibri Light" w:hAnsi="Calibri Light"/>
      <w:b/>
      <w:bCs/>
      <w:sz w:val="32"/>
      <w:szCs w:val="32"/>
    </w:rPr>
  </w:style>
  <w:style w:type="paragraph" w:styleId="4">
    <w:name w:val="heading 3"/>
    <w:basedOn w:val="1"/>
    <w:next w:val="1"/>
    <w:link w:val="42"/>
    <w:qFormat/>
    <w:uiPriority w:val="9"/>
    <w:pPr>
      <w:keepNext/>
      <w:keepLines/>
      <w:spacing w:line="416" w:lineRule="auto"/>
      <w:jc w:val="center"/>
      <w:outlineLvl w:val="2"/>
    </w:pPr>
    <w:rPr>
      <w:b/>
      <w:bCs/>
      <w:kern w:val="0"/>
      <w:sz w:val="30"/>
      <w:szCs w:val="32"/>
    </w:rPr>
  </w:style>
  <w:style w:type="paragraph" w:styleId="5">
    <w:name w:val="heading 4"/>
    <w:basedOn w:val="1"/>
    <w:next w:val="1"/>
    <w:link w:val="89"/>
    <w:qFormat/>
    <w:uiPriority w:val="9"/>
    <w:pPr>
      <w:keepNext/>
      <w:keepLines/>
      <w:spacing w:before="280" w:after="290" w:line="376" w:lineRule="auto"/>
      <w:outlineLvl w:val="3"/>
    </w:pPr>
    <w:rPr>
      <w:rFonts w:ascii="Times New Roman" w:hAnsi="Times New Roman"/>
      <w:sz w:val="32"/>
      <w:szCs w:val="20"/>
    </w:rPr>
  </w:style>
  <w:style w:type="paragraph" w:styleId="6">
    <w:name w:val="heading 5"/>
    <w:basedOn w:val="1"/>
    <w:next w:val="1"/>
    <w:link w:val="90"/>
    <w:qFormat/>
    <w:uiPriority w:val="9"/>
    <w:pPr>
      <w:numPr>
        <w:ilvl w:val="4"/>
        <w:numId w:val="1"/>
      </w:numPr>
      <w:outlineLvl w:val="4"/>
    </w:pPr>
    <w:rPr>
      <w:bCs/>
      <w:szCs w:val="28"/>
    </w:rPr>
  </w:style>
  <w:style w:type="paragraph" w:styleId="7">
    <w:name w:val="heading 6"/>
    <w:basedOn w:val="1"/>
    <w:next w:val="1"/>
    <w:link w:val="91"/>
    <w:qFormat/>
    <w:uiPriority w:val="9"/>
    <w:pPr>
      <w:numPr>
        <w:ilvl w:val="5"/>
        <w:numId w:val="1"/>
      </w:numPr>
      <w:outlineLvl w:val="5"/>
    </w:pPr>
    <w:rPr>
      <w:bCs/>
    </w:rPr>
  </w:style>
  <w:style w:type="paragraph" w:styleId="8">
    <w:name w:val="heading 7"/>
    <w:basedOn w:val="1"/>
    <w:next w:val="1"/>
    <w:link w:val="92"/>
    <w:qFormat/>
    <w:uiPriority w:val="9"/>
    <w:pPr>
      <w:numPr>
        <w:ilvl w:val="6"/>
        <w:numId w:val="1"/>
      </w:numPr>
      <w:outlineLvl w:val="6"/>
    </w:pPr>
    <w:rPr>
      <w:bCs/>
    </w:rPr>
  </w:style>
  <w:style w:type="paragraph" w:styleId="9">
    <w:name w:val="heading 8"/>
    <w:basedOn w:val="1"/>
    <w:next w:val="1"/>
    <w:link w:val="93"/>
    <w:qFormat/>
    <w:uiPriority w:val="9"/>
    <w:pPr>
      <w:keepNext/>
      <w:numPr>
        <w:ilvl w:val="7"/>
        <w:numId w:val="1"/>
      </w:numPr>
      <w:outlineLvl w:val="7"/>
    </w:pPr>
  </w:style>
  <w:style w:type="paragraph" w:styleId="10">
    <w:name w:val="heading 9"/>
    <w:basedOn w:val="1"/>
    <w:next w:val="1"/>
    <w:link w:val="94"/>
    <w:qFormat/>
    <w:uiPriority w:val="9"/>
    <w:pPr>
      <w:numPr>
        <w:ilvl w:val="8"/>
        <w:numId w:val="1"/>
      </w:num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autoRedefine/>
    <w:unhideWhenUsed/>
    <w:qFormat/>
    <w:uiPriority w:val="99"/>
    <w:pPr>
      <w:ind w:left="420" w:leftChars="200"/>
    </w:pPr>
  </w:style>
  <w:style w:type="paragraph" w:styleId="12">
    <w:name w:val="Normal Indent"/>
    <w:basedOn w:val="1"/>
    <w:autoRedefine/>
    <w:unhideWhenUsed/>
    <w:qFormat/>
    <w:uiPriority w:val="0"/>
    <w:pPr>
      <w:ind w:firstLine="420"/>
    </w:pPr>
    <w:rPr>
      <w:rFonts w:ascii="Calibri" w:hAnsi="Calibri"/>
      <w:szCs w:val="20"/>
    </w:rPr>
  </w:style>
  <w:style w:type="paragraph" w:styleId="13">
    <w:name w:val="caption"/>
    <w:basedOn w:val="1"/>
    <w:next w:val="1"/>
    <w:autoRedefine/>
    <w:qFormat/>
    <w:uiPriority w:val="0"/>
    <w:rPr>
      <w:rFonts w:ascii="Arial" w:hAnsi="Arial" w:eastAsia="黑体" w:cstheme="minorBidi"/>
      <w:sz w:val="20"/>
    </w:rPr>
  </w:style>
  <w:style w:type="paragraph" w:styleId="14">
    <w:name w:val="toa heading"/>
    <w:basedOn w:val="1"/>
    <w:next w:val="1"/>
    <w:autoRedefine/>
    <w:unhideWhenUsed/>
    <w:qFormat/>
    <w:uiPriority w:val="99"/>
    <w:pPr>
      <w:spacing w:before="120"/>
    </w:pPr>
    <w:rPr>
      <w:rFonts w:ascii="Arial" w:hAnsi="Arial" w:cs="Arial"/>
      <w:sz w:val="24"/>
    </w:rPr>
  </w:style>
  <w:style w:type="paragraph" w:styleId="15">
    <w:name w:val="annotation text"/>
    <w:basedOn w:val="1"/>
    <w:link w:val="71"/>
    <w:autoRedefine/>
    <w:qFormat/>
    <w:uiPriority w:val="0"/>
    <w:pPr>
      <w:jc w:val="left"/>
    </w:pPr>
  </w:style>
  <w:style w:type="paragraph" w:styleId="16">
    <w:name w:val="Body Text 3"/>
    <w:basedOn w:val="1"/>
    <w:autoRedefine/>
    <w:unhideWhenUsed/>
    <w:qFormat/>
    <w:uiPriority w:val="0"/>
    <w:pPr>
      <w:spacing w:after="120"/>
    </w:pPr>
    <w:rPr>
      <w:rFonts w:ascii="Times New Roman" w:hAnsi="Times New Roman"/>
      <w:sz w:val="16"/>
      <w:szCs w:val="16"/>
    </w:rPr>
  </w:style>
  <w:style w:type="paragraph" w:styleId="17">
    <w:name w:val="Body Text"/>
    <w:basedOn w:val="1"/>
    <w:next w:val="1"/>
    <w:link w:val="95"/>
    <w:autoRedefine/>
    <w:qFormat/>
    <w:uiPriority w:val="0"/>
    <w:rPr>
      <w:rFonts w:ascii="Times New Roman" w:hAnsi="Times New Roman"/>
    </w:rPr>
  </w:style>
  <w:style w:type="paragraph" w:styleId="18">
    <w:name w:val="Body Text Indent"/>
    <w:basedOn w:val="1"/>
    <w:link w:val="87"/>
    <w:autoRedefine/>
    <w:qFormat/>
    <w:uiPriority w:val="99"/>
    <w:pPr>
      <w:ind w:firstLine="560" w:firstLineChars="200"/>
    </w:pPr>
    <w:rPr>
      <w:rFonts w:ascii="Times New Roman" w:hAnsi="Times New Roman"/>
    </w:rPr>
  </w:style>
  <w:style w:type="paragraph" w:styleId="19">
    <w:name w:val="toc 3"/>
    <w:basedOn w:val="1"/>
    <w:next w:val="1"/>
    <w:autoRedefine/>
    <w:qFormat/>
    <w:uiPriority w:val="0"/>
    <w:pPr>
      <w:ind w:left="840" w:leftChars="400"/>
    </w:pPr>
  </w:style>
  <w:style w:type="paragraph" w:styleId="20">
    <w:name w:val="Plain Text"/>
    <w:basedOn w:val="1"/>
    <w:autoRedefine/>
    <w:qFormat/>
    <w:uiPriority w:val="0"/>
    <w:rPr>
      <w:rFonts w:hint="eastAsia" w:ascii="宋体" w:hAnsi="Courier New"/>
      <w:szCs w:val="21"/>
    </w:rPr>
  </w:style>
  <w:style w:type="paragraph" w:styleId="21">
    <w:name w:val="Balloon Text"/>
    <w:basedOn w:val="1"/>
    <w:link w:val="73"/>
    <w:autoRedefine/>
    <w:qFormat/>
    <w:uiPriority w:val="0"/>
    <w:rPr>
      <w:sz w:val="18"/>
      <w:szCs w:val="18"/>
    </w:rPr>
  </w:style>
  <w:style w:type="paragraph" w:styleId="22">
    <w:name w:val="footer"/>
    <w:basedOn w:val="1"/>
    <w:link w:val="97"/>
    <w:autoRedefine/>
    <w:qFormat/>
    <w:uiPriority w:val="99"/>
    <w:pPr>
      <w:tabs>
        <w:tab w:val="center" w:pos="4153"/>
        <w:tab w:val="right" w:pos="8306"/>
      </w:tabs>
      <w:snapToGrid w:val="0"/>
      <w:jc w:val="left"/>
    </w:pPr>
    <w:rPr>
      <w:rFonts w:ascii="Times New Roman" w:hAnsi="Times New Roman"/>
      <w:sz w:val="18"/>
      <w:szCs w:val="18"/>
    </w:rPr>
  </w:style>
  <w:style w:type="paragraph" w:styleId="23">
    <w:name w:val="envelope return"/>
    <w:basedOn w:val="1"/>
    <w:autoRedefine/>
    <w:qFormat/>
    <w:uiPriority w:val="99"/>
    <w:pPr>
      <w:snapToGrid w:val="0"/>
    </w:pPr>
    <w:rPr>
      <w:rFonts w:ascii="Arial" w:hAnsi="Arial" w:cs="Arial"/>
    </w:rPr>
  </w:style>
  <w:style w:type="paragraph" w:styleId="24">
    <w:name w:val="header"/>
    <w:basedOn w:val="1"/>
    <w:link w:val="98"/>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szCs w:val="18"/>
    </w:rPr>
  </w:style>
  <w:style w:type="paragraph" w:styleId="25">
    <w:name w:val="toc 1"/>
    <w:basedOn w:val="1"/>
    <w:next w:val="1"/>
    <w:autoRedefine/>
    <w:qFormat/>
    <w:uiPriority w:val="0"/>
    <w:rPr>
      <w:rFonts w:ascii="Times New Roman" w:hAnsi="Times New Roman"/>
    </w:rPr>
  </w:style>
  <w:style w:type="paragraph" w:styleId="26">
    <w:name w:val="toc 4"/>
    <w:basedOn w:val="1"/>
    <w:next w:val="1"/>
    <w:link w:val="99"/>
    <w:qFormat/>
    <w:uiPriority w:val="0"/>
    <w:pPr>
      <w:spacing w:line="360" w:lineRule="auto"/>
      <w:ind w:left="1260" w:leftChars="600"/>
    </w:pPr>
    <w:rPr>
      <w:rFonts w:ascii="Arial" w:hAnsi="Arial"/>
      <w:sz w:val="24"/>
      <w:szCs w:val="21"/>
    </w:rPr>
  </w:style>
  <w:style w:type="paragraph" w:styleId="27">
    <w:name w:val="toc 2"/>
    <w:basedOn w:val="1"/>
    <w:next w:val="1"/>
    <w:autoRedefine/>
    <w:qFormat/>
    <w:uiPriority w:val="0"/>
    <w:pPr>
      <w:ind w:left="420" w:leftChars="200"/>
    </w:pPr>
  </w:style>
  <w:style w:type="paragraph" w:styleId="28">
    <w:name w:val="Body Text 2"/>
    <w:basedOn w:val="1"/>
    <w:next w:val="17"/>
    <w:link w:val="96"/>
    <w:autoRedefine/>
    <w:unhideWhenUsed/>
    <w:qFormat/>
    <w:uiPriority w:val="0"/>
    <w:pPr>
      <w:spacing w:after="120" w:line="480" w:lineRule="auto"/>
    </w:pPr>
    <w:rPr>
      <w:rFonts w:ascii="Times New Roman" w:hAnsi="Times New Roman"/>
    </w:rPr>
  </w:style>
  <w:style w:type="paragraph" w:styleId="2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0">
    <w:name w:val="Title"/>
    <w:basedOn w:val="1"/>
    <w:next w:val="1"/>
    <w:autoRedefine/>
    <w:qFormat/>
    <w:uiPriority w:val="0"/>
    <w:pPr>
      <w:spacing w:before="240" w:after="60"/>
      <w:jc w:val="center"/>
      <w:outlineLvl w:val="0"/>
    </w:pPr>
    <w:rPr>
      <w:rFonts w:ascii="Calibri Light" w:hAnsi="Calibri Light" w:eastAsia="Calibri Light"/>
      <w:b/>
      <w:sz w:val="32"/>
      <w:szCs w:val="32"/>
    </w:rPr>
  </w:style>
  <w:style w:type="paragraph" w:styleId="31">
    <w:name w:val="annotation subject"/>
    <w:basedOn w:val="15"/>
    <w:next w:val="15"/>
    <w:link w:val="72"/>
    <w:autoRedefine/>
    <w:qFormat/>
    <w:uiPriority w:val="0"/>
    <w:rPr>
      <w:b/>
      <w:bCs/>
    </w:rPr>
  </w:style>
  <w:style w:type="paragraph" w:styleId="32">
    <w:name w:val="Body Text First Indent"/>
    <w:basedOn w:val="17"/>
    <w:next w:val="33"/>
    <w:autoRedefine/>
    <w:unhideWhenUsed/>
    <w:qFormat/>
    <w:uiPriority w:val="0"/>
    <w:pPr>
      <w:ind w:firstLine="420" w:firstLineChars="100"/>
    </w:pPr>
    <w:rPr>
      <w:rFonts w:hint="eastAsia" w:ascii="楷体_GB2312" w:eastAsia="楷体_GB2312"/>
      <w:sz w:val="32"/>
    </w:rPr>
  </w:style>
  <w:style w:type="paragraph" w:styleId="33">
    <w:name w:val="Body Text First Indent 2"/>
    <w:basedOn w:val="18"/>
    <w:next w:val="1"/>
    <w:link w:val="88"/>
    <w:autoRedefine/>
    <w:qFormat/>
    <w:uiPriority w:val="0"/>
    <w:pPr>
      <w:spacing w:line="500" w:lineRule="exact"/>
      <w:ind w:firstLine="480"/>
    </w:pPr>
    <w:rPr>
      <w:rFonts w:asciiTheme="minorEastAsia" w:hAnsiTheme="minorEastAsia" w:eastAsiaTheme="minorEastAsia" w:cstheme="minorEastAsia"/>
      <w:sz w:val="24"/>
    </w:rPr>
  </w:style>
  <w:style w:type="table" w:styleId="35">
    <w:name w:val="Table Grid"/>
    <w:basedOn w:val="3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Hyperlink"/>
    <w:basedOn w:val="36"/>
    <w:autoRedefine/>
    <w:qFormat/>
    <w:uiPriority w:val="99"/>
    <w:rPr>
      <w:rFonts w:cs="Times New Roman"/>
      <w:color w:val="0000FF"/>
      <w:u w:val="single"/>
    </w:rPr>
  </w:style>
  <w:style w:type="character" w:styleId="38">
    <w:name w:val="annotation reference"/>
    <w:basedOn w:val="36"/>
    <w:autoRedefine/>
    <w:qFormat/>
    <w:uiPriority w:val="0"/>
    <w:rPr>
      <w:sz w:val="21"/>
      <w:szCs w:val="21"/>
    </w:rPr>
  </w:style>
  <w:style w:type="paragraph" w:customStyle="1" w:styleId="39">
    <w:name w:val="Default"/>
    <w:basedOn w:val="1"/>
    <w:autoRedefine/>
    <w:qFormat/>
    <w:uiPriority w:val="0"/>
    <w:pPr>
      <w:autoSpaceDE w:val="0"/>
      <w:autoSpaceDN w:val="0"/>
      <w:adjustRightInd w:val="0"/>
      <w:jc w:val="left"/>
    </w:pPr>
    <w:rPr>
      <w:rFonts w:hint="eastAsia" w:ascii="宋体" w:hAnsi="Calibri"/>
      <w:color w:val="000000"/>
      <w:kern w:val="0"/>
      <w:sz w:val="24"/>
    </w:rPr>
  </w:style>
  <w:style w:type="character" w:customStyle="1" w:styleId="40">
    <w:name w:val="标题 1 Char"/>
    <w:basedOn w:val="36"/>
    <w:link w:val="2"/>
    <w:qFormat/>
    <w:uiPriority w:val="0"/>
    <w:rPr>
      <w:rFonts w:ascii="Book Antiqua" w:hAnsi="Book Antiqua" w:eastAsia="宋体"/>
      <w:b/>
      <w:bCs/>
      <w:kern w:val="44"/>
      <w:sz w:val="32"/>
      <w:szCs w:val="44"/>
    </w:rPr>
  </w:style>
  <w:style w:type="character" w:customStyle="1" w:styleId="41">
    <w:name w:val="标题 2 Char"/>
    <w:basedOn w:val="36"/>
    <w:link w:val="3"/>
    <w:qFormat/>
    <w:uiPriority w:val="9"/>
    <w:rPr>
      <w:rFonts w:ascii="Calibri Light" w:hAnsi="Calibri Light" w:eastAsia="宋体"/>
      <w:b/>
      <w:bCs/>
      <w:kern w:val="2"/>
      <w:sz w:val="32"/>
      <w:szCs w:val="32"/>
    </w:rPr>
  </w:style>
  <w:style w:type="character" w:customStyle="1" w:styleId="42">
    <w:name w:val="标题 3 Char"/>
    <w:basedOn w:val="36"/>
    <w:link w:val="4"/>
    <w:qFormat/>
    <w:uiPriority w:val="9"/>
    <w:rPr>
      <w:rFonts w:ascii="Book Antiqua" w:hAnsi="Book Antiqua" w:eastAsia="宋体"/>
      <w:b/>
      <w:bCs/>
      <w:sz w:val="30"/>
      <w:szCs w:val="32"/>
    </w:rPr>
  </w:style>
  <w:style w:type="paragraph" w:customStyle="1" w:styleId="4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4">
    <w:name w:val="无间隔1"/>
    <w:basedOn w:val="1"/>
    <w:next w:val="45"/>
    <w:autoRedefine/>
    <w:qFormat/>
    <w:uiPriority w:val="0"/>
    <w:pPr>
      <w:spacing w:line="400" w:lineRule="exact"/>
    </w:pPr>
    <w:rPr>
      <w:sz w:val="24"/>
    </w:rPr>
  </w:style>
  <w:style w:type="paragraph" w:customStyle="1" w:styleId="45">
    <w:name w:val="TOC Heading1"/>
    <w:next w:val="1"/>
    <w:autoRedefine/>
    <w:qFormat/>
    <w:uiPriority w:val="0"/>
    <w:pPr>
      <w:wordWrap w:val="0"/>
    </w:pPr>
    <w:rPr>
      <w:rFonts w:ascii="Calibri" w:hAnsi="Calibri" w:eastAsia="宋体" w:cs="Times New Roman"/>
      <w:sz w:val="32"/>
      <w:szCs w:val="22"/>
      <w:lang w:val="en-US" w:eastAsia="zh-CN" w:bidi="ar-SA"/>
    </w:rPr>
  </w:style>
  <w:style w:type="paragraph" w:customStyle="1" w:styleId="46">
    <w:name w:val="正文（首行缩进） Char"/>
    <w:basedOn w:val="1"/>
    <w:next w:val="47"/>
    <w:autoRedefine/>
    <w:qFormat/>
    <w:uiPriority w:val="0"/>
    <w:pPr>
      <w:spacing w:line="360" w:lineRule="auto"/>
      <w:ind w:firstLine="480"/>
    </w:pPr>
    <w:rPr>
      <w:rFonts w:ascii="Arial"/>
      <w:color w:val="000000"/>
      <w:sz w:val="24"/>
    </w:rPr>
  </w:style>
  <w:style w:type="paragraph" w:customStyle="1" w:styleId="47">
    <w:name w:val="2号黑体加粗"/>
    <w:basedOn w:val="1"/>
    <w:next w:val="48"/>
    <w:autoRedefine/>
    <w:qFormat/>
    <w:uiPriority w:val="0"/>
    <w:pPr>
      <w:jc w:val="center"/>
    </w:pPr>
    <w:rPr>
      <w:rFonts w:ascii="Calibri" w:eastAsia="黑体"/>
      <w:b/>
      <w:sz w:val="44"/>
    </w:rPr>
  </w:style>
  <w:style w:type="paragraph" w:customStyle="1" w:styleId="48">
    <w:name w:val="表格文字"/>
    <w:basedOn w:val="1"/>
    <w:next w:val="1"/>
    <w:autoRedefine/>
    <w:qFormat/>
    <w:uiPriority w:val="0"/>
    <w:pPr>
      <w:adjustRightInd w:val="0"/>
      <w:spacing w:line="420" w:lineRule="atLeast"/>
      <w:jc w:val="left"/>
      <w:textAlignment w:val="baseline"/>
    </w:pPr>
    <w:rPr>
      <w:kern w:val="0"/>
    </w:rPr>
  </w:style>
  <w:style w:type="paragraph" w:customStyle="1" w:styleId="49">
    <w:name w:val="style4"/>
    <w:basedOn w:val="50"/>
    <w:next w:val="5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0">
    <w:name w:val="正文_0"/>
    <w:next w:val="3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Style1"/>
    <w:next w:val="53"/>
    <w:autoRedefine/>
    <w:qFormat/>
    <w:uiPriority w:val="0"/>
    <w:pPr>
      <w:numPr>
        <w:ilvl w:val="0"/>
        <w:numId w:val="2"/>
      </w:numPr>
      <w:tabs>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line="360" w:lineRule="auto"/>
      <w:jc w:val="center"/>
    </w:pPr>
    <w:rPr>
      <w:rFonts w:ascii="Calibri" w:hAnsi="Calibri" w:eastAsia="宋体" w:cs="宋体"/>
      <w:b/>
      <w:kern w:val="24"/>
      <w:sz w:val="24"/>
      <w:lang w:val="en-GB" w:eastAsia="zh-CN" w:bidi="ar-SA"/>
    </w:rPr>
  </w:style>
  <w:style w:type="paragraph" w:customStyle="1" w:styleId="53">
    <w:name w:val="*正文"/>
    <w:basedOn w:val="1"/>
    <w:autoRedefine/>
    <w:qFormat/>
    <w:uiPriority w:val="0"/>
    <w:pPr>
      <w:ind w:firstLine="200" w:firstLineChars="200"/>
    </w:pPr>
    <w:rPr>
      <w:rFonts w:ascii="宋体" w:hAnsi="宋体"/>
      <w:szCs w:val="22"/>
    </w:rPr>
  </w:style>
  <w:style w:type="paragraph" w:customStyle="1" w:styleId="54">
    <w:name w:val="Body Text First Indent1"/>
    <w:basedOn w:val="17"/>
    <w:autoRedefine/>
    <w:qFormat/>
    <w:uiPriority w:val="0"/>
    <w:pPr>
      <w:ind w:firstLine="420" w:firstLineChars="100"/>
    </w:pPr>
  </w:style>
  <w:style w:type="paragraph" w:customStyle="1" w:styleId="55">
    <w:name w:val="列出段落2"/>
    <w:basedOn w:val="1"/>
    <w:autoRedefine/>
    <w:qFormat/>
    <w:uiPriority w:val="34"/>
    <w:pPr>
      <w:autoSpaceDE w:val="0"/>
      <w:autoSpaceDN w:val="0"/>
      <w:ind w:left="111" w:firstLine="420"/>
      <w:jc w:val="left"/>
    </w:pPr>
    <w:rPr>
      <w:rFonts w:ascii="宋体" w:hAnsi="宋体" w:cs="宋体"/>
      <w:kern w:val="0"/>
      <w:sz w:val="22"/>
      <w:szCs w:val="22"/>
      <w:lang w:eastAsia="en-US"/>
    </w:rPr>
  </w:style>
  <w:style w:type="paragraph" w:customStyle="1" w:styleId="56">
    <w:name w:val="p0"/>
    <w:basedOn w:val="57"/>
    <w:autoRedefine/>
    <w:qFormat/>
    <w:uiPriority w:val="0"/>
    <w:pPr>
      <w:widowControl/>
    </w:pPr>
    <w:rPr>
      <w:kern w:val="0"/>
      <w:szCs w:val="21"/>
    </w:rPr>
  </w:style>
  <w:style w:type="paragraph" w:customStyle="1" w:styleId="57">
    <w:name w:val="正文1"/>
    <w:next w:val="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文本1"/>
    <w:basedOn w:val="57"/>
    <w:autoRedefine/>
    <w:qFormat/>
    <w:uiPriority w:val="99"/>
    <w:rPr>
      <w:rFonts w:eastAsia="楷体_GB2312"/>
      <w:sz w:val="28"/>
    </w:rPr>
  </w:style>
  <w:style w:type="character" w:customStyle="1" w:styleId="59">
    <w:name w:val="NormalCharacter"/>
    <w:autoRedefine/>
    <w:qFormat/>
    <w:uiPriority w:val="0"/>
    <w:rPr>
      <w:rFonts w:ascii="Book Antiqua" w:hAnsi="Book Antiqua" w:eastAsia="宋体" w:cs="Times New Roman"/>
      <w:kern w:val="2"/>
      <w:sz w:val="21"/>
      <w:szCs w:val="24"/>
      <w:lang w:val="en-US" w:eastAsia="zh-CN" w:bidi="ar-SA"/>
    </w:rPr>
  </w:style>
  <w:style w:type="paragraph" w:customStyle="1" w:styleId="60">
    <w:name w:val="BodyText1I"/>
    <w:basedOn w:val="61"/>
    <w:next w:val="63"/>
    <w:autoRedefine/>
    <w:qFormat/>
    <w:uiPriority w:val="0"/>
    <w:pPr>
      <w:ind w:firstLine="420" w:firstLineChars="100"/>
    </w:pPr>
    <w:rPr>
      <w:rFonts w:ascii="楷体_GB2312"/>
      <w:sz w:val="32"/>
    </w:rPr>
  </w:style>
  <w:style w:type="paragraph" w:customStyle="1" w:styleId="61">
    <w:name w:val="BodyText"/>
    <w:basedOn w:val="1"/>
    <w:next w:val="62"/>
    <w:autoRedefine/>
    <w:qFormat/>
    <w:uiPriority w:val="0"/>
    <w:pPr>
      <w:textAlignment w:val="baseline"/>
    </w:pPr>
    <w:rPr>
      <w:rFonts w:ascii="Calibri" w:hAnsi="Calibri" w:eastAsia="楷体_GB2312"/>
      <w:kern w:val="0"/>
      <w:sz w:val="28"/>
    </w:rPr>
  </w:style>
  <w:style w:type="paragraph" w:customStyle="1" w:styleId="62">
    <w:name w:val="BodyText2"/>
    <w:basedOn w:val="1"/>
    <w:next w:val="61"/>
    <w:autoRedefine/>
    <w:qFormat/>
    <w:uiPriority w:val="0"/>
    <w:pPr>
      <w:spacing w:after="120" w:line="480" w:lineRule="auto"/>
      <w:textAlignment w:val="baseline"/>
    </w:pPr>
  </w:style>
  <w:style w:type="paragraph" w:customStyle="1" w:styleId="63">
    <w:name w:val="BodyText1I2"/>
    <w:basedOn w:val="64"/>
    <w:autoRedefine/>
    <w:qFormat/>
    <w:uiPriority w:val="0"/>
    <w:pPr>
      <w:ind w:firstLine="420" w:firstLineChars="200"/>
    </w:pPr>
  </w:style>
  <w:style w:type="paragraph" w:customStyle="1" w:styleId="64">
    <w:name w:val="BodyTextIndent"/>
    <w:basedOn w:val="1"/>
    <w:autoRedefine/>
    <w:qFormat/>
    <w:uiPriority w:val="0"/>
    <w:pPr>
      <w:spacing w:after="120"/>
      <w:ind w:left="420" w:leftChars="200"/>
      <w:textAlignment w:val="baseline"/>
    </w:pPr>
  </w:style>
  <w:style w:type="paragraph" w:customStyle="1" w:styleId="65">
    <w:name w:val="TOAHeading"/>
    <w:basedOn w:val="1"/>
    <w:next w:val="1"/>
    <w:autoRedefine/>
    <w:qFormat/>
    <w:uiPriority w:val="0"/>
    <w:pPr>
      <w:spacing w:before="120"/>
      <w:textAlignment w:val="baseline"/>
    </w:pPr>
    <w:rPr>
      <w:rFonts w:ascii="Arial" w:hAnsi="Arial"/>
      <w:sz w:val="24"/>
      <w:szCs w:val="22"/>
    </w:rPr>
  </w:style>
  <w:style w:type="paragraph" w:customStyle="1" w:styleId="66">
    <w:name w:val="Table Paragraph"/>
    <w:basedOn w:val="1"/>
    <w:autoRedefine/>
    <w:qFormat/>
    <w:uiPriority w:val="1"/>
    <w:rPr>
      <w:rFonts w:ascii="宋体" w:hAnsi="宋体" w:cs="宋体"/>
      <w:lang w:val="zh-CN" w:bidi="zh-CN"/>
    </w:rPr>
  </w:style>
  <w:style w:type="paragraph" w:styleId="67">
    <w:name w:val="List Paragraph"/>
    <w:basedOn w:val="1"/>
    <w:autoRedefine/>
    <w:qFormat/>
    <w:uiPriority w:val="34"/>
    <w:pPr>
      <w:widowControl/>
      <w:ind w:left="720"/>
      <w:jc w:val="left"/>
    </w:pPr>
    <w:rPr>
      <w:rFonts w:hint="eastAsia" w:ascii="Calibri" w:hAnsi="Calibri"/>
      <w:kern w:val="0"/>
      <w:sz w:val="24"/>
      <w:lang w:eastAsia="en-US" w:bidi="en-US"/>
    </w:rPr>
  </w:style>
  <w:style w:type="paragraph" w:customStyle="1" w:styleId="68">
    <w:name w:val="_Style 41"/>
    <w:basedOn w:val="1"/>
    <w:next w:val="67"/>
    <w:autoRedefine/>
    <w:qFormat/>
    <w:uiPriority w:val="34"/>
    <w:pPr>
      <w:ind w:firstLine="420" w:firstLineChars="200"/>
    </w:pPr>
    <w:rPr>
      <w:rFonts w:ascii="等线" w:hAnsi="等线" w:eastAsia="等线"/>
      <w:szCs w:val="22"/>
    </w:rPr>
  </w:style>
  <w:style w:type="paragraph" w:customStyle="1" w:styleId="69">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kern w:val="0"/>
    </w:rPr>
  </w:style>
  <w:style w:type="paragraph" w:styleId="70">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71">
    <w:name w:val="批注文字 Char"/>
    <w:basedOn w:val="36"/>
    <w:link w:val="15"/>
    <w:autoRedefine/>
    <w:qFormat/>
    <w:uiPriority w:val="0"/>
    <w:rPr>
      <w:rFonts w:ascii="Book Antiqua" w:hAnsi="Book Antiqua"/>
      <w:kern w:val="2"/>
      <w:sz w:val="21"/>
      <w:szCs w:val="24"/>
    </w:rPr>
  </w:style>
  <w:style w:type="character" w:customStyle="1" w:styleId="72">
    <w:name w:val="批注主题 Char"/>
    <w:basedOn w:val="71"/>
    <w:link w:val="31"/>
    <w:autoRedefine/>
    <w:qFormat/>
    <w:uiPriority w:val="0"/>
    <w:rPr>
      <w:rFonts w:ascii="Book Antiqua" w:hAnsi="Book Antiqua"/>
      <w:b/>
      <w:bCs/>
      <w:kern w:val="2"/>
      <w:sz w:val="21"/>
      <w:szCs w:val="24"/>
    </w:rPr>
  </w:style>
  <w:style w:type="character" w:customStyle="1" w:styleId="73">
    <w:name w:val="批注框文本 Char"/>
    <w:basedOn w:val="36"/>
    <w:link w:val="21"/>
    <w:autoRedefine/>
    <w:qFormat/>
    <w:uiPriority w:val="0"/>
    <w:rPr>
      <w:rFonts w:ascii="Book Antiqua" w:hAnsi="Book Antiqua"/>
      <w:kern w:val="2"/>
      <w:sz w:val="18"/>
      <w:szCs w:val="18"/>
    </w:rPr>
  </w:style>
  <w:style w:type="paragraph" w:customStyle="1" w:styleId="74">
    <w:name w:val="修订1"/>
    <w:autoRedefine/>
    <w:hidden/>
    <w:semiHidden/>
    <w:qFormat/>
    <w:uiPriority w:val="99"/>
    <w:rPr>
      <w:rFonts w:ascii="Book Antiqua" w:hAnsi="Book Antiqua" w:eastAsia="宋体" w:cs="Times New Roman"/>
      <w:kern w:val="2"/>
      <w:sz w:val="21"/>
      <w:szCs w:val="24"/>
      <w:lang w:val="en-US" w:eastAsia="zh-CN" w:bidi="ar-SA"/>
    </w:rPr>
  </w:style>
  <w:style w:type="paragraph" w:customStyle="1" w:styleId="75">
    <w:name w:val="正文首行缩进 21"/>
    <w:basedOn w:val="1"/>
    <w:autoRedefine/>
    <w:qFormat/>
    <w:uiPriority w:val="0"/>
    <w:pPr>
      <w:tabs>
        <w:tab w:val="left" w:pos="945"/>
        <w:tab w:val="left" w:pos="1155"/>
      </w:tabs>
      <w:ind w:firstLine="420" w:firstLineChars="200"/>
    </w:pPr>
    <w:rPr>
      <w:rFonts w:ascii="宋体"/>
      <w:sz w:val="24"/>
      <w:szCs w:val="20"/>
    </w:rPr>
  </w:style>
  <w:style w:type="paragraph" w:customStyle="1" w:styleId="76">
    <w:name w:val="Table Text"/>
    <w:basedOn w:val="1"/>
    <w:autoRedefine/>
    <w:semiHidden/>
    <w:qFormat/>
    <w:uiPriority w:val="0"/>
    <w:rPr>
      <w:rFonts w:ascii="宋体" w:hAnsi="宋体" w:cs="宋体"/>
      <w:sz w:val="24"/>
    </w:rPr>
  </w:style>
  <w:style w:type="table" w:customStyle="1" w:styleId="77">
    <w:name w:val="Table Normal"/>
    <w:autoRedefine/>
    <w:semiHidden/>
    <w:unhideWhenUsed/>
    <w:qFormat/>
    <w:uiPriority w:val="0"/>
    <w:tblPr>
      <w:tblCellMar>
        <w:top w:w="0" w:type="dxa"/>
        <w:left w:w="0" w:type="dxa"/>
        <w:bottom w:w="0" w:type="dxa"/>
        <w:right w:w="0" w:type="dxa"/>
      </w:tblCellMar>
    </w:tblPr>
  </w:style>
  <w:style w:type="paragraph" w:customStyle="1" w:styleId="78">
    <w:name w:val="段"/>
    <w:next w:val="1"/>
    <w:autoRedefine/>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79">
    <w:name w:val="WPSOffice手动目录 1"/>
    <w:autoRedefine/>
    <w:qFormat/>
    <w:uiPriority w:val="0"/>
    <w:rPr>
      <w:rFonts w:ascii="Times New Roman" w:hAnsi="Times New Roman" w:eastAsia="宋体" w:cs="Times New Roman"/>
      <w:lang w:val="en-US" w:eastAsia="zh-CN" w:bidi="ar-SA"/>
    </w:rPr>
  </w:style>
  <w:style w:type="character" w:customStyle="1" w:styleId="80">
    <w:name w:val="font01"/>
    <w:basedOn w:val="36"/>
    <w:qFormat/>
    <w:uiPriority w:val="0"/>
    <w:rPr>
      <w:rFonts w:hint="eastAsia" w:ascii="宋体" w:hAnsi="宋体" w:eastAsia="宋体" w:cs="宋体"/>
      <w:color w:val="000000"/>
      <w:sz w:val="24"/>
      <w:szCs w:val="24"/>
      <w:u w:val="none"/>
    </w:rPr>
  </w:style>
  <w:style w:type="character" w:customStyle="1" w:styleId="81">
    <w:name w:val="font151"/>
    <w:basedOn w:val="36"/>
    <w:qFormat/>
    <w:uiPriority w:val="0"/>
    <w:rPr>
      <w:rFonts w:hint="eastAsia" w:ascii="宋体" w:hAnsi="宋体" w:eastAsia="宋体" w:cs="宋体"/>
      <w:color w:val="FF0000"/>
      <w:sz w:val="24"/>
      <w:szCs w:val="24"/>
      <w:u w:val="none"/>
    </w:rPr>
  </w:style>
  <w:style w:type="character" w:customStyle="1" w:styleId="82">
    <w:name w:val="font61"/>
    <w:basedOn w:val="36"/>
    <w:qFormat/>
    <w:uiPriority w:val="0"/>
    <w:rPr>
      <w:rFonts w:hint="eastAsia" w:ascii="宋体" w:hAnsi="宋体" w:eastAsia="宋体" w:cs="宋体"/>
      <w:b/>
      <w:bCs/>
      <w:color w:val="FF0000"/>
      <w:sz w:val="36"/>
      <w:szCs w:val="36"/>
      <w:u w:val="none"/>
    </w:rPr>
  </w:style>
  <w:style w:type="character" w:customStyle="1" w:styleId="83">
    <w:name w:val="font41"/>
    <w:basedOn w:val="36"/>
    <w:qFormat/>
    <w:uiPriority w:val="0"/>
    <w:rPr>
      <w:rFonts w:hint="eastAsia" w:ascii="宋体" w:hAnsi="宋体" w:eastAsia="宋体" w:cs="宋体"/>
      <w:color w:val="000000"/>
      <w:sz w:val="20"/>
      <w:szCs w:val="20"/>
      <w:u w:val="none"/>
    </w:rPr>
  </w:style>
  <w:style w:type="character" w:customStyle="1" w:styleId="84">
    <w:name w:val="font31"/>
    <w:basedOn w:val="36"/>
    <w:qFormat/>
    <w:uiPriority w:val="0"/>
    <w:rPr>
      <w:rFonts w:hint="eastAsia" w:ascii="宋体" w:hAnsi="宋体" w:eastAsia="宋体" w:cs="宋体"/>
      <w:color w:val="FF0000"/>
      <w:sz w:val="20"/>
      <w:szCs w:val="20"/>
      <w:u w:val="none"/>
    </w:rPr>
  </w:style>
  <w:style w:type="character" w:customStyle="1" w:styleId="85">
    <w:name w:val="font101"/>
    <w:basedOn w:val="36"/>
    <w:qFormat/>
    <w:uiPriority w:val="0"/>
    <w:rPr>
      <w:rFonts w:hint="eastAsia" w:ascii="宋体" w:hAnsi="宋体" w:eastAsia="宋体" w:cs="宋体"/>
      <w:color w:val="FF0000"/>
      <w:sz w:val="24"/>
      <w:szCs w:val="24"/>
      <w:u w:val="none"/>
    </w:rPr>
  </w:style>
  <w:style w:type="character" w:customStyle="1" w:styleId="86">
    <w:name w:val="font81"/>
    <w:basedOn w:val="36"/>
    <w:qFormat/>
    <w:uiPriority w:val="0"/>
    <w:rPr>
      <w:rFonts w:hint="eastAsia" w:ascii="宋体" w:hAnsi="宋体" w:eastAsia="宋体" w:cs="宋体"/>
      <w:color w:val="FF0000"/>
      <w:sz w:val="24"/>
      <w:szCs w:val="24"/>
      <w:u w:val="none"/>
    </w:rPr>
  </w:style>
  <w:style w:type="character" w:customStyle="1" w:styleId="87">
    <w:name w:val="正文文本缩进 Char"/>
    <w:basedOn w:val="36"/>
    <w:link w:val="18"/>
    <w:qFormat/>
    <w:uiPriority w:val="99"/>
    <w:rPr>
      <w:kern w:val="2"/>
      <w:sz w:val="21"/>
      <w:szCs w:val="24"/>
    </w:rPr>
  </w:style>
  <w:style w:type="character" w:customStyle="1" w:styleId="88">
    <w:name w:val="正文首行缩进 2 Char"/>
    <w:basedOn w:val="87"/>
    <w:link w:val="33"/>
    <w:qFormat/>
    <w:uiPriority w:val="0"/>
    <w:rPr>
      <w:rFonts w:asciiTheme="minorEastAsia" w:hAnsiTheme="minorEastAsia" w:eastAsiaTheme="minorEastAsia" w:cstheme="minorEastAsia"/>
      <w:kern w:val="2"/>
      <w:sz w:val="24"/>
      <w:szCs w:val="24"/>
    </w:rPr>
  </w:style>
  <w:style w:type="character" w:customStyle="1" w:styleId="89">
    <w:name w:val="标题 4 Char"/>
    <w:basedOn w:val="36"/>
    <w:link w:val="5"/>
    <w:qFormat/>
    <w:uiPriority w:val="9"/>
    <w:rPr>
      <w:kern w:val="2"/>
      <w:sz w:val="32"/>
    </w:rPr>
  </w:style>
  <w:style w:type="character" w:customStyle="1" w:styleId="90">
    <w:name w:val="标题 5 Char"/>
    <w:basedOn w:val="36"/>
    <w:link w:val="6"/>
    <w:qFormat/>
    <w:uiPriority w:val="9"/>
    <w:rPr>
      <w:rFonts w:ascii="Book Antiqua" w:hAnsi="Book Antiqua"/>
      <w:bCs/>
      <w:kern w:val="2"/>
      <w:sz w:val="21"/>
      <w:szCs w:val="28"/>
    </w:rPr>
  </w:style>
  <w:style w:type="character" w:customStyle="1" w:styleId="91">
    <w:name w:val="标题 6 Char"/>
    <w:basedOn w:val="36"/>
    <w:link w:val="7"/>
    <w:qFormat/>
    <w:uiPriority w:val="9"/>
    <w:rPr>
      <w:rFonts w:ascii="Book Antiqua" w:hAnsi="Book Antiqua"/>
      <w:bCs/>
      <w:kern w:val="2"/>
      <w:sz w:val="21"/>
      <w:szCs w:val="24"/>
    </w:rPr>
  </w:style>
  <w:style w:type="character" w:customStyle="1" w:styleId="92">
    <w:name w:val="标题 7 Char"/>
    <w:basedOn w:val="36"/>
    <w:link w:val="8"/>
    <w:qFormat/>
    <w:uiPriority w:val="9"/>
    <w:rPr>
      <w:rFonts w:ascii="Book Antiqua" w:hAnsi="Book Antiqua"/>
      <w:bCs/>
      <w:kern w:val="2"/>
      <w:sz w:val="21"/>
      <w:szCs w:val="24"/>
    </w:rPr>
  </w:style>
  <w:style w:type="character" w:customStyle="1" w:styleId="93">
    <w:name w:val="标题 8 Char"/>
    <w:basedOn w:val="36"/>
    <w:link w:val="9"/>
    <w:qFormat/>
    <w:uiPriority w:val="9"/>
    <w:rPr>
      <w:rFonts w:ascii="Book Antiqua" w:hAnsi="Book Antiqua"/>
      <w:kern w:val="2"/>
      <w:sz w:val="21"/>
      <w:szCs w:val="24"/>
    </w:rPr>
  </w:style>
  <w:style w:type="character" w:customStyle="1" w:styleId="94">
    <w:name w:val="标题 9 Char"/>
    <w:basedOn w:val="36"/>
    <w:link w:val="10"/>
    <w:qFormat/>
    <w:uiPriority w:val="9"/>
    <w:rPr>
      <w:rFonts w:ascii="Book Antiqua" w:hAnsi="Book Antiqua"/>
      <w:kern w:val="2"/>
      <w:sz w:val="21"/>
      <w:szCs w:val="24"/>
    </w:rPr>
  </w:style>
  <w:style w:type="character" w:customStyle="1" w:styleId="95">
    <w:name w:val="正文文本 Char"/>
    <w:basedOn w:val="36"/>
    <w:link w:val="17"/>
    <w:qFormat/>
    <w:uiPriority w:val="0"/>
    <w:rPr>
      <w:kern w:val="2"/>
      <w:sz w:val="21"/>
      <w:szCs w:val="24"/>
    </w:rPr>
  </w:style>
  <w:style w:type="character" w:customStyle="1" w:styleId="96">
    <w:name w:val="正文文本 2 Char"/>
    <w:basedOn w:val="36"/>
    <w:link w:val="28"/>
    <w:qFormat/>
    <w:uiPriority w:val="0"/>
    <w:rPr>
      <w:kern w:val="2"/>
      <w:sz w:val="21"/>
      <w:szCs w:val="24"/>
    </w:rPr>
  </w:style>
  <w:style w:type="character" w:customStyle="1" w:styleId="97">
    <w:name w:val="页脚 Char"/>
    <w:basedOn w:val="36"/>
    <w:link w:val="22"/>
    <w:qFormat/>
    <w:uiPriority w:val="99"/>
    <w:rPr>
      <w:kern w:val="2"/>
      <w:sz w:val="18"/>
      <w:szCs w:val="18"/>
    </w:rPr>
  </w:style>
  <w:style w:type="character" w:customStyle="1" w:styleId="98">
    <w:name w:val="页眉 Char"/>
    <w:basedOn w:val="36"/>
    <w:link w:val="24"/>
    <w:qFormat/>
    <w:uiPriority w:val="0"/>
    <w:rPr>
      <w:kern w:val="2"/>
      <w:sz w:val="18"/>
      <w:szCs w:val="18"/>
    </w:rPr>
  </w:style>
  <w:style w:type="character" w:customStyle="1" w:styleId="99">
    <w:name w:val="目录 4 Char"/>
    <w:link w:val="26"/>
    <w:qFormat/>
    <w:uiPriority w:val="0"/>
    <w:rPr>
      <w:rFonts w:ascii="Arial" w:hAnsi="Arial"/>
      <w:kern w:val="2"/>
      <w:sz w:val="24"/>
      <w:szCs w:val="21"/>
    </w:rPr>
  </w:style>
  <w:style w:type="paragraph" w:customStyle="1" w:styleId="100">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66</Pages>
  <Words>13498</Words>
  <Characters>14890</Characters>
  <Lines>567</Lines>
  <Paragraphs>159</Paragraphs>
  <TotalTime>36</TotalTime>
  <ScaleCrop>false</ScaleCrop>
  <LinksUpToDate>false</LinksUpToDate>
  <CharactersWithSpaces>15347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2024-09-03T05:56:00Z</dcterms:created>
  <dc:creator>DELL</dc:creator>
  <cp:lastModifiedBy>Administrator</cp:lastModifiedBy>
  <cp:lastPrinted>2025-07-28T02:13:00Z</cp:lastPrinted>
  <dcterms:modified xsi:type="dcterms:W3CDTF">2025-10-31T01:30:09Z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49A532F86BF2496F88DE1E9B35F738FF_13</vt:lpwstr>
  </property>
  <property fmtid="{D5CDD505-2E9C-101B-9397-08002B2CF9AE}" pid="4" name="_2015_ms_pID_725343">
    <vt:lpwstr>(3)FMrICvVpBBggM8t6Rn3Hw6T1tB90BlZSSgjBRATiVGgTR3z0p5bFXXJ4wOuIyA+7dlaCFRk7
jRnLtWuCXvDXxiy//dVQpP7/TS50Tb9S3BiOKMJ1Lbx4lgSFm+pwvJoCjMOmxTqbwFeEDIKz
DjBcJnHyAcnMX0U8D5e1uXpbYVj3GE22DazTdMO4ZdAYl1rxnYEQTcAbIki233HN97IF8Bya
H9xvF5VtgyCrp9X7DY</vt:lpwstr>
  </property>
  <property fmtid="{D5CDD505-2E9C-101B-9397-08002B2CF9AE}" pid="5" name="_2015_ms_pID_7253431">
    <vt:lpwstr>JjOFvZsR5LFbSzUlShXUjwk2WWJ9upwoOBmSfeaiFFNq+C8KI3OI/G
IW4qoRcUbhye+Tbz5zu5VZWpM1NM5vW6j+JI4xFoLMn3QsvfE8BPpGRARwDjWedl2IXaEQ90
1/N+ScAx8QDzruzH1ECXHpI2rZas+SitsTEePv47ISyLigEr7h0qKV4Efs2e4L1RH3Xoeh0u
VhONmb6Z3IbTXJ4WpeHtqjvGEQGGz1xLDPuq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1670230851</vt:lpwstr>
  </property>
  <property fmtid="{D5CDD505-2E9C-101B-9397-08002B2CF9AE}" pid="10" name="_2015_ms_pID_7253432">
    <vt:lpwstr>qxS+sYcYD6ebVqx5ntqygGo=</vt:lpwstr>
  </property>
  <property fmtid="{D5CDD505-2E9C-101B-9397-08002B2CF9AE}" pid="11" name="KSOTemplateDocerSaveRecord">
    <vt:lpwstr>eyJoZGlkIjoiZWEwYjdmNGYzY2E1OTExMzk1YjdiOGMwNTAzYTNlNGIiLCJ1c2VySWQiOiI1NDQ3NjYwMzkifQ==</vt:lpwstr>
  </property>
</Properties>
</file>