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5582">
      <w:pPr>
        <w:wordWrap/>
        <w:spacing w:before="170" w:line="219" w:lineRule="auto"/>
        <w:jc w:val="center"/>
        <w:rPr>
          <w:rFonts w:hint="eastAsia" w:ascii="宋体" w:hAnsi="宋体" w:eastAsia="宋体" w:cs="宋体"/>
          <w:sz w:val="52"/>
          <w:szCs w:val="52"/>
          <w:highlight w:val="none"/>
          <w:lang w:val="en-US" w:eastAsia="zh-CN"/>
          <w14:textOutline w14:w="9448" w14:cap="flat" w14:cmpd="sng">
            <w14:solidFill>
              <w14:srgbClr w14:val="000000"/>
            </w14:solidFill>
            <w14:prstDash w14:val="solid"/>
            <w14:miter w14:val="0"/>
          </w14:textOutline>
        </w:rPr>
      </w:pPr>
    </w:p>
    <w:p w14:paraId="19685BCE">
      <w:pPr>
        <w:pStyle w:val="7"/>
        <w:ind w:left="5" w:leftChars="0" w:hanging="5" w:firstLineChars="0"/>
        <w:jc w:val="center"/>
        <w:rPr>
          <w:rFonts w:hint="default" w:ascii="宋体" w:hAnsi="宋体" w:eastAsia="宋体" w:cs="宋体"/>
          <w:b/>
          <w:bCs/>
          <w:sz w:val="36"/>
          <w:szCs w:val="32"/>
          <w:highlight w:val="none"/>
          <w:lang w:val="en-US" w:eastAsia="zh-CN"/>
        </w:rPr>
      </w:pPr>
      <w:bookmarkStart w:id="0" w:name="_Toc34490071"/>
      <w:bookmarkStart w:id="1" w:name="_Toc21519"/>
      <w:r>
        <w:rPr>
          <w:rFonts w:hint="eastAsia" w:ascii="宋体" w:hAnsi="宋体" w:eastAsia="宋体" w:cs="宋体"/>
          <w:b/>
          <w:bCs/>
          <w:sz w:val="44"/>
          <w:szCs w:val="40"/>
          <w:highlight w:val="none"/>
          <w:lang w:val="en-US" w:eastAsia="zh-CN"/>
        </w:rPr>
        <w:t>博爱健康管理中心建设睡眠中心采购项目</w:t>
      </w:r>
    </w:p>
    <w:p w14:paraId="621A4E91">
      <w:pPr>
        <w:jc w:val="both"/>
        <w:outlineLvl w:val="0"/>
        <w:rPr>
          <w:rFonts w:hint="eastAsia" w:ascii="方正小标宋_GBK" w:eastAsia="方正小标宋_GBK"/>
          <w:b/>
          <w:sz w:val="72"/>
          <w:szCs w:val="72"/>
          <w:highlight w:val="none"/>
        </w:rPr>
      </w:pPr>
    </w:p>
    <w:p w14:paraId="3A90E159">
      <w:pPr>
        <w:jc w:val="center"/>
        <w:outlineLvl w:val="0"/>
        <w:rPr>
          <w:rFonts w:hint="eastAsia" w:asciiTheme="majorEastAsia" w:hAnsiTheme="majorEastAsia" w:eastAsiaTheme="majorEastAsia" w:cstheme="majorEastAsia"/>
          <w:b/>
          <w:sz w:val="84"/>
          <w:szCs w:val="84"/>
          <w:highlight w:val="none"/>
        </w:rPr>
      </w:pPr>
    </w:p>
    <w:p w14:paraId="40B74802">
      <w:pPr>
        <w:jc w:val="center"/>
        <w:outlineLvl w:val="0"/>
        <w:rPr>
          <w:rFonts w:hint="eastAsia" w:asciiTheme="majorEastAsia" w:hAnsiTheme="majorEastAsia" w:eastAsiaTheme="majorEastAsia" w:cstheme="majorEastAsia"/>
          <w:b/>
          <w:sz w:val="84"/>
          <w:szCs w:val="84"/>
          <w:highlight w:val="none"/>
        </w:rPr>
      </w:pPr>
    </w:p>
    <w:p w14:paraId="67EF0C51">
      <w:pPr>
        <w:jc w:val="center"/>
        <w:outlineLvl w:val="0"/>
        <w:rPr>
          <w:rFonts w:hint="eastAsia" w:asciiTheme="majorEastAsia" w:hAnsiTheme="majorEastAsia" w:eastAsiaTheme="majorEastAsia" w:cstheme="majorEastAsia"/>
          <w:sz w:val="84"/>
          <w:szCs w:val="84"/>
          <w:highlight w:val="none"/>
        </w:rPr>
      </w:pPr>
      <w:r>
        <w:rPr>
          <w:rFonts w:hint="eastAsia" w:asciiTheme="majorEastAsia" w:hAnsiTheme="majorEastAsia" w:eastAsiaTheme="majorEastAsia" w:cstheme="majorEastAsia"/>
          <w:b/>
          <w:sz w:val="84"/>
          <w:szCs w:val="84"/>
          <w:highlight w:val="none"/>
        </w:rPr>
        <w:t>竞争性</w:t>
      </w:r>
      <w:r>
        <w:rPr>
          <w:rFonts w:hint="eastAsia" w:asciiTheme="majorEastAsia" w:hAnsiTheme="majorEastAsia" w:eastAsiaTheme="majorEastAsia" w:cstheme="majorEastAsia"/>
          <w:b/>
          <w:sz w:val="84"/>
          <w:szCs w:val="84"/>
          <w:highlight w:val="none"/>
          <w:lang w:val="en-US" w:eastAsia="zh-CN"/>
        </w:rPr>
        <w:t>磋商</w:t>
      </w:r>
      <w:r>
        <w:rPr>
          <w:rFonts w:hint="eastAsia" w:asciiTheme="majorEastAsia" w:hAnsiTheme="majorEastAsia" w:eastAsiaTheme="majorEastAsia" w:cstheme="majorEastAsia"/>
          <w:b/>
          <w:sz w:val="84"/>
          <w:szCs w:val="84"/>
          <w:highlight w:val="none"/>
        </w:rPr>
        <w:t>文件</w:t>
      </w:r>
      <w:bookmarkEnd w:id="0"/>
      <w:bookmarkEnd w:id="1"/>
    </w:p>
    <w:p w14:paraId="06457D82">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p>
    <w:p w14:paraId="7A89159B">
      <w:pPr>
        <w:pStyle w:val="15"/>
        <w:rPr>
          <w:rFonts w:hint="eastAsia" w:ascii="宋体" w:hAnsi="宋体" w:eastAsia="宋体" w:cs="宋体"/>
          <w:color w:val="auto"/>
          <w:sz w:val="28"/>
          <w:szCs w:val="28"/>
          <w:highlight w:val="none"/>
          <w:lang w:val="en-US" w:eastAsia="zh-CN"/>
        </w:rPr>
      </w:pPr>
      <w:r>
        <w:rPr>
          <w:rFonts w:hint="eastAsia" w:ascii="宋体" w:hAnsi="宋体" w:eastAsia="宋体" w:cs="宋体"/>
          <w:b/>
          <w:bCs w:val="0"/>
          <w:color w:val="auto"/>
          <w:spacing w:val="-6"/>
          <w:sz w:val="30"/>
          <w:szCs w:val="30"/>
          <w:highlight w:val="none"/>
          <w:lang w:val="en-US" w:eastAsia="zh-CN"/>
        </w:rPr>
        <w:t xml:space="preserve"> </w:t>
      </w:r>
    </w:p>
    <w:p w14:paraId="6065D389">
      <w:pPr>
        <w:pStyle w:val="16"/>
        <w:rPr>
          <w:rFonts w:hint="eastAsia" w:ascii="宋体" w:hAnsi="宋体" w:eastAsia="宋体" w:cs="宋体"/>
          <w:color w:val="auto"/>
          <w:sz w:val="28"/>
          <w:szCs w:val="28"/>
          <w:highlight w:val="none"/>
          <w:lang w:val="en-US" w:eastAsia="zh-CN"/>
        </w:rPr>
      </w:pPr>
    </w:p>
    <w:p w14:paraId="6C94FDD0">
      <w:pPr>
        <w:pStyle w:val="5"/>
        <w:rPr>
          <w:rFonts w:hint="eastAsia" w:ascii="宋体" w:hAnsi="宋体" w:eastAsia="宋体" w:cs="宋体"/>
          <w:color w:val="auto"/>
          <w:sz w:val="28"/>
          <w:szCs w:val="28"/>
          <w:highlight w:val="none"/>
          <w:lang w:val="en-US" w:eastAsia="zh-CN"/>
        </w:rPr>
      </w:pPr>
    </w:p>
    <w:p w14:paraId="67D3CA36">
      <w:pPr>
        <w:pStyle w:val="5"/>
        <w:rPr>
          <w:rFonts w:hint="eastAsia" w:ascii="宋体" w:hAnsi="宋体" w:eastAsia="宋体" w:cs="宋体"/>
          <w:color w:val="auto"/>
          <w:sz w:val="28"/>
          <w:szCs w:val="28"/>
          <w:highlight w:val="none"/>
          <w:lang w:val="en-US" w:eastAsia="zh-CN"/>
        </w:rPr>
      </w:pPr>
    </w:p>
    <w:p w14:paraId="303BE602">
      <w:pPr>
        <w:pStyle w:val="5"/>
        <w:rPr>
          <w:rFonts w:hint="eastAsia" w:ascii="宋体" w:hAnsi="宋体" w:eastAsia="宋体" w:cs="宋体"/>
          <w:color w:val="auto"/>
          <w:sz w:val="28"/>
          <w:szCs w:val="28"/>
          <w:highlight w:val="none"/>
          <w:lang w:val="en-US" w:eastAsia="zh-CN"/>
        </w:rPr>
      </w:pPr>
    </w:p>
    <w:p w14:paraId="7C11F648">
      <w:pPr>
        <w:pStyle w:val="16"/>
        <w:rPr>
          <w:rFonts w:ascii="宋体" w:hAnsi="宋体" w:eastAsia="宋体" w:cs="宋体"/>
          <w:spacing w:val="-11"/>
          <w:sz w:val="30"/>
          <w:szCs w:val="30"/>
          <w:highlight w:val="none"/>
          <w14:textOutline w14:w="5442" w14:cap="flat" w14:cmpd="sng">
            <w14:solidFill>
              <w14:srgbClr w14:val="000000"/>
            </w14:solidFill>
            <w14:prstDash w14:val="solid"/>
            <w14:miter w14:val="0"/>
          </w14:textOutline>
        </w:rPr>
      </w:pPr>
    </w:p>
    <w:p w14:paraId="47E0BD80">
      <w:pPr>
        <w:pStyle w:val="6"/>
        <w:spacing w:line="250" w:lineRule="auto"/>
        <w:rPr>
          <w:highlight w:val="none"/>
        </w:rPr>
      </w:pPr>
    </w:p>
    <w:p w14:paraId="2D4682FE">
      <w:pPr>
        <w:jc w:val="center"/>
        <w:rPr>
          <w:rFonts w:hint="eastAsia" w:ascii="宋体" w:hAnsi="宋体" w:eastAsia="宋体" w:cs="宋体"/>
          <w:b/>
          <w:bCs/>
          <w:sz w:val="32"/>
          <w:highlight w:val="none"/>
          <w:lang w:eastAsia="zh-CN"/>
        </w:rPr>
      </w:pPr>
      <w:r>
        <w:rPr>
          <w:rFonts w:hint="eastAsia" w:ascii="宋体" w:hAnsi="宋体" w:eastAsia="宋体" w:cs="宋体"/>
          <w:b/>
          <w:bCs/>
          <w:sz w:val="32"/>
          <w:highlight w:val="none"/>
        </w:rPr>
        <w:t>采 购 人：</w:t>
      </w:r>
      <w:r>
        <w:rPr>
          <w:rFonts w:hint="eastAsia" w:ascii="宋体" w:hAnsi="宋体" w:eastAsia="宋体" w:cs="宋体"/>
          <w:b/>
          <w:bCs/>
          <w:sz w:val="32"/>
          <w:szCs w:val="32"/>
          <w:highlight w:val="none"/>
          <w:lang w:val="en-US" w:eastAsia="zh-CN"/>
        </w:rPr>
        <w:t xml:space="preserve">博爱县益寿健康管理有限公司 </w:t>
      </w:r>
      <w:r>
        <w:rPr>
          <w:rFonts w:hint="eastAsia" w:ascii="宋体" w:hAnsi="宋体" w:eastAsia="宋体" w:cs="宋体"/>
          <w:b/>
          <w:bCs/>
          <w:sz w:val="32"/>
          <w:szCs w:val="32"/>
          <w:highlight w:val="none"/>
        </w:rPr>
        <w:t xml:space="preserve"> </w:t>
      </w:r>
    </w:p>
    <w:p w14:paraId="466E00B8">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sz w:val="32"/>
          <w:highlight w:val="none"/>
          <w:lang w:val="en-US" w:eastAsia="zh-CN"/>
        </w:rPr>
      </w:pPr>
      <w:r>
        <w:rPr>
          <w:rFonts w:hint="eastAsia" w:ascii="宋体" w:hAnsi="宋体" w:eastAsia="宋体" w:cs="宋体"/>
          <w:b/>
          <w:bCs/>
          <w:sz w:val="32"/>
          <w:highlight w:val="none"/>
        </w:rPr>
        <w:t>采购代理机构：</w:t>
      </w:r>
      <w:r>
        <w:rPr>
          <w:rFonts w:hint="eastAsia" w:ascii="宋体" w:hAnsi="宋体" w:eastAsia="宋体" w:cs="宋体"/>
          <w:b/>
          <w:bCs/>
          <w:sz w:val="32"/>
          <w:highlight w:val="none"/>
          <w:lang w:val="en-US" w:eastAsia="zh-CN"/>
        </w:rPr>
        <w:t>河南中达豫通项目管理有限公司</w:t>
      </w:r>
    </w:p>
    <w:p w14:paraId="71C019DC">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spacing w:val="-6"/>
          <w:kern w:val="2"/>
          <w:sz w:val="30"/>
          <w:szCs w:val="30"/>
          <w:highlight w:val="none"/>
          <w:lang w:val="en-US" w:eastAsia="zh-CN" w:bidi="ar-SA"/>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val="0"/>
          <w:spacing w:val="-6"/>
          <w:kern w:val="2"/>
          <w:sz w:val="30"/>
          <w:szCs w:val="30"/>
          <w:highlight w:val="none"/>
          <w:lang w:val="en-US" w:eastAsia="zh-CN" w:bidi="ar-SA"/>
        </w:rPr>
        <w:t>日    期：2025年9月</w:t>
      </w:r>
    </w:p>
    <w:sdt>
      <w:sdtPr>
        <w:rPr>
          <w:rFonts w:ascii="宋体" w:hAnsi="宋体" w:eastAsia="宋体" w:cs="宋体"/>
          <w:sz w:val="43"/>
          <w:szCs w:val="43"/>
          <w:highlight w:val="none"/>
        </w:rPr>
        <w:id w:val="1"/>
        <w:docPartObj>
          <w:docPartGallery w:val="Table of Contents"/>
          <w:docPartUnique/>
        </w:docPartObj>
      </w:sdtPr>
      <w:sdtEndPr>
        <w:rPr>
          <w:rFonts w:hint="eastAsia" w:ascii="宋体" w:hAnsi="宋体" w:eastAsia="宋体" w:cs="宋体"/>
          <w:sz w:val="24"/>
          <w:szCs w:val="24"/>
          <w:highlight w:val="none"/>
        </w:rPr>
      </w:sdtEndPr>
      <w:sdtContent>
        <w:p w14:paraId="14A3EDDB">
          <w:pPr>
            <w:spacing w:before="140" w:line="226" w:lineRule="auto"/>
            <w:ind w:left="3694"/>
            <w:rPr>
              <w:rFonts w:ascii="宋体" w:hAnsi="宋体" w:eastAsia="宋体" w:cs="宋体"/>
              <w:sz w:val="43"/>
              <w:szCs w:val="43"/>
              <w:highlight w:val="none"/>
            </w:rPr>
          </w:pPr>
          <w:r>
            <w:rPr>
              <w:rFonts w:ascii="宋体" w:hAnsi="宋体" w:eastAsia="宋体" w:cs="宋体"/>
              <w:spacing w:val="-46"/>
              <w:sz w:val="43"/>
              <w:szCs w:val="43"/>
              <w:highlight w:val="none"/>
              <w14:textOutline w14:w="7968" w14:cap="flat" w14:cmpd="sng">
                <w14:solidFill>
                  <w14:srgbClr w14:val="000000"/>
                </w14:solidFill>
                <w14:prstDash w14:val="solid"/>
                <w14:miter w14:val="0"/>
              </w14:textOutline>
            </w:rPr>
            <w:t>目</w:t>
          </w:r>
          <w:r>
            <w:rPr>
              <w:rFonts w:ascii="宋体" w:hAnsi="宋体" w:eastAsia="宋体" w:cs="宋体"/>
              <w:spacing w:val="13"/>
              <w:sz w:val="43"/>
              <w:szCs w:val="43"/>
              <w:highlight w:val="none"/>
            </w:rPr>
            <w:t xml:space="preserve">   </w:t>
          </w:r>
          <w:r>
            <w:rPr>
              <w:rFonts w:ascii="宋体" w:hAnsi="宋体" w:eastAsia="宋体" w:cs="宋体"/>
              <w:spacing w:val="-46"/>
              <w:sz w:val="43"/>
              <w:szCs w:val="43"/>
              <w:highlight w:val="none"/>
              <w14:textOutline w14:w="7968" w14:cap="flat" w14:cmpd="sng">
                <w14:solidFill>
                  <w14:srgbClr w14:val="000000"/>
                </w14:solidFill>
                <w14:prstDash w14:val="solid"/>
                <w14:miter w14:val="0"/>
              </w14:textOutline>
            </w:rPr>
            <w:t>录</w:t>
          </w:r>
        </w:p>
        <w:p w14:paraId="634940CF">
          <w:pPr>
            <w:tabs>
              <w:tab w:val="right" w:leader="dot" w:pos="8195"/>
            </w:tabs>
            <w:spacing w:before="298" w:line="220" w:lineRule="auto"/>
            <w:ind w:left="406"/>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rPr>
            <w:t>重要事项提示</w:t>
          </w:r>
          <w:r>
            <w:rPr>
              <w:rFonts w:ascii="宋体" w:hAnsi="宋体" w:eastAsia="宋体" w:cs="宋体"/>
              <w:sz w:val="24"/>
              <w:szCs w:val="24"/>
              <w:highlight w:val="none"/>
            </w:rPr>
            <w:tab/>
          </w:r>
          <w:r>
            <w:rPr>
              <w:rFonts w:hint="eastAsia" w:ascii="宋体" w:hAnsi="宋体" w:eastAsia="宋体" w:cs="宋体"/>
              <w:spacing w:val="1"/>
              <w:sz w:val="24"/>
              <w:szCs w:val="24"/>
              <w:highlight w:val="none"/>
              <w:lang w:val="en-US" w:eastAsia="zh-CN"/>
            </w:rPr>
            <w:t>2</w:t>
          </w:r>
        </w:p>
        <w:p w14:paraId="3EB4B73A">
          <w:pPr>
            <w:pStyle w:val="6"/>
            <w:spacing w:line="258" w:lineRule="auto"/>
            <w:rPr>
              <w:rFonts w:hint="eastAsia" w:ascii="宋体" w:hAnsi="宋体" w:eastAsia="宋体" w:cs="宋体"/>
              <w:highlight w:val="none"/>
            </w:rPr>
          </w:pPr>
        </w:p>
        <w:p w14:paraId="37B225B9">
          <w:pPr>
            <w:tabs>
              <w:tab w:val="right" w:leader="dot" w:pos="8197"/>
            </w:tabs>
            <w:spacing w:before="78" w:line="218" w:lineRule="auto"/>
            <w:ind w:left="404"/>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val="en-US" w:eastAsia="zh-CN"/>
            </w:rPr>
            <w:t>磋商</w:t>
          </w:r>
          <w:r>
            <w:rPr>
              <w:rFonts w:hint="eastAsia" w:ascii="宋体" w:hAnsi="宋体" w:eastAsia="宋体" w:cs="宋体"/>
              <w:spacing w:val="-3"/>
              <w:sz w:val="24"/>
              <w:szCs w:val="24"/>
              <w:highlight w:val="none"/>
            </w:rPr>
            <w:t>公告</w:t>
          </w:r>
          <w:r>
            <w:rPr>
              <w:rFonts w:hint="eastAsia" w:ascii="宋体" w:hAnsi="宋体" w:eastAsia="宋体" w:cs="宋体"/>
              <w:spacing w:val="-102"/>
              <w:sz w:val="24"/>
              <w:szCs w:val="24"/>
              <w:highlight w:val="none"/>
            </w:rPr>
            <w:t xml:space="preserve"> </w:t>
          </w:r>
          <w:r>
            <w:rPr>
              <w:rFonts w:hint="eastAsia" w:ascii="宋体" w:hAnsi="宋体" w:eastAsia="宋体" w:cs="宋体"/>
              <w:sz w:val="24"/>
              <w:szCs w:val="24"/>
              <w:highlight w:val="none"/>
            </w:rPr>
            <w:tab/>
          </w:r>
          <w:r>
            <w:rPr>
              <w:rFonts w:hint="eastAsia" w:ascii="宋体" w:hAnsi="宋体" w:eastAsia="宋体" w:cs="宋体"/>
              <w:spacing w:val="1"/>
              <w:sz w:val="24"/>
              <w:szCs w:val="24"/>
              <w:highlight w:val="none"/>
              <w:u w:val="none" w:color="auto"/>
              <w:lang w:val="en-US" w:eastAsia="zh-CN"/>
            </w:rPr>
            <w:t>4</w:t>
          </w:r>
        </w:p>
        <w:p w14:paraId="3C7CF1F5">
          <w:pPr>
            <w:pStyle w:val="6"/>
            <w:spacing w:line="258" w:lineRule="auto"/>
            <w:rPr>
              <w:rFonts w:hint="eastAsia" w:ascii="宋体" w:hAnsi="宋体" w:eastAsia="宋体" w:cs="宋体"/>
              <w:highlight w:val="none"/>
            </w:rPr>
          </w:pPr>
        </w:p>
        <w:p w14:paraId="55EB1F70">
          <w:pPr>
            <w:tabs>
              <w:tab w:val="right" w:leader="dot" w:pos="8197"/>
            </w:tabs>
            <w:spacing w:before="78" w:line="219" w:lineRule="auto"/>
            <w:ind w:left="408"/>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投标须知前附表</w:t>
          </w:r>
          <w:r>
            <w:rPr>
              <w:rFonts w:hint="eastAsia" w:ascii="宋体" w:hAnsi="宋体" w:eastAsia="宋体" w:cs="宋体"/>
              <w:spacing w:val="-104"/>
              <w:sz w:val="24"/>
              <w:szCs w:val="24"/>
              <w:highlight w:val="none"/>
            </w:rPr>
            <w:t xml:space="preserve"> </w:t>
          </w:r>
          <w:r>
            <w:rPr>
              <w:rFonts w:hint="eastAsia" w:ascii="宋体" w:hAnsi="宋体" w:eastAsia="宋体" w:cs="宋体"/>
              <w:sz w:val="24"/>
              <w:szCs w:val="24"/>
              <w:highlight w:val="none"/>
            </w:rPr>
            <w:tab/>
          </w:r>
          <w:r>
            <w:rPr>
              <w:rFonts w:hint="eastAsia" w:ascii="宋体" w:hAnsi="宋体" w:eastAsia="宋体" w:cs="宋体"/>
              <w:spacing w:val="1"/>
              <w:sz w:val="24"/>
              <w:szCs w:val="24"/>
              <w:highlight w:val="none"/>
              <w:lang w:val="en-US" w:eastAsia="zh-CN"/>
            </w:rPr>
            <w:t>7</w:t>
          </w:r>
        </w:p>
        <w:p w14:paraId="473072FA">
          <w:pPr>
            <w:pStyle w:val="6"/>
            <w:spacing w:line="257" w:lineRule="auto"/>
            <w:rPr>
              <w:rFonts w:hint="eastAsia" w:ascii="宋体" w:hAnsi="宋体" w:eastAsia="宋体" w:cs="宋体"/>
              <w:highlight w:val="none"/>
            </w:rPr>
          </w:pPr>
        </w:p>
        <w:p w14:paraId="3295E67F">
          <w:pPr>
            <w:tabs>
              <w:tab w:val="right" w:leader="dot" w:pos="8317"/>
            </w:tabs>
            <w:spacing w:before="78" w:line="185" w:lineRule="auto"/>
            <w:ind w:left="405"/>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"bookmark3" </w:instrText>
          </w:r>
          <w:r>
            <w:rPr>
              <w:rFonts w:hint="eastAsia" w:ascii="宋体" w:hAnsi="宋体" w:eastAsia="宋体" w:cs="宋体"/>
              <w:highlight w:val="none"/>
            </w:rPr>
            <w:fldChar w:fldCharType="separate"/>
          </w:r>
          <w:r>
            <w:rPr>
              <w:rFonts w:hint="eastAsia" w:ascii="宋体" w:hAnsi="宋体" w:eastAsia="宋体" w:cs="宋体"/>
              <w:spacing w:val="-1"/>
              <w:sz w:val="24"/>
              <w:szCs w:val="24"/>
              <w:highlight w:val="none"/>
            </w:rPr>
            <w:t xml:space="preserve">第一部分 </w:t>
          </w:r>
          <w:r>
            <w:rPr>
              <w:rFonts w:hint="eastAsia" w:ascii="宋体" w:hAnsi="宋体" w:eastAsia="宋体" w:cs="宋体"/>
              <w:spacing w:val="-1"/>
              <w:sz w:val="24"/>
              <w:szCs w:val="24"/>
              <w:highlight w:val="none"/>
              <w:lang w:val="en-US" w:eastAsia="zh-CN"/>
            </w:rPr>
            <w:t>磋商</w:t>
          </w:r>
          <w:r>
            <w:rPr>
              <w:rFonts w:hint="eastAsia" w:ascii="宋体" w:hAnsi="宋体" w:eastAsia="宋体" w:cs="宋体"/>
              <w:spacing w:val="-1"/>
              <w:sz w:val="24"/>
              <w:szCs w:val="24"/>
              <w:highlight w:val="none"/>
            </w:rPr>
            <w:t>项目相关内容及要求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11</w:t>
          </w:r>
          <w:r>
            <w:rPr>
              <w:rFonts w:hint="eastAsia" w:ascii="宋体" w:hAnsi="宋体" w:eastAsia="宋体" w:cs="宋体"/>
              <w:spacing w:val="1"/>
              <w:sz w:val="24"/>
              <w:szCs w:val="24"/>
              <w:highlight w:val="none"/>
            </w:rPr>
            <w:fldChar w:fldCharType="end"/>
          </w:r>
        </w:p>
        <w:p w14:paraId="27BF5885">
          <w:pPr>
            <w:pStyle w:val="6"/>
            <w:spacing w:line="269" w:lineRule="auto"/>
            <w:rPr>
              <w:rFonts w:hint="eastAsia" w:ascii="宋体" w:hAnsi="宋体" w:eastAsia="宋体" w:cs="宋体"/>
              <w:highlight w:val="none"/>
            </w:rPr>
          </w:pPr>
        </w:p>
        <w:p w14:paraId="3D5287E5">
          <w:pPr>
            <w:tabs>
              <w:tab w:val="right" w:leader="dot" w:pos="8197"/>
            </w:tabs>
            <w:spacing w:before="78" w:line="479" w:lineRule="auto"/>
            <w:ind w:left="405"/>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"bookmark4" </w:instrText>
          </w:r>
          <w:r>
            <w:rPr>
              <w:rFonts w:hint="eastAsia" w:ascii="宋体" w:hAnsi="宋体" w:eastAsia="宋体" w:cs="宋体"/>
              <w:highlight w:val="none"/>
            </w:rPr>
            <w:fldChar w:fldCharType="separate"/>
          </w:r>
          <w:r>
            <w:rPr>
              <w:rFonts w:hint="eastAsia" w:ascii="宋体" w:hAnsi="宋体" w:eastAsia="宋体" w:cs="宋体"/>
              <w:spacing w:val="-1"/>
              <w:sz w:val="24"/>
              <w:szCs w:val="24"/>
              <w:highlight w:val="none"/>
            </w:rPr>
            <w:t xml:space="preserve">第二部分  </w:t>
          </w:r>
          <w:r>
            <w:rPr>
              <w:rFonts w:hint="eastAsia" w:ascii="宋体" w:hAnsi="宋体" w:eastAsia="宋体" w:cs="宋体"/>
              <w:spacing w:val="-1"/>
              <w:sz w:val="24"/>
              <w:szCs w:val="24"/>
              <w:highlight w:val="none"/>
              <w:lang w:val="en-US" w:eastAsia="zh-CN"/>
            </w:rPr>
            <w:t>磋商</w:t>
          </w:r>
          <w:r>
            <w:rPr>
              <w:rFonts w:hint="eastAsia" w:ascii="宋体" w:hAnsi="宋体" w:eastAsia="宋体" w:cs="宋体"/>
              <w:spacing w:val="-1"/>
              <w:sz w:val="24"/>
              <w:szCs w:val="24"/>
              <w:highlight w:val="none"/>
            </w:rPr>
            <w:t>须知</w:t>
          </w:r>
          <w:r>
            <w:rPr>
              <w:rFonts w:hint="eastAsia" w:ascii="宋体" w:hAnsi="宋体" w:eastAsia="宋体" w:cs="宋体"/>
              <w:spacing w:val="-1"/>
              <w:sz w:val="24"/>
              <w:szCs w:val="24"/>
              <w:highlight w:val="none"/>
            </w:rPr>
            <w:fldChar w:fldCharType="end"/>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color="auto"/>
            </w:rPr>
            <w:t>12</w:t>
          </w:r>
        </w:p>
        <w:p w14:paraId="17D50449">
          <w:pPr>
            <w:tabs>
              <w:tab w:val="right" w:leader="dot" w:pos="8197"/>
            </w:tabs>
            <w:spacing w:before="34" w:line="212" w:lineRule="auto"/>
            <w:ind w:left="405"/>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"bookmark5" </w:instrText>
          </w:r>
          <w:r>
            <w:rPr>
              <w:rFonts w:hint="eastAsia" w:ascii="宋体" w:hAnsi="宋体" w:eastAsia="宋体" w:cs="宋体"/>
              <w:highlight w:val="none"/>
            </w:rPr>
            <w:fldChar w:fldCharType="separate"/>
          </w:r>
          <w:r>
            <w:rPr>
              <w:rFonts w:hint="eastAsia" w:ascii="宋体" w:hAnsi="宋体" w:eastAsia="宋体" w:cs="宋体"/>
              <w:spacing w:val="-1"/>
              <w:sz w:val="24"/>
              <w:szCs w:val="24"/>
              <w:highlight w:val="none"/>
            </w:rPr>
            <w:t>第三部分  其他要求</w:t>
          </w:r>
          <w:r>
            <w:rPr>
              <w:rFonts w:hint="eastAsia" w:ascii="宋体" w:hAnsi="宋体" w:eastAsia="宋体" w:cs="宋体"/>
              <w:sz w:val="24"/>
              <w:szCs w:val="24"/>
              <w:highlight w:val="none"/>
            </w:rPr>
            <w:tab/>
          </w: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fldChar w:fldCharType="end"/>
          </w:r>
        </w:p>
        <w:p w14:paraId="69BDECE3">
          <w:pPr>
            <w:pStyle w:val="6"/>
            <w:spacing w:line="267" w:lineRule="auto"/>
            <w:rPr>
              <w:rFonts w:hint="eastAsia" w:ascii="宋体" w:hAnsi="宋体" w:eastAsia="宋体" w:cs="宋体"/>
              <w:highlight w:val="none"/>
            </w:rPr>
          </w:pPr>
        </w:p>
        <w:p w14:paraId="0A08CF0C">
          <w:pPr>
            <w:tabs>
              <w:tab w:val="right" w:leader="dot" w:pos="8197"/>
            </w:tabs>
            <w:spacing w:before="79" w:line="220" w:lineRule="auto"/>
            <w:ind w:left="40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第四部分  质疑与投诉</w:t>
          </w:r>
          <w:r>
            <w:rPr>
              <w:rFonts w:hint="eastAsia" w:ascii="宋体" w:hAnsi="宋体" w:eastAsia="宋体" w:cs="宋体"/>
              <w:spacing w:val="-103"/>
              <w:sz w:val="24"/>
              <w:szCs w:val="24"/>
              <w:highlight w:val="none"/>
            </w:rPr>
            <w:t xml:space="preserve"> </w:t>
          </w:r>
          <w:r>
            <w:rPr>
              <w:rFonts w:hint="eastAsia" w:ascii="宋体" w:hAnsi="宋体" w:eastAsia="宋体" w:cs="宋体"/>
              <w:sz w:val="24"/>
              <w:szCs w:val="24"/>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"bookmark6"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fldChar w:fldCharType="end"/>
          </w:r>
        </w:p>
        <w:p w14:paraId="426B0F97">
          <w:pPr>
            <w:pStyle w:val="6"/>
            <w:spacing w:line="256" w:lineRule="auto"/>
            <w:rPr>
              <w:rFonts w:hint="eastAsia" w:ascii="宋体" w:hAnsi="宋体" w:eastAsia="宋体" w:cs="宋体"/>
              <w:highlight w:val="none"/>
            </w:rPr>
          </w:pPr>
        </w:p>
        <w:p w14:paraId="69AEAF00">
          <w:pPr>
            <w:tabs>
              <w:tab w:val="right" w:leader="dot" w:pos="8197"/>
            </w:tabs>
            <w:spacing w:before="78" w:line="185" w:lineRule="auto"/>
            <w:ind w:left="405"/>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"bookmark7" </w:instrText>
          </w:r>
          <w:r>
            <w:rPr>
              <w:rFonts w:hint="eastAsia" w:ascii="宋体" w:hAnsi="宋体" w:eastAsia="宋体" w:cs="宋体"/>
              <w:highlight w:val="none"/>
            </w:rPr>
            <w:fldChar w:fldCharType="separate"/>
          </w:r>
          <w:r>
            <w:rPr>
              <w:rFonts w:hint="eastAsia" w:ascii="宋体" w:hAnsi="宋体" w:eastAsia="宋体" w:cs="宋体"/>
              <w:spacing w:val="-1"/>
              <w:sz w:val="24"/>
              <w:szCs w:val="24"/>
              <w:highlight w:val="none"/>
            </w:rPr>
            <w:t>第五部分  采购内容及要求</w:t>
          </w:r>
          <w:r>
            <w:rPr>
              <w:rFonts w:hint="eastAsia" w:ascii="宋体" w:hAnsi="宋体" w:eastAsia="宋体" w:cs="宋体"/>
              <w:sz w:val="24"/>
              <w:szCs w:val="24"/>
              <w:highlight w:val="none"/>
            </w:rPr>
            <w:tab/>
          </w: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rPr>
            <w:fldChar w:fldCharType="end"/>
          </w:r>
        </w:p>
        <w:p w14:paraId="2A537EC0">
          <w:pPr>
            <w:pStyle w:val="6"/>
            <w:spacing w:line="301" w:lineRule="auto"/>
            <w:rPr>
              <w:rFonts w:hint="eastAsia" w:ascii="宋体" w:hAnsi="宋体" w:eastAsia="宋体" w:cs="宋体"/>
              <w:highlight w:val="none"/>
            </w:rPr>
          </w:pPr>
        </w:p>
        <w:p w14:paraId="061C9A3F">
          <w:pPr>
            <w:tabs>
              <w:tab w:val="right" w:leader="dot" w:pos="8197"/>
            </w:tabs>
            <w:spacing w:before="79" w:line="185" w:lineRule="auto"/>
            <w:ind w:left="405"/>
            <w:rPr>
              <w:rFonts w:hint="eastAsia" w:ascii="宋体" w:hAnsi="宋体" w:eastAsia="宋体" w:cs="宋体"/>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"bookmark8" </w:instrText>
          </w:r>
          <w:r>
            <w:rPr>
              <w:rFonts w:hint="eastAsia" w:ascii="宋体" w:hAnsi="宋体" w:eastAsia="宋体" w:cs="宋体"/>
              <w:highlight w:val="none"/>
            </w:rPr>
            <w:fldChar w:fldCharType="separate"/>
          </w:r>
          <w:r>
            <w:rPr>
              <w:rFonts w:hint="eastAsia" w:ascii="宋体" w:hAnsi="宋体" w:eastAsia="宋体" w:cs="宋体"/>
              <w:spacing w:val="-1"/>
              <w:sz w:val="24"/>
              <w:szCs w:val="24"/>
              <w:highlight w:val="none"/>
            </w:rPr>
            <w:t>第六部分  合同格式及主要条款</w:t>
          </w:r>
          <w:r>
            <w:rPr>
              <w:rFonts w:hint="eastAsia" w:ascii="宋体" w:hAnsi="宋体" w:eastAsia="宋体" w:cs="宋体"/>
              <w:sz w:val="24"/>
              <w:szCs w:val="24"/>
              <w:highlight w:val="none"/>
            </w:rPr>
            <w:tab/>
          </w: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val="en-US" w:eastAsia="zh-CN"/>
            </w:rPr>
            <w:t>8</w:t>
          </w:r>
          <w:r>
            <w:rPr>
              <w:rFonts w:hint="eastAsia" w:ascii="宋体" w:hAnsi="宋体" w:eastAsia="宋体" w:cs="宋体"/>
              <w:spacing w:val="1"/>
              <w:sz w:val="24"/>
              <w:szCs w:val="24"/>
              <w:highlight w:val="none"/>
            </w:rPr>
            <w:fldChar w:fldCharType="end"/>
          </w:r>
        </w:p>
        <w:p w14:paraId="36DA4F73">
          <w:pPr>
            <w:pStyle w:val="6"/>
            <w:spacing w:line="303" w:lineRule="auto"/>
            <w:rPr>
              <w:rFonts w:hint="eastAsia" w:ascii="宋体" w:hAnsi="宋体" w:eastAsia="宋体" w:cs="宋体"/>
              <w:highlight w:val="none"/>
            </w:rPr>
          </w:pPr>
        </w:p>
        <w:p w14:paraId="2C8D8FEB">
          <w:pPr>
            <w:tabs>
              <w:tab w:val="right" w:leader="dot" w:pos="8195"/>
            </w:tabs>
            <w:spacing w:before="78" w:line="185" w:lineRule="auto"/>
            <w:ind w:left="405"/>
            <w:rPr>
              <w:rFonts w:hint="eastAsia" w:ascii="宋体" w:hAnsi="宋体" w:eastAsia="宋体" w:cs="宋体"/>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"bookmark9" </w:instrText>
          </w:r>
          <w:r>
            <w:rPr>
              <w:rFonts w:hint="eastAsia" w:ascii="宋体" w:hAnsi="宋体" w:eastAsia="宋体" w:cs="宋体"/>
              <w:highlight w:val="none"/>
            </w:rPr>
            <w:fldChar w:fldCharType="separate"/>
          </w:r>
          <w:r>
            <w:rPr>
              <w:rFonts w:hint="eastAsia" w:ascii="宋体" w:hAnsi="宋体" w:eastAsia="宋体" w:cs="宋体"/>
              <w:spacing w:val="-1"/>
              <w:sz w:val="24"/>
              <w:szCs w:val="24"/>
              <w:highlight w:val="none"/>
            </w:rPr>
            <w:t>第七部分  履约验收</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0</w:t>
          </w:r>
        </w:p>
        <w:p w14:paraId="537D66B7">
          <w:pPr>
            <w:pStyle w:val="6"/>
            <w:spacing w:line="301" w:lineRule="auto"/>
            <w:rPr>
              <w:rFonts w:hint="eastAsia" w:ascii="宋体" w:hAnsi="宋体" w:eastAsia="宋体" w:cs="宋体"/>
              <w:highlight w:val="none"/>
            </w:rPr>
          </w:pPr>
        </w:p>
        <w:p w14:paraId="5BFB2819">
          <w:pPr>
            <w:tabs>
              <w:tab w:val="right" w:leader="dot" w:pos="8197"/>
            </w:tabs>
            <w:spacing w:before="79" w:line="211" w:lineRule="auto"/>
            <w:ind w:left="405"/>
            <w:rPr>
              <w:rFonts w:hint="eastAsia" w:ascii="宋体" w:hAnsi="宋体" w:eastAsia="宋体" w:cs="宋体"/>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"bookmark10" </w:instrText>
          </w:r>
          <w:r>
            <w:rPr>
              <w:rFonts w:hint="eastAsia" w:ascii="宋体" w:hAnsi="宋体" w:eastAsia="宋体" w:cs="宋体"/>
              <w:highlight w:val="none"/>
            </w:rPr>
            <w:fldChar w:fldCharType="separate"/>
          </w:r>
          <w:r>
            <w:rPr>
              <w:rFonts w:hint="eastAsia" w:ascii="宋体" w:hAnsi="宋体" w:eastAsia="宋体" w:cs="宋体"/>
              <w:spacing w:val="-1"/>
              <w:sz w:val="24"/>
              <w:szCs w:val="24"/>
              <w:highlight w:val="none"/>
            </w:rPr>
            <w:t>第八部分  附件—供应商响应文件格式</w:t>
          </w:r>
          <w:r>
            <w:rPr>
              <w:rFonts w:hint="eastAsia" w:ascii="宋体" w:hAnsi="宋体" w:eastAsia="宋体" w:cs="宋体"/>
              <w:sz w:val="24"/>
              <w:szCs w:val="24"/>
              <w:highlight w:val="none"/>
            </w:rPr>
            <w:tab/>
          </w: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u w:val="single" w:color="auto"/>
            </w:rPr>
            <w:fldChar w:fldCharType="end"/>
          </w:r>
          <w:r>
            <w:rPr>
              <w:rFonts w:hint="eastAsia" w:ascii="宋体" w:hAnsi="宋体" w:eastAsia="宋体" w:cs="宋体"/>
              <w:spacing w:val="1"/>
              <w:sz w:val="24"/>
              <w:szCs w:val="24"/>
              <w:highlight w:val="none"/>
              <w:u w:val="none" w:color="auto"/>
              <w:lang w:val="en-US" w:eastAsia="zh-CN"/>
            </w:rPr>
            <w:t>1</w:t>
          </w:r>
        </w:p>
        <w:p w14:paraId="68CF1B78">
          <w:pPr>
            <w:pStyle w:val="6"/>
            <w:spacing w:line="267" w:lineRule="auto"/>
            <w:rPr>
              <w:rFonts w:hint="eastAsia" w:ascii="宋体" w:hAnsi="宋体" w:eastAsia="宋体" w:cs="宋体"/>
              <w:highlight w:val="none"/>
            </w:rPr>
          </w:pPr>
        </w:p>
        <w:p w14:paraId="75F71606">
          <w:pPr>
            <w:tabs>
              <w:tab w:val="right" w:leader="dot" w:pos="8195"/>
            </w:tabs>
            <w:spacing w:before="78" w:line="219" w:lineRule="auto"/>
            <w:ind w:left="406"/>
            <w:rPr>
              <w:rFonts w:ascii="宋体" w:hAnsi="宋体" w:eastAsia="宋体" w:cs="宋体"/>
              <w:sz w:val="24"/>
              <w:szCs w:val="24"/>
              <w:highlight w:val="none"/>
            </w:rPr>
          </w:pPr>
          <w:r>
            <w:rPr>
              <w:rFonts w:hint="eastAsia" w:ascii="宋体" w:hAnsi="宋体" w:eastAsia="宋体" w:cs="宋体"/>
              <w:spacing w:val="-1"/>
              <w:sz w:val="24"/>
              <w:szCs w:val="24"/>
              <w:highlight w:val="none"/>
            </w:rPr>
            <w:t>提升政府采购营商环境相关政策</w:t>
          </w:r>
          <w:r>
            <w:rPr>
              <w:rFonts w:hint="eastAsia" w:ascii="宋体" w:hAnsi="宋体" w:eastAsia="宋体" w:cs="宋体"/>
              <w:sz w:val="24"/>
              <w:szCs w:val="24"/>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"bookmark11" </w:instrText>
          </w:r>
          <w:r>
            <w:rPr>
              <w:rFonts w:hint="eastAsia" w:ascii="宋体" w:hAnsi="宋体" w:eastAsia="宋体" w:cs="宋体"/>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fldChar w:fldCharType="end"/>
          </w:r>
        </w:p>
      </w:sdtContent>
    </w:sdt>
    <w:p w14:paraId="14AD7CE3">
      <w:pPr>
        <w:spacing w:line="219" w:lineRule="auto"/>
        <w:rPr>
          <w:rFonts w:ascii="宋体" w:hAnsi="宋体" w:eastAsia="宋体" w:cs="宋体"/>
          <w:sz w:val="24"/>
          <w:szCs w:val="24"/>
          <w:highlight w:val="none"/>
        </w:rPr>
        <w:sectPr>
          <w:footerReference r:id="rId6" w:type="default"/>
          <w:pgSz w:w="11905" w:h="16836"/>
          <w:pgMar w:top="1431" w:right="1785" w:bottom="899" w:left="1785" w:header="0" w:footer="738" w:gutter="0"/>
          <w:pgNumType w:fmt="decimal" w:start="1"/>
          <w:cols w:space="720" w:num="1"/>
        </w:sectPr>
      </w:pPr>
    </w:p>
    <w:p w14:paraId="615E8FA5">
      <w:pPr>
        <w:spacing w:before="140" w:line="224" w:lineRule="auto"/>
        <w:jc w:val="center"/>
        <w:rPr>
          <w:rFonts w:ascii="宋体" w:hAnsi="宋体" w:eastAsia="宋体" w:cs="宋体"/>
          <w:sz w:val="43"/>
          <w:szCs w:val="43"/>
          <w:highlight w:val="none"/>
        </w:rPr>
      </w:pPr>
      <w:r>
        <w:rPr>
          <w:rFonts w:ascii="宋体" w:hAnsi="宋体" w:eastAsia="宋体" w:cs="宋体"/>
          <w:spacing w:val="8"/>
          <w:sz w:val="43"/>
          <w:szCs w:val="43"/>
          <w:highlight w:val="none"/>
          <w14:textOutline w14:w="7968" w14:cap="flat" w14:cmpd="sng">
            <w14:solidFill>
              <w14:srgbClr w14:val="000000"/>
            </w14:solidFill>
            <w14:prstDash w14:val="solid"/>
            <w14:miter w14:val="0"/>
          </w14:textOutline>
        </w:rPr>
        <w:t>重要事项提示</w:t>
      </w:r>
    </w:p>
    <w:p w14:paraId="4F35B2D4">
      <w:pPr>
        <w:pStyle w:val="6"/>
        <w:spacing w:line="255" w:lineRule="auto"/>
        <w:rPr>
          <w:highlight w:val="none"/>
        </w:rPr>
      </w:pPr>
    </w:p>
    <w:p w14:paraId="3ABF95E3">
      <w:pPr>
        <w:pStyle w:val="6"/>
        <w:spacing w:line="255" w:lineRule="auto"/>
        <w:rPr>
          <w:highlight w:val="none"/>
        </w:rPr>
      </w:pPr>
    </w:p>
    <w:p w14:paraId="136A5B3E">
      <w:pPr>
        <w:keepNext w:val="0"/>
        <w:keepLines w:val="0"/>
        <w:pageBreakBefore w:val="0"/>
        <w:kinsoku/>
        <w:wordWrap/>
        <w:overflowPunct/>
        <w:topLinePunct w:val="0"/>
        <w:autoSpaceDE/>
        <w:autoSpaceDN/>
        <w:bidi w:val="0"/>
        <w:adjustRightInd/>
        <w:snapToGrid/>
        <w:spacing w:line="500" w:lineRule="exact"/>
        <w:ind w:left="0" w:right="0"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各潜在供应商：</w:t>
      </w:r>
    </w:p>
    <w:p w14:paraId="7D94BD9C">
      <w:pPr>
        <w:keepNext w:val="0"/>
        <w:keepLines w:val="0"/>
        <w:pageBreakBefore w:val="0"/>
        <w:kinsoku/>
        <w:wordWrap/>
        <w:overflowPunct/>
        <w:topLinePunct w:val="0"/>
        <w:autoSpaceDE/>
        <w:autoSpaceDN/>
        <w:bidi w:val="0"/>
        <w:adjustRightInd/>
        <w:snapToGrid/>
        <w:spacing w:line="500" w:lineRule="exact"/>
        <w:ind w:left="0" w:right="0"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以下环节是此采购文件中需要重点关注的环节，对以下内容的忽视，可能是影响贵公司中标的重要因素。请在编制响应性文件参与政府采购时高度重视。</w:t>
      </w:r>
    </w:p>
    <w:p w14:paraId="3224D9C5">
      <w:pPr>
        <w:keepNext w:val="0"/>
        <w:keepLines w:val="0"/>
        <w:pageBreakBefore w:val="0"/>
        <w:kinsoku/>
        <w:wordWrap/>
        <w:overflowPunct/>
        <w:topLinePunct w:val="0"/>
        <w:autoSpaceDE/>
        <w:autoSpaceDN/>
        <w:bidi w:val="0"/>
        <w:adjustRightInd/>
        <w:snapToGrid/>
        <w:spacing w:line="500" w:lineRule="exact"/>
        <w:ind w:left="0" w:right="0" w:firstLine="468" w:firstLineChars="200"/>
        <w:textAlignment w:val="auto"/>
        <w:rPr>
          <w:rFonts w:ascii="宋体" w:hAnsi="宋体" w:eastAsia="宋体" w:cs="宋体"/>
          <w:sz w:val="24"/>
          <w:szCs w:val="24"/>
          <w:highlight w:val="none"/>
        </w:rPr>
      </w:pPr>
      <w:r>
        <w:rPr>
          <w:rFonts w:ascii="宋体" w:hAnsi="宋体" w:eastAsia="宋体" w:cs="宋体"/>
          <w:spacing w:val="-3"/>
          <w:sz w:val="24"/>
          <w:szCs w:val="24"/>
          <w:highlight w:val="none"/>
        </w:rPr>
        <w:t>1、</w:t>
      </w:r>
      <w:r>
        <w:rPr>
          <w:rFonts w:hint="eastAsia" w:ascii="宋体" w:hAnsi="宋体" w:eastAsia="宋体" w:cs="宋体"/>
          <w:spacing w:val="-3"/>
          <w:sz w:val="24"/>
          <w:szCs w:val="24"/>
          <w:highlight w:val="none"/>
          <w:lang w:eastAsia="zh-CN"/>
        </w:rPr>
        <w:t>磋商</w:t>
      </w:r>
      <w:r>
        <w:rPr>
          <w:rFonts w:ascii="宋体" w:hAnsi="宋体" w:eastAsia="宋体" w:cs="宋体"/>
          <w:spacing w:val="-3"/>
          <w:sz w:val="24"/>
          <w:szCs w:val="24"/>
          <w:highlight w:val="none"/>
        </w:rPr>
        <w:t>文件应通过焦作市公共资源交易中心网站会员系统进行网上下载；</w:t>
      </w:r>
      <w:r>
        <w:rPr>
          <w:rFonts w:ascii="宋体" w:hAnsi="宋体" w:eastAsia="宋体" w:cs="宋体"/>
          <w:sz w:val="24"/>
          <w:szCs w:val="24"/>
          <w:highlight w:val="none"/>
        </w:rPr>
        <w:t>未使用企业 CA 密匙登录焦作市公共资源交易中心网站会员系统进行网上下载</w:t>
      </w:r>
      <w:r>
        <w:rPr>
          <w:rFonts w:ascii="宋体" w:hAnsi="宋体" w:eastAsia="宋体" w:cs="宋体"/>
          <w:spacing w:val="-6"/>
          <w:sz w:val="24"/>
          <w:szCs w:val="24"/>
          <w:highlight w:val="none"/>
        </w:rPr>
        <w:t>文件的，投标视为无效；</w:t>
      </w:r>
    </w:p>
    <w:p w14:paraId="3DCF0D39">
      <w:pPr>
        <w:keepNext w:val="0"/>
        <w:keepLines w:val="0"/>
        <w:pageBreakBefore w:val="0"/>
        <w:widowControl w:val="0"/>
        <w:kinsoku/>
        <w:wordWrap/>
        <w:overflowPunct/>
        <w:topLinePunct w:val="0"/>
        <w:autoSpaceDE/>
        <w:autoSpaceDN/>
        <w:bidi w:val="0"/>
        <w:adjustRightInd/>
        <w:snapToGrid/>
        <w:spacing w:line="500" w:lineRule="exact"/>
        <w:ind w:left="0" w:right="0" w:firstLine="448" w:firstLineChars="200"/>
        <w:textAlignment w:val="auto"/>
        <w:rPr>
          <w:rFonts w:ascii="宋体" w:hAnsi="宋体" w:eastAsia="宋体" w:cs="宋体"/>
          <w:sz w:val="24"/>
          <w:szCs w:val="24"/>
          <w:highlight w:val="none"/>
        </w:rPr>
      </w:pPr>
      <w:r>
        <w:rPr>
          <w:rFonts w:ascii="宋体" w:hAnsi="宋体" w:eastAsia="宋体" w:cs="宋体"/>
          <w:spacing w:val="-8"/>
          <w:sz w:val="24"/>
          <w:szCs w:val="24"/>
          <w:highlight w:val="none"/>
        </w:rPr>
        <w:t>2、本项目采用“远程不见面”的开标方式，潜在供应商可提前在焦作市交</w:t>
      </w:r>
      <w:r>
        <w:rPr>
          <w:rFonts w:ascii="宋体" w:hAnsi="宋体" w:eastAsia="宋体" w:cs="宋体"/>
          <w:spacing w:val="-3"/>
          <w:sz w:val="24"/>
          <w:szCs w:val="24"/>
          <w:highlight w:val="none"/>
        </w:rPr>
        <w:t>易中心官网首页---下载中心--下载《焦作市电子</w:t>
      </w:r>
      <w:r>
        <w:rPr>
          <w:rFonts w:ascii="宋体" w:hAnsi="宋体" w:eastAsia="宋体" w:cs="宋体"/>
          <w:spacing w:val="-4"/>
          <w:sz w:val="24"/>
          <w:szCs w:val="24"/>
          <w:highlight w:val="none"/>
        </w:rPr>
        <w:t>招投标系统操作手册》和《焦作市公共资源交易平台不见面开标操作手册》、《投标文件制</w:t>
      </w:r>
      <w:r>
        <w:rPr>
          <w:rFonts w:ascii="宋体" w:hAnsi="宋体" w:eastAsia="宋体" w:cs="宋体"/>
          <w:spacing w:val="-5"/>
          <w:sz w:val="24"/>
          <w:szCs w:val="24"/>
          <w:highlight w:val="none"/>
        </w:rPr>
        <w:t>作工作工具》等，</w:t>
      </w:r>
      <w:r>
        <w:rPr>
          <w:rFonts w:ascii="宋体" w:hAnsi="宋体" w:eastAsia="宋体" w:cs="宋体"/>
          <w:sz w:val="24"/>
          <w:szCs w:val="24"/>
          <w:highlight w:val="none"/>
        </w:rPr>
        <w:t>查看操作说明，按要求进行响应性文件制作和上传等。为避免网络拥堵等不可控因素影响响应性文件的上传，请提前上传响应性文件，并在开标截止时间前</w:t>
      </w:r>
      <w:r>
        <w:rPr>
          <w:rFonts w:ascii="宋体" w:hAnsi="宋体" w:eastAsia="宋体" w:cs="宋体"/>
          <w:spacing w:val="-2"/>
          <w:sz w:val="24"/>
          <w:szCs w:val="24"/>
          <w:highlight w:val="none"/>
        </w:rPr>
        <w:t>登录不见面开标大厅</w:t>
      </w:r>
    </w:p>
    <w:p w14:paraId="6D0D163C">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ascii="宋体" w:hAnsi="宋体" w:eastAsia="宋体" w:cs="宋体"/>
          <w:sz w:val="24"/>
          <w:szCs w:val="24"/>
          <w:highlight w:val="none"/>
        </w:rPr>
      </w:pPr>
      <w:r>
        <w:rPr>
          <w:rFonts w:hint="eastAsia" w:ascii="宋体" w:hAnsi="宋体" w:eastAsia="宋体" w:cs="宋体"/>
          <w:spacing w:val="-3"/>
          <w:sz w:val="24"/>
          <w:szCs w:val="24"/>
          <w:highlight w:val="none"/>
          <w:lang w:eastAsia="zh-CN"/>
        </w:rPr>
        <w:t>（http://ggzy.jiaozuo.gov.cn/BidOpeningHall/bidhall/default/login）进行签到，</w:t>
      </w:r>
      <w:r>
        <w:rPr>
          <w:rFonts w:ascii="宋体" w:hAnsi="宋体" w:eastAsia="宋体" w:cs="宋体"/>
          <w:spacing w:val="-3"/>
          <w:sz w:val="24"/>
          <w:szCs w:val="24"/>
          <w:highlight w:val="none"/>
        </w:rPr>
        <w:t>按要求解密投标文件。因文件未及时上传导致投标失败的责任由供应商自</w:t>
      </w:r>
      <w:r>
        <w:rPr>
          <w:rFonts w:ascii="宋体" w:hAnsi="宋体" w:eastAsia="宋体" w:cs="宋体"/>
          <w:spacing w:val="4"/>
          <w:sz w:val="24"/>
          <w:szCs w:val="24"/>
          <w:highlight w:val="none"/>
        </w:rPr>
        <w:t xml:space="preserve"> </w:t>
      </w:r>
      <w:r>
        <w:rPr>
          <w:rFonts w:ascii="宋体" w:hAnsi="宋体" w:eastAsia="宋体" w:cs="宋体"/>
          <w:spacing w:val="24"/>
          <w:sz w:val="24"/>
          <w:szCs w:val="24"/>
          <w:highlight w:val="none"/>
        </w:rPr>
        <w:t>行承担，具体要求详见竞争性</w:t>
      </w:r>
      <w:r>
        <w:rPr>
          <w:rFonts w:hint="eastAsia" w:ascii="宋体" w:hAnsi="宋体" w:eastAsia="宋体" w:cs="宋体"/>
          <w:spacing w:val="24"/>
          <w:sz w:val="24"/>
          <w:szCs w:val="24"/>
          <w:highlight w:val="none"/>
          <w:lang w:eastAsia="zh-CN"/>
        </w:rPr>
        <w:t>磋商</w:t>
      </w:r>
      <w:r>
        <w:rPr>
          <w:rFonts w:ascii="宋体" w:hAnsi="宋体" w:eastAsia="宋体" w:cs="宋体"/>
          <w:spacing w:val="24"/>
          <w:sz w:val="24"/>
          <w:szCs w:val="24"/>
          <w:highlight w:val="none"/>
        </w:rPr>
        <w:t>文件。平台统</w:t>
      </w:r>
      <w:r>
        <w:rPr>
          <w:rFonts w:ascii="宋体" w:hAnsi="宋体" w:eastAsia="宋体" w:cs="宋体"/>
          <w:spacing w:val="-68"/>
          <w:sz w:val="24"/>
          <w:szCs w:val="24"/>
          <w:highlight w:val="none"/>
        </w:rPr>
        <w:t xml:space="preserve"> </w:t>
      </w:r>
      <w:r>
        <w:rPr>
          <w:rFonts w:ascii="宋体" w:hAnsi="宋体" w:eastAsia="宋体" w:cs="宋体"/>
          <w:spacing w:val="24"/>
          <w:sz w:val="24"/>
          <w:szCs w:val="24"/>
          <w:highlight w:val="none"/>
        </w:rPr>
        <w:t>一</w:t>
      </w:r>
      <w:r>
        <w:rPr>
          <w:rFonts w:ascii="宋体" w:hAnsi="宋体" w:eastAsia="宋体" w:cs="宋体"/>
          <w:spacing w:val="-71"/>
          <w:sz w:val="24"/>
          <w:szCs w:val="24"/>
          <w:highlight w:val="none"/>
        </w:rPr>
        <w:t xml:space="preserve"> </w:t>
      </w:r>
      <w:r>
        <w:rPr>
          <w:rFonts w:ascii="宋体" w:hAnsi="宋体" w:eastAsia="宋体" w:cs="宋体"/>
          <w:spacing w:val="24"/>
          <w:sz w:val="24"/>
          <w:szCs w:val="24"/>
          <w:highlight w:val="none"/>
        </w:rPr>
        <w:t>技术服务电话：</w:t>
      </w:r>
      <w:r>
        <w:rPr>
          <w:rFonts w:ascii="宋体" w:hAnsi="宋体" w:eastAsia="宋体" w:cs="宋体"/>
          <w:spacing w:val="-4"/>
          <w:sz w:val="24"/>
          <w:szCs w:val="24"/>
          <w:highlight w:val="none"/>
        </w:rPr>
        <w:t>400-998-0000，服务QQ：4008503300，服务时间：周一至周日8：00-17：</w:t>
      </w:r>
      <w:r>
        <w:rPr>
          <w:rFonts w:ascii="宋体" w:hAnsi="宋体" w:eastAsia="宋体" w:cs="宋体"/>
          <w:spacing w:val="-5"/>
          <w:sz w:val="24"/>
          <w:szCs w:val="24"/>
          <w:highlight w:val="none"/>
        </w:rPr>
        <w:t>30。</w:t>
      </w:r>
    </w:p>
    <w:p w14:paraId="01E611CC">
      <w:pPr>
        <w:keepNext w:val="0"/>
        <w:keepLines w:val="0"/>
        <w:pageBreakBefore w:val="0"/>
        <w:kinsoku/>
        <w:wordWrap/>
        <w:overflowPunct/>
        <w:topLinePunct w:val="0"/>
        <w:autoSpaceDE/>
        <w:autoSpaceDN/>
        <w:bidi w:val="0"/>
        <w:adjustRightInd/>
        <w:snapToGrid/>
        <w:spacing w:line="500" w:lineRule="exact"/>
        <w:ind w:left="0" w:right="0" w:firstLine="468" w:firstLineChars="200"/>
        <w:textAlignment w:val="auto"/>
        <w:rPr>
          <w:rFonts w:ascii="宋体" w:hAnsi="宋体" w:eastAsia="宋体" w:cs="宋体"/>
          <w:sz w:val="24"/>
          <w:szCs w:val="24"/>
          <w:highlight w:val="none"/>
        </w:rPr>
      </w:pPr>
      <w:r>
        <w:rPr>
          <w:rFonts w:ascii="宋体" w:hAnsi="宋体" w:eastAsia="宋体" w:cs="宋体"/>
          <w:spacing w:val="-3"/>
          <w:sz w:val="24"/>
          <w:szCs w:val="24"/>
          <w:highlight w:val="none"/>
        </w:rPr>
        <w:t>供应商无需到现场参加开标会议，无需到达现场提交原件资</w:t>
      </w:r>
      <w:r>
        <w:rPr>
          <w:rFonts w:ascii="宋体" w:hAnsi="宋体" w:eastAsia="宋体" w:cs="宋体"/>
          <w:spacing w:val="-4"/>
          <w:sz w:val="24"/>
          <w:szCs w:val="24"/>
          <w:highlight w:val="none"/>
        </w:rPr>
        <w:t>料。在线准时</w:t>
      </w:r>
      <w:r>
        <w:rPr>
          <w:rFonts w:ascii="宋体" w:hAnsi="宋体" w:eastAsia="宋体" w:cs="宋体"/>
          <w:sz w:val="24"/>
          <w:szCs w:val="24"/>
          <w:highlight w:val="none"/>
        </w:rPr>
        <w:t>参加开标活动并进行文件解密、答疑澄清等。加密电子响应性文件须在焦作市</w:t>
      </w:r>
      <w:r>
        <w:rPr>
          <w:rFonts w:ascii="宋体" w:hAnsi="宋体" w:eastAsia="宋体" w:cs="宋体"/>
          <w:spacing w:val="-3"/>
          <w:sz w:val="24"/>
          <w:szCs w:val="24"/>
          <w:highlight w:val="none"/>
        </w:rPr>
        <w:t>公共资源交易中心电子交易平台中加密上传，上传时必须得到电脑“上传成功”</w:t>
      </w:r>
      <w:r>
        <w:rPr>
          <w:rFonts w:ascii="宋体" w:hAnsi="宋体" w:eastAsia="宋体" w:cs="宋体"/>
          <w:sz w:val="24"/>
          <w:szCs w:val="24"/>
          <w:highlight w:val="none"/>
        </w:rPr>
        <w:t>的确认回复后方为上传成功。在规定时间内投标文件未解密的供应商，视为放</w:t>
      </w:r>
      <w:r>
        <w:rPr>
          <w:rFonts w:ascii="宋体" w:hAnsi="宋体" w:eastAsia="宋体" w:cs="宋体"/>
          <w:spacing w:val="-9"/>
          <w:sz w:val="24"/>
          <w:szCs w:val="24"/>
          <w:highlight w:val="none"/>
        </w:rPr>
        <w:t>弃投标。</w:t>
      </w:r>
    </w:p>
    <w:p w14:paraId="297F692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kern w:val="2"/>
          <w:position w:val="0"/>
          <w:sz w:val="24"/>
          <w:szCs w:val="24"/>
          <w:highlight w:val="none"/>
          <w:lang w:val="en-US" w:eastAsia="zh-CN" w:bidi="ar-SA"/>
        </w:rPr>
        <w:t>3、</w:t>
      </w:r>
      <w:r>
        <w:rPr>
          <w:rFonts w:ascii="宋体" w:hAnsi="宋体" w:eastAsia="宋体" w:cs="宋体"/>
          <w:spacing w:val="0"/>
          <w:position w:val="0"/>
          <w:sz w:val="24"/>
          <w:szCs w:val="24"/>
          <w:highlight w:val="none"/>
        </w:rPr>
        <w:t>有下列情形之一的，将作为自动放弃、无效投标或废标处理：</w:t>
      </w:r>
    </w:p>
    <w:p w14:paraId="2C85637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3.1 未按竞争性</w:t>
      </w:r>
      <w:r>
        <w:rPr>
          <w:rFonts w:hint="eastAsia" w:ascii="宋体" w:hAnsi="宋体" w:eastAsia="宋体" w:cs="宋体"/>
          <w:spacing w:val="0"/>
          <w:position w:val="0"/>
          <w:sz w:val="24"/>
          <w:szCs w:val="24"/>
          <w:highlight w:val="none"/>
          <w:lang w:eastAsia="zh-CN"/>
        </w:rPr>
        <w:t>磋商</w:t>
      </w:r>
      <w:r>
        <w:rPr>
          <w:rFonts w:ascii="宋体" w:hAnsi="宋体" w:eastAsia="宋体" w:cs="宋体"/>
          <w:spacing w:val="0"/>
          <w:position w:val="0"/>
          <w:sz w:val="24"/>
          <w:szCs w:val="24"/>
          <w:highlight w:val="none"/>
        </w:rPr>
        <w:t>文件明示的规定签字或盖章的；</w:t>
      </w:r>
    </w:p>
    <w:p w14:paraId="4C7E4A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3.2 响应文件的关键内容（</w:t>
      </w:r>
      <w:r>
        <w:rPr>
          <w:rFonts w:hint="eastAsia" w:ascii="宋体" w:hAnsi="宋体" w:eastAsia="宋体" w:cs="宋体"/>
          <w:spacing w:val="0"/>
          <w:position w:val="0"/>
          <w:sz w:val="24"/>
          <w:szCs w:val="24"/>
          <w:highlight w:val="none"/>
          <w:lang w:val="en-US" w:eastAsia="zh-CN"/>
        </w:rPr>
        <w:t>磋商</w:t>
      </w:r>
      <w:r>
        <w:rPr>
          <w:rFonts w:ascii="宋体" w:hAnsi="宋体" w:eastAsia="宋体" w:cs="宋体"/>
          <w:spacing w:val="0"/>
          <w:position w:val="0"/>
          <w:sz w:val="24"/>
          <w:szCs w:val="24"/>
          <w:highlight w:val="none"/>
        </w:rPr>
        <w:t>报价、</w:t>
      </w:r>
      <w:r>
        <w:rPr>
          <w:rFonts w:hint="eastAsia" w:ascii="宋体" w:hAnsi="宋体" w:eastAsia="宋体" w:cs="宋体"/>
          <w:spacing w:val="0"/>
          <w:position w:val="0"/>
          <w:sz w:val="24"/>
          <w:szCs w:val="24"/>
          <w:highlight w:val="none"/>
          <w:lang w:eastAsia="zh-CN"/>
        </w:rPr>
        <w:t>合同履行期限（</w:t>
      </w:r>
      <w:r>
        <w:rPr>
          <w:rFonts w:hint="eastAsia" w:ascii="宋体" w:hAnsi="宋体" w:eastAsia="宋体" w:cs="宋体"/>
          <w:spacing w:val="0"/>
          <w:position w:val="0"/>
          <w:sz w:val="24"/>
          <w:szCs w:val="24"/>
          <w:highlight w:val="none"/>
          <w:lang w:val="en-US" w:eastAsia="zh-CN"/>
        </w:rPr>
        <w:t>供货安装期）</w:t>
      </w:r>
      <w:r>
        <w:rPr>
          <w:rFonts w:ascii="宋体" w:hAnsi="宋体" w:eastAsia="宋体" w:cs="宋体"/>
          <w:spacing w:val="0"/>
          <w:position w:val="0"/>
          <w:sz w:val="24"/>
          <w:szCs w:val="24"/>
          <w:highlight w:val="none"/>
        </w:rPr>
        <w:t>、质量要求</w:t>
      </w:r>
      <w:r>
        <w:rPr>
          <w:rFonts w:hint="eastAsia" w:ascii="宋体" w:hAnsi="宋体" w:eastAsia="宋体" w:cs="宋体"/>
          <w:spacing w:val="0"/>
          <w:position w:val="0"/>
          <w:sz w:val="24"/>
          <w:szCs w:val="24"/>
          <w:highlight w:val="none"/>
          <w:lang w:eastAsia="zh-CN"/>
        </w:rPr>
        <w:t>、</w:t>
      </w:r>
      <w:r>
        <w:rPr>
          <w:rFonts w:ascii="宋体" w:hAnsi="宋体" w:eastAsia="宋体" w:cs="宋体"/>
          <w:spacing w:val="0"/>
          <w:position w:val="0"/>
          <w:sz w:val="24"/>
          <w:szCs w:val="24"/>
          <w:highlight w:val="none"/>
        </w:rPr>
        <w:t>品牌、型号等）未填写或填写字迹模糊无法辨认的；</w:t>
      </w:r>
    </w:p>
    <w:p w14:paraId="5669438D">
      <w:pPr>
        <w:keepNext w:val="0"/>
        <w:keepLines w:val="0"/>
        <w:pageBreakBefore w:val="0"/>
        <w:kinsoku/>
        <w:wordWrap/>
        <w:overflowPunct/>
        <w:topLinePunct w:val="0"/>
        <w:autoSpaceDE/>
        <w:autoSpaceDN/>
        <w:bidi w:val="0"/>
        <w:adjustRightInd/>
        <w:snapToGrid/>
        <w:spacing w:line="500" w:lineRule="exact"/>
        <w:ind w:left="0" w:right="0" w:firstLine="464" w:firstLineChars="200"/>
        <w:textAlignment w:val="auto"/>
        <w:rPr>
          <w:rFonts w:ascii="宋体" w:hAnsi="宋体" w:eastAsia="宋体" w:cs="宋体"/>
          <w:sz w:val="24"/>
          <w:szCs w:val="24"/>
          <w:highlight w:val="none"/>
        </w:rPr>
      </w:pPr>
      <w:r>
        <w:rPr>
          <w:rFonts w:ascii="宋体" w:hAnsi="宋体" w:eastAsia="宋体" w:cs="宋体"/>
          <w:spacing w:val="-4"/>
          <w:sz w:val="24"/>
          <w:szCs w:val="24"/>
          <w:highlight w:val="none"/>
        </w:rPr>
        <w:t xml:space="preserve">3.3 </w:t>
      </w:r>
      <w:r>
        <w:rPr>
          <w:rFonts w:hint="eastAsia" w:ascii="宋体" w:hAnsi="宋体" w:eastAsia="宋体" w:cs="宋体"/>
          <w:sz w:val="24"/>
          <w:highlight w:val="none"/>
          <w:lang w:eastAsia="zh-CN"/>
        </w:rPr>
        <w:t>磋商</w:t>
      </w:r>
      <w:r>
        <w:rPr>
          <w:rFonts w:ascii="宋体" w:hAnsi="宋体" w:eastAsia="宋体" w:cs="宋体"/>
          <w:spacing w:val="-4"/>
          <w:sz w:val="24"/>
          <w:szCs w:val="24"/>
          <w:highlight w:val="none"/>
        </w:rPr>
        <w:t>报价超出控制价的；</w:t>
      </w:r>
    </w:p>
    <w:p w14:paraId="515E3498">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3.4 </w:t>
      </w:r>
      <w:r>
        <w:rPr>
          <w:rFonts w:hint="eastAsia" w:ascii="宋体" w:hAnsi="宋体" w:eastAsia="宋体" w:cs="宋体"/>
          <w:sz w:val="24"/>
          <w:szCs w:val="24"/>
          <w:highlight w:val="none"/>
          <w:lang w:eastAsia="zh-CN"/>
        </w:rPr>
        <w:t>投标单位递交两份或多份内容不同的响应文件，或在一份响应文件中对同一采购项目有两个或多个报价，且未声明哪一个有效的</w:t>
      </w:r>
    </w:p>
    <w:p w14:paraId="74571B34">
      <w:pPr>
        <w:keepNext w:val="0"/>
        <w:keepLines w:val="0"/>
        <w:pageBreakBefore w:val="0"/>
        <w:widowControl/>
        <w:kinsoku/>
        <w:wordWrap/>
        <w:overflowPunct/>
        <w:topLinePunct w:val="0"/>
        <w:autoSpaceDE/>
        <w:autoSpaceDN/>
        <w:bidi w:val="0"/>
        <w:adjustRightInd/>
        <w:snapToGrid/>
        <w:spacing w:line="500" w:lineRule="exact"/>
        <w:ind w:left="0" w:right="0" w:firstLine="468" w:firstLineChars="200"/>
        <w:textAlignment w:val="auto"/>
        <w:rPr>
          <w:rFonts w:ascii="宋体" w:hAnsi="宋体" w:eastAsia="宋体" w:cs="宋体"/>
          <w:sz w:val="24"/>
          <w:highlight w:val="none"/>
          <w:lang w:eastAsia="zh-CN"/>
        </w:rPr>
      </w:pPr>
      <w:r>
        <w:rPr>
          <w:rFonts w:ascii="宋体" w:hAnsi="宋体" w:eastAsia="宋体" w:cs="宋体"/>
          <w:spacing w:val="-3"/>
          <w:sz w:val="24"/>
          <w:szCs w:val="24"/>
          <w:highlight w:val="none"/>
        </w:rPr>
        <w:t>3.</w:t>
      </w:r>
      <w:r>
        <w:rPr>
          <w:rFonts w:hint="eastAsia" w:ascii="宋体" w:hAnsi="宋体" w:eastAsia="宋体" w:cs="宋体"/>
          <w:spacing w:val="-3"/>
          <w:sz w:val="24"/>
          <w:szCs w:val="24"/>
          <w:highlight w:val="none"/>
          <w:lang w:val="en-US" w:eastAsia="zh-CN"/>
        </w:rPr>
        <w:t>5</w:t>
      </w:r>
      <w:r>
        <w:rPr>
          <w:rFonts w:ascii="宋体" w:hAnsi="宋体" w:eastAsia="宋体" w:cs="宋体"/>
          <w:spacing w:val="-3"/>
          <w:sz w:val="24"/>
          <w:szCs w:val="24"/>
          <w:highlight w:val="none"/>
        </w:rPr>
        <w:t xml:space="preserve"> </w:t>
      </w:r>
      <w:r>
        <w:rPr>
          <w:rFonts w:hint="eastAsia" w:ascii="宋体" w:hAnsi="宋体" w:eastAsia="宋体" w:cs="宋体"/>
          <w:sz w:val="24"/>
          <w:highlight w:val="none"/>
          <w:lang w:eastAsia="zh-CN"/>
        </w:rPr>
        <w:t>评标过程中，如有供应商人存在“投标文件制作机器码一致”，则视其投标无效，并按照相关规定进行处理；</w:t>
      </w:r>
    </w:p>
    <w:p w14:paraId="749229FD">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textAlignment w:val="auto"/>
        <w:rPr>
          <w:rFonts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3.6 </w:t>
      </w:r>
      <w:r>
        <w:rPr>
          <w:rFonts w:hint="eastAsia" w:ascii="宋体" w:hAnsi="宋体" w:eastAsia="宋体" w:cs="宋体"/>
          <w:sz w:val="24"/>
          <w:highlight w:val="none"/>
          <w:lang w:eastAsia="zh-CN"/>
        </w:rPr>
        <w:t>响应文件中附有采购人不能接受的条件的；</w:t>
      </w:r>
    </w:p>
    <w:p w14:paraId="432700F1">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textAlignment w:val="auto"/>
        <w:rPr>
          <w:rFonts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3.7 </w:t>
      </w:r>
      <w:r>
        <w:rPr>
          <w:rFonts w:hint="eastAsia" w:ascii="宋体" w:hAnsi="宋体" w:eastAsia="宋体" w:cs="宋体"/>
          <w:sz w:val="24"/>
          <w:highlight w:val="none"/>
          <w:lang w:eastAsia="zh-CN"/>
        </w:rPr>
        <w:t>响应文件有明显不符合磋商文件其它要求和有关法律法规的；</w:t>
      </w:r>
    </w:p>
    <w:p w14:paraId="5C1F6B57">
      <w:pPr>
        <w:keepNext w:val="0"/>
        <w:keepLines w:val="0"/>
        <w:pageBreakBefore w:val="0"/>
        <w:widowControl/>
        <w:kinsoku/>
        <w:wordWrap/>
        <w:overflowPunct/>
        <w:topLinePunct w:val="0"/>
        <w:autoSpaceDE/>
        <w:autoSpaceDN/>
        <w:bidi w:val="0"/>
        <w:adjustRightInd/>
        <w:snapToGrid/>
        <w:spacing w:line="500" w:lineRule="exact"/>
        <w:ind w:left="0" w:right="0" w:firstLine="480" w:firstLineChars="200"/>
        <w:textAlignment w:val="auto"/>
        <w:rPr>
          <w:rFonts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3.8 </w:t>
      </w:r>
      <w:r>
        <w:rPr>
          <w:rFonts w:hint="eastAsia" w:ascii="宋体" w:hAnsi="宋体" w:eastAsia="宋体" w:cs="宋体"/>
          <w:sz w:val="24"/>
          <w:highlight w:val="none"/>
          <w:lang w:eastAsia="zh-CN"/>
        </w:rPr>
        <w:t>在评标过程中，磋商小组发现投标单位的报价明显低于其它磋商报价，使得其磋商报价可能低于其个别成本的，应当要求该投标单位作出书面说明并提供相关证明材料。投标单位不能合理说明或者不能提供相关证明材料的，由磋商小组认定该投标单位以低于成本报价竞标，其磋商应作废标处理。</w:t>
      </w:r>
    </w:p>
    <w:p w14:paraId="6BAB4599">
      <w:pPr>
        <w:spacing w:line="220" w:lineRule="auto"/>
        <w:ind w:left="22"/>
        <w:rPr>
          <w:rFonts w:ascii="宋体" w:hAnsi="宋体" w:eastAsia="宋体" w:cs="宋体"/>
          <w:sz w:val="24"/>
          <w:szCs w:val="24"/>
          <w:highlight w:val="none"/>
        </w:rPr>
        <w:sectPr>
          <w:footerReference r:id="rId7" w:type="default"/>
          <w:pgSz w:w="11907" w:h="16839"/>
          <w:pgMar w:top="1431" w:right="1785" w:bottom="1569" w:left="1785" w:header="0" w:footer="1408" w:gutter="0"/>
          <w:pgNumType w:fmt="decimal"/>
          <w:cols w:space="720" w:num="1"/>
        </w:sectPr>
      </w:pPr>
    </w:p>
    <w:p w14:paraId="5AC8225F">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highlight w:val="none"/>
          <w:lang w:val="en-US" w:eastAsia="zh-CN"/>
        </w:rPr>
      </w:pPr>
      <w:r>
        <w:rPr>
          <w:rFonts w:hint="eastAsia" w:asciiTheme="minorEastAsia" w:hAnsiTheme="minorEastAsia" w:cstheme="minorEastAsia"/>
          <w:b/>
          <w:bCs/>
          <w:spacing w:val="-1"/>
          <w:sz w:val="28"/>
          <w:szCs w:val="28"/>
          <w:highlight w:val="none"/>
          <w:lang w:val="en-US" w:eastAsia="zh-CN"/>
        </w:rPr>
        <w:t>博爱健康管理中心建设睡眠中心采购项目</w:t>
      </w:r>
    </w:p>
    <w:p w14:paraId="51652F9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pacing w:val="-1"/>
          <w:sz w:val="28"/>
          <w:szCs w:val="28"/>
          <w:highlight w:val="none"/>
        </w:rPr>
        <w:t>竞争性</w:t>
      </w:r>
      <w:r>
        <w:rPr>
          <w:rFonts w:hint="eastAsia" w:asciiTheme="minorEastAsia" w:hAnsiTheme="minorEastAsia" w:cstheme="minorEastAsia"/>
          <w:b/>
          <w:bCs/>
          <w:spacing w:val="-1"/>
          <w:sz w:val="28"/>
          <w:szCs w:val="28"/>
          <w:highlight w:val="none"/>
          <w:lang w:eastAsia="zh-CN"/>
        </w:rPr>
        <w:t>磋商</w:t>
      </w:r>
      <w:r>
        <w:rPr>
          <w:rFonts w:hint="eastAsia" w:asciiTheme="minorEastAsia" w:hAnsiTheme="minorEastAsia" w:eastAsiaTheme="minorEastAsia" w:cstheme="minorEastAsia"/>
          <w:b/>
          <w:bCs/>
          <w:spacing w:val="-1"/>
          <w:sz w:val="28"/>
          <w:szCs w:val="28"/>
          <w:highlight w:val="none"/>
        </w:rPr>
        <w:t>公告（不见面开标）</w:t>
      </w:r>
    </w:p>
    <w:tbl>
      <w:tblPr>
        <w:tblStyle w:val="31"/>
        <w:tblW w:w="876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17A139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8763" w:type="dxa"/>
            <w:noWrap w:val="0"/>
            <w:vAlign w:val="top"/>
          </w:tcPr>
          <w:p w14:paraId="634F0078">
            <w:pPr>
              <w:pStyle w:val="30"/>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u w:val="single"/>
                <w:lang w:val="en-US" w:eastAsia="zh-CN"/>
              </w:rPr>
              <w:t>博爱健康管理中心建设睡眠中心采购项目</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的潜在供应商应在</w:t>
            </w:r>
            <w:r>
              <w:rPr>
                <w:rFonts w:hint="eastAsia" w:ascii="宋体" w:hAnsi="宋体" w:eastAsia="宋体" w:cs="宋体"/>
                <w:sz w:val="24"/>
                <w:szCs w:val="24"/>
                <w:highlight w:val="none"/>
                <w:shd w:val="clear" w:color="auto" w:fill="FFFFFF"/>
                <w:lang w:eastAsia="zh-CN"/>
              </w:rPr>
              <w:t>焦作市公共资源交易中心网站获取采购文件</w:t>
            </w:r>
            <w:r>
              <w:rPr>
                <w:rFonts w:hint="eastAsia" w:ascii="宋体" w:hAnsi="宋体" w:eastAsia="宋体" w:cs="宋体"/>
                <w:sz w:val="24"/>
                <w:szCs w:val="24"/>
                <w:highlight w:val="none"/>
                <w:lang w:eastAsia="zh-CN"/>
              </w:rPr>
              <w:t>，并于</w:t>
            </w:r>
            <w:r>
              <w:rPr>
                <w:rFonts w:hint="eastAsia" w:ascii="宋体" w:hAnsi="宋体" w:eastAsia="宋体" w:cs="宋体"/>
                <w:b/>
                <w:bCs/>
                <w:color w:val="auto"/>
                <w:spacing w:val="6"/>
                <w:sz w:val="24"/>
                <w:szCs w:val="24"/>
                <w:highlight w:val="none"/>
                <w:u w:val="single"/>
                <w:lang w:eastAsia="zh-CN"/>
              </w:rPr>
              <w:t>202</w:t>
            </w:r>
            <w:r>
              <w:rPr>
                <w:rFonts w:hint="eastAsia" w:cs="宋体"/>
                <w:b/>
                <w:bCs/>
                <w:color w:val="auto"/>
                <w:spacing w:val="6"/>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lang w:eastAsia="zh-CN"/>
              </w:rPr>
              <w:t>月</w:t>
            </w:r>
            <w:r>
              <w:rPr>
                <w:rFonts w:hint="eastAsia"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lang w:eastAsia="zh-CN"/>
              </w:rPr>
              <w:t>日</w:t>
            </w:r>
            <w:r>
              <w:rPr>
                <w:rFonts w:hint="eastAsia"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u w:val="single"/>
                <w:lang w:eastAsia="zh-CN"/>
              </w:rPr>
              <w:t>时</w:t>
            </w:r>
            <w:r>
              <w:rPr>
                <w:rFonts w:hint="eastAsia"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lang w:eastAsia="zh-CN"/>
              </w:rPr>
              <w:t>分（北京时间）</w:t>
            </w:r>
            <w:r>
              <w:rPr>
                <w:rFonts w:hint="eastAsia" w:ascii="宋体" w:hAnsi="宋体" w:eastAsia="宋体" w:cs="宋体"/>
                <w:color w:val="auto"/>
                <w:sz w:val="24"/>
                <w:szCs w:val="24"/>
                <w:highlight w:val="none"/>
                <w:lang w:eastAsia="zh-CN"/>
              </w:rPr>
              <w:t>前提交响应文件</w:t>
            </w:r>
            <w:r>
              <w:rPr>
                <w:rFonts w:hint="eastAsia" w:cs="宋体"/>
                <w:color w:val="auto"/>
                <w:sz w:val="24"/>
                <w:szCs w:val="24"/>
                <w:highlight w:val="none"/>
                <w:lang w:eastAsia="zh-CN"/>
              </w:rPr>
              <w:t>。</w:t>
            </w:r>
          </w:p>
        </w:tc>
      </w:tr>
    </w:tbl>
    <w:p w14:paraId="6F1039A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57B4725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1.项目名称：博爱健康管理中心建设睡眠中心采购项目</w:t>
      </w:r>
    </w:p>
    <w:p w14:paraId="0B9E5C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2.采购方式：竞争性磋商</w:t>
      </w:r>
    </w:p>
    <w:p w14:paraId="01EECF2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3.预算金额：</w:t>
      </w:r>
      <w:r>
        <w:rPr>
          <w:rFonts w:hint="eastAsia" w:ascii="宋体" w:hAnsi="宋体" w:eastAsia="宋体" w:cs="宋体"/>
          <w:color w:val="auto"/>
          <w:kern w:val="0"/>
          <w:sz w:val="24"/>
          <w:szCs w:val="24"/>
          <w:highlight w:val="none"/>
          <w:lang w:val="en-US" w:eastAsia="zh-CN"/>
        </w:rPr>
        <w:t>1900000.00</w:t>
      </w:r>
      <w:r>
        <w:rPr>
          <w:rFonts w:hint="eastAsia" w:ascii="宋体" w:hAnsi="宋体" w:eastAsia="宋体" w:cs="宋体"/>
          <w:sz w:val="24"/>
          <w:szCs w:val="24"/>
          <w:highlight w:val="none"/>
          <w:lang w:val="en-US" w:eastAsia="zh-CN"/>
        </w:rPr>
        <w:t xml:space="preserve">元 </w:t>
      </w:r>
    </w:p>
    <w:p w14:paraId="5AF682F8">
      <w:pPr>
        <w:keepNext w:val="0"/>
        <w:keepLines w:val="0"/>
        <w:pageBreakBefore w:val="0"/>
        <w:widowControl/>
        <w:kinsoku/>
        <w:wordWrap/>
        <w:overflowPunct/>
        <w:topLinePunct w:val="0"/>
        <w:autoSpaceDE w:val="0"/>
        <w:autoSpaceDN/>
        <w:bidi w:val="0"/>
        <w:adjustRightInd w:val="0"/>
        <w:snapToGrid w:val="0"/>
        <w:spacing w:line="440" w:lineRule="exact"/>
        <w:ind w:firstLine="720" w:firstLineChars="3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1900000.00</w:t>
      </w:r>
      <w:r>
        <w:rPr>
          <w:rFonts w:hint="eastAsia" w:ascii="宋体" w:hAnsi="宋体" w:eastAsia="宋体" w:cs="宋体"/>
          <w:sz w:val="24"/>
          <w:szCs w:val="24"/>
          <w:highlight w:val="none"/>
          <w:lang w:val="en-US" w:eastAsia="zh-CN"/>
        </w:rPr>
        <w:t xml:space="preserve">元   </w:t>
      </w:r>
    </w:p>
    <w:tbl>
      <w:tblPr>
        <w:tblStyle w:val="17"/>
        <w:tblW w:w="99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28" w:type="dxa"/>
          <w:bottom w:w="80" w:type="dxa"/>
          <w:right w:w="128" w:type="dxa"/>
        </w:tblCellMar>
      </w:tblPr>
      <w:tblGrid>
        <w:gridCol w:w="844"/>
        <w:gridCol w:w="4686"/>
        <w:gridCol w:w="1943"/>
        <w:gridCol w:w="2490"/>
      </w:tblGrid>
      <w:tr w14:paraId="4F04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trPr>
        <w:tc>
          <w:tcPr>
            <w:tcW w:w="844" w:type="dxa"/>
            <w:noWrap/>
            <w:vAlign w:val="center"/>
          </w:tcPr>
          <w:p w14:paraId="080E74C0">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sz w:val="24"/>
                <w:szCs w:val="24"/>
                <w:highlight w:val="none"/>
                <w:lang w:eastAsia="zh-CN"/>
              </w:rPr>
            </w:pPr>
            <w:r>
              <w:rPr>
                <w:rFonts w:hint="eastAsia" w:ascii="宋体" w:hAnsi="宋体" w:eastAsia="宋体" w:cs="宋体"/>
                <w:b/>
                <w:kern w:val="0"/>
                <w:sz w:val="24"/>
                <w:szCs w:val="24"/>
                <w:highlight w:val="none"/>
                <w:lang w:eastAsia="zh-CN"/>
              </w:rPr>
              <w:t>序号</w:t>
            </w:r>
          </w:p>
        </w:tc>
        <w:tc>
          <w:tcPr>
            <w:tcW w:w="4686" w:type="dxa"/>
            <w:noWrap/>
            <w:vAlign w:val="center"/>
          </w:tcPr>
          <w:p w14:paraId="431BAE8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sz w:val="24"/>
                <w:szCs w:val="24"/>
                <w:highlight w:val="none"/>
                <w:lang w:eastAsia="zh-CN"/>
              </w:rPr>
            </w:pPr>
            <w:r>
              <w:rPr>
                <w:rFonts w:hint="eastAsia" w:ascii="宋体" w:hAnsi="宋体" w:eastAsia="宋体" w:cs="宋体"/>
                <w:b/>
                <w:kern w:val="0"/>
                <w:sz w:val="24"/>
                <w:szCs w:val="24"/>
                <w:highlight w:val="none"/>
                <w:lang w:eastAsia="zh-CN"/>
              </w:rPr>
              <w:t>包名称</w:t>
            </w:r>
          </w:p>
        </w:tc>
        <w:tc>
          <w:tcPr>
            <w:tcW w:w="1943" w:type="dxa"/>
            <w:noWrap/>
            <w:vAlign w:val="center"/>
          </w:tcPr>
          <w:p w14:paraId="38CD3D51">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sz w:val="24"/>
                <w:szCs w:val="24"/>
                <w:highlight w:val="none"/>
                <w:lang w:eastAsia="zh-CN"/>
              </w:rPr>
            </w:pPr>
            <w:r>
              <w:rPr>
                <w:rFonts w:hint="eastAsia" w:ascii="宋体" w:hAnsi="宋体" w:eastAsia="宋体" w:cs="宋体"/>
                <w:b/>
                <w:kern w:val="0"/>
                <w:sz w:val="24"/>
                <w:szCs w:val="24"/>
                <w:highlight w:val="none"/>
                <w:lang w:eastAsia="zh-CN"/>
              </w:rPr>
              <w:t>包预算（元）</w:t>
            </w:r>
          </w:p>
        </w:tc>
        <w:tc>
          <w:tcPr>
            <w:tcW w:w="2490" w:type="dxa"/>
            <w:noWrap/>
            <w:vAlign w:val="center"/>
          </w:tcPr>
          <w:p w14:paraId="4FDCE956">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b/>
                <w:sz w:val="24"/>
                <w:szCs w:val="24"/>
                <w:highlight w:val="none"/>
                <w:lang w:eastAsia="zh-CN"/>
              </w:rPr>
            </w:pPr>
            <w:r>
              <w:rPr>
                <w:rFonts w:hint="eastAsia" w:ascii="宋体" w:hAnsi="宋体" w:eastAsia="宋体" w:cs="宋体"/>
                <w:b/>
                <w:kern w:val="0"/>
                <w:sz w:val="24"/>
                <w:szCs w:val="24"/>
                <w:highlight w:val="none"/>
                <w:lang w:eastAsia="zh-CN"/>
              </w:rPr>
              <w:t>包最高限价（元）</w:t>
            </w:r>
          </w:p>
        </w:tc>
      </w:tr>
      <w:tr w14:paraId="485B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rPr>
        <w:tc>
          <w:tcPr>
            <w:tcW w:w="844" w:type="dxa"/>
            <w:noWrap/>
            <w:vAlign w:val="center"/>
          </w:tcPr>
          <w:p w14:paraId="17CF7CF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86" w:type="dxa"/>
            <w:noWrap/>
            <w:vAlign w:val="center"/>
          </w:tcPr>
          <w:p w14:paraId="6CC3D875">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lang w:val="en-US" w:eastAsia="zh-CN"/>
              </w:rPr>
              <w:t>博爱健康管理中心建设睡眠中心采购项目</w:t>
            </w:r>
          </w:p>
        </w:tc>
        <w:tc>
          <w:tcPr>
            <w:tcW w:w="1943" w:type="dxa"/>
            <w:noWrap/>
            <w:vAlign w:val="center"/>
          </w:tcPr>
          <w:p w14:paraId="34B85DB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color w:val="auto"/>
                <w:kern w:val="0"/>
                <w:sz w:val="24"/>
                <w:szCs w:val="24"/>
                <w:highlight w:val="none"/>
                <w:lang w:val="en-US" w:eastAsia="zh-CN"/>
              </w:rPr>
              <w:t>1900000.00</w:t>
            </w:r>
          </w:p>
        </w:tc>
        <w:tc>
          <w:tcPr>
            <w:tcW w:w="2490" w:type="dxa"/>
            <w:noWrap/>
            <w:vAlign w:val="center"/>
          </w:tcPr>
          <w:p w14:paraId="2D7F249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1900000.00</w:t>
            </w:r>
          </w:p>
        </w:tc>
      </w:tr>
    </w:tbl>
    <w:p w14:paraId="4ABCCEA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5.采购内容：多导睡眠记录仪、多导睡眠监测仪、经颅磁治疗仪（双人款）、微电流刺激仪、子午流柱中医定向透药仪等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sz w:val="24"/>
          <w:szCs w:val="24"/>
          <w:highlight w:val="none"/>
          <w:lang w:val="en-US" w:eastAsia="zh-CN"/>
        </w:rPr>
        <w:t>（具体要求详见磋商文件）</w:t>
      </w:r>
    </w:p>
    <w:p w14:paraId="1F15B30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6.合同履行期限（供货安装期）: 30日历天</w:t>
      </w:r>
    </w:p>
    <w:p w14:paraId="6155C1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14:paraId="72BFC75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1D88B64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9.是否接受进口产品：</w:t>
      </w:r>
      <w:r>
        <w:rPr>
          <w:rFonts w:hint="eastAsia" w:ascii="宋体" w:hAnsi="宋体" w:eastAsia="宋体" w:cs="宋体"/>
          <w:color w:val="auto"/>
          <w:sz w:val="24"/>
          <w:szCs w:val="24"/>
          <w:highlight w:val="none"/>
          <w:lang w:val="en-US" w:eastAsia="zh-CN"/>
        </w:rPr>
        <w:t>是</w:t>
      </w:r>
    </w:p>
    <w:p w14:paraId="141322B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10.是否只面向中小企业采购：否</w:t>
      </w:r>
    </w:p>
    <w:p w14:paraId="458E630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771FF39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41819AE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2.落实政府采购政策需满足的资格要求：促进政府强制采购节能产品及环境标志产品优先采购，促进中小企业和监狱企业发展扶持政策。</w:t>
      </w:r>
    </w:p>
    <w:p w14:paraId="4975D8E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524330A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供应商投标人须具有有效的营业执照，具有医疗器械经营许可证或医疗器械经营备案凭证或生产许可证；</w:t>
      </w:r>
    </w:p>
    <w:p w14:paraId="0D29B4D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 </w:t>
      </w:r>
    </w:p>
    <w:p w14:paraId="6D368B3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14:paraId="676EB34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14:paraId="283D053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2C3D030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1.时间：2025年9月22日至2025年9月26日</w:t>
      </w:r>
      <w:r>
        <w:rPr>
          <w:rFonts w:hint="eastAsia" w:ascii="宋体" w:hAnsi="宋体" w:eastAsia="宋体" w:cs="宋体"/>
          <w:sz w:val="24"/>
          <w:szCs w:val="24"/>
          <w:highlight w:val="none"/>
          <w:lang w:val="en-US" w:eastAsia="zh-CN"/>
        </w:rPr>
        <w:t>，每天上午00:00至11:59，下午12:00至23:59（北京时间，法定节假日除外）；</w:t>
      </w:r>
    </w:p>
    <w:p w14:paraId="47FB391D">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2.地点：</w:t>
      </w:r>
      <w:r>
        <w:rPr>
          <w:rFonts w:ascii="宋体" w:hAnsi="宋体" w:eastAsia="宋体" w:cs="宋体"/>
          <w:spacing w:val="-1"/>
          <w:sz w:val="24"/>
          <w:szCs w:val="24"/>
          <w:highlight w:val="none"/>
        </w:rPr>
        <w:t>焦作市公共资源交易中心网站；</w:t>
      </w:r>
    </w:p>
    <w:p w14:paraId="4A6A530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3.方式：</w:t>
      </w:r>
      <w:r>
        <w:rPr>
          <w:rFonts w:ascii="宋体" w:hAnsi="宋体" w:eastAsia="宋体" w:cs="宋体"/>
          <w:spacing w:val="-2"/>
          <w:sz w:val="24"/>
          <w:szCs w:val="24"/>
          <w:highlight w:val="none"/>
        </w:rPr>
        <w:t>本项目采用电子开评标（不见面开标</w:t>
      </w:r>
      <w:r>
        <w:rPr>
          <w:rFonts w:ascii="宋体" w:hAnsi="宋体" w:eastAsia="宋体" w:cs="宋体"/>
          <w:spacing w:val="-11"/>
          <w:sz w:val="24"/>
          <w:szCs w:val="24"/>
          <w:highlight w:val="none"/>
        </w:rPr>
        <w:t>），</w:t>
      </w:r>
      <w:r>
        <w:rPr>
          <w:rFonts w:ascii="宋体" w:hAnsi="宋体" w:eastAsia="宋体" w:cs="宋体"/>
          <w:spacing w:val="-2"/>
          <w:sz w:val="24"/>
          <w:szCs w:val="24"/>
          <w:highlight w:val="none"/>
        </w:rPr>
        <w:t>凡有意参加投</w:t>
      </w:r>
      <w:r>
        <w:rPr>
          <w:rFonts w:ascii="宋体" w:hAnsi="宋体" w:eastAsia="宋体" w:cs="宋体"/>
          <w:spacing w:val="-3"/>
          <w:sz w:val="24"/>
          <w:szCs w:val="24"/>
          <w:highlight w:val="none"/>
        </w:rPr>
        <w:t>标者，请登陆焦作市公共</w:t>
      </w:r>
      <w:r>
        <w:rPr>
          <w:rFonts w:ascii="宋体" w:hAnsi="宋体" w:eastAsia="宋体" w:cs="宋体"/>
          <w:spacing w:val="-2"/>
          <w:sz w:val="24"/>
          <w:szCs w:val="24"/>
          <w:highlight w:val="none"/>
        </w:rPr>
        <w:t>资源交易中心网站交易平台“交易主体登录</w:t>
      </w:r>
      <w:r>
        <w:rPr>
          <w:rFonts w:ascii="宋体" w:hAnsi="宋体" w:eastAsia="宋体" w:cs="宋体"/>
          <w:spacing w:val="-83"/>
          <w:sz w:val="24"/>
          <w:szCs w:val="24"/>
          <w:highlight w:val="none"/>
        </w:rPr>
        <w:t xml:space="preserve"> </w:t>
      </w:r>
      <w:r>
        <w:rPr>
          <w:rFonts w:ascii="宋体" w:hAnsi="宋体" w:eastAsia="宋体" w:cs="宋体"/>
          <w:spacing w:val="-2"/>
          <w:sz w:val="24"/>
          <w:szCs w:val="24"/>
          <w:highlight w:val="none"/>
        </w:rPr>
        <w:t>”栏目下载磋商文件。</w:t>
      </w:r>
    </w:p>
    <w:p w14:paraId="6699B79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4.售价：0元</w:t>
      </w:r>
    </w:p>
    <w:p w14:paraId="47C08464">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340E2DD8">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1.截止时间：2025年10月09日09时00分（北京时间）；</w:t>
      </w:r>
    </w:p>
    <w:p w14:paraId="3700326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2.地点：加密电子响应性文件须在响应性文件提交截止时间前通过“焦作市公共资源交易中心（https://ggzy.jiaozuo.gov.cn/）”网站-交易平台加密上传；</w:t>
      </w:r>
    </w:p>
    <w:p w14:paraId="36206B9A">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7F13A86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1.时间：2025年10月09日09时00分（北京时间）；</w:t>
      </w:r>
    </w:p>
    <w:p w14:paraId="7CCA697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14:paraId="02152F76">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68981EB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本公告在《中国招标投标公共服务平台》、《焦作市公共资源交易中心网》、《博爱县公共资源交易中心网》http://www.baxggzyjyzx.cn/上发布。公告期限为五个工作日。</w:t>
      </w:r>
    </w:p>
    <w:p w14:paraId="735C6B1D">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144A9B6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08883A1F">
      <w:pPr>
        <w:keepNext w:val="0"/>
        <w:keepLines w:val="0"/>
        <w:pageBreakBefore w:val="0"/>
        <w:widowControl/>
        <w:wordWrap/>
        <w:overflowPunct/>
        <w:topLinePunct w:val="0"/>
        <w:autoSpaceDE w:val="0"/>
        <w:bidi w:val="0"/>
        <w:adjustRightInd w:val="0"/>
        <w:snapToGrid w:val="0"/>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（http://ggzy.jiaozuo.gov.cn/BidOpeningHall/bidhall/default/login）进行签到，按要求解密投标文件。因文件未及时上传导</w:t>
      </w:r>
      <w:bookmarkStart w:id="19" w:name="_GoBack"/>
      <w:bookmarkEnd w:id="19"/>
      <w:r>
        <w:rPr>
          <w:rFonts w:hint="eastAsia" w:ascii="宋体" w:hAnsi="宋体" w:eastAsia="宋体" w:cs="宋体"/>
          <w:sz w:val="24"/>
          <w:szCs w:val="24"/>
          <w:highlight w:val="none"/>
          <w:lang w:val="en-US" w:eastAsia="zh-CN"/>
        </w:rPr>
        <w:t xml:space="preserve">致投标失败的责任由投标人自行承担，具体要求详见招标文件。平台统一技术服务电话：400-998-0000，服务 QQ：4008503300，服务时间：周一至周日8：00-17：30。 </w:t>
      </w:r>
    </w:p>
    <w:p w14:paraId="5517BD4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4214683C">
      <w:pPr>
        <w:keepNext w:val="0"/>
        <w:keepLines w:val="0"/>
        <w:pageBreakBefore w:val="0"/>
        <w:widowControl/>
        <w:kinsoku/>
        <w:wordWrap/>
        <w:overflowPunct/>
        <w:topLinePunct w:val="0"/>
        <w:autoSpaceDE w:val="0"/>
        <w:autoSpaceDN/>
        <w:bidi w:val="0"/>
        <w:adjustRightInd w:val="0"/>
        <w:snapToGrid w:val="0"/>
        <w:spacing w:line="460" w:lineRule="exact"/>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14:paraId="3E3005EE">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14:paraId="5FD8C8AE">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US" w:eastAsia="zh-CN"/>
        </w:rPr>
        <w:t xml:space="preserve">博爱县益寿健康管理有限公司 </w:t>
      </w:r>
    </w:p>
    <w:p w14:paraId="6FF35C94">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en-US" w:eastAsia="zh-CN"/>
        </w:rPr>
        <w:t>河南省焦作市博爱县清化镇街道滨河路南段 212号</w:t>
      </w:r>
    </w:p>
    <w:p w14:paraId="0F5FE21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lang w:val="en-US" w:eastAsia="zh-CN"/>
        </w:rPr>
        <w:t>杨女士</w:t>
      </w:r>
    </w:p>
    <w:p w14:paraId="6A9317C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  话：</w:t>
      </w:r>
      <w:r>
        <w:rPr>
          <w:rFonts w:hint="eastAsia" w:ascii="宋体" w:hAnsi="宋体" w:eastAsia="宋体" w:cs="宋体"/>
          <w:sz w:val="24"/>
          <w:szCs w:val="24"/>
          <w:highlight w:val="none"/>
          <w:lang w:val="en-US" w:eastAsia="zh-CN"/>
        </w:rPr>
        <w:t>13938183312</w:t>
      </w:r>
    </w:p>
    <w:p w14:paraId="1371ED09">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76C2CE1C">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名称：</w:t>
      </w:r>
      <w:r>
        <w:rPr>
          <w:rFonts w:hint="eastAsia" w:ascii="宋体" w:hAnsi="宋体" w:eastAsia="宋体" w:cs="宋体"/>
          <w:sz w:val="24"/>
          <w:szCs w:val="24"/>
          <w:highlight w:val="none"/>
          <w:lang w:val="en-US" w:eastAsia="zh-CN"/>
        </w:rPr>
        <w:t>河南中达豫通项目管理有限公司</w:t>
      </w:r>
    </w:p>
    <w:p w14:paraId="355060CB">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地址：博爱县鸿昌街道办事处团结路北段商务局院内三楼</w:t>
      </w:r>
    </w:p>
    <w:p w14:paraId="0D2EB312">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联系人：</w:t>
      </w:r>
      <w:r>
        <w:rPr>
          <w:rFonts w:hint="eastAsia" w:ascii="宋体" w:hAnsi="宋体" w:eastAsia="宋体" w:cs="宋体"/>
          <w:sz w:val="24"/>
          <w:szCs w:val="24"/>
          <w:highlight w:val="none"/>
          <w:lang w:val="en-US" w:eastAsia="zh-CN"/>
        </w:rPr>
        <w:t>贾先生</w:t>
      </w:r>
    </w:p>
    <w:p w14:paraId="28770D57">
      <w:pPr>
        <w:keepNext w:val="0"/>
        <w:keepLines w:val="0"/>
        <w:pageBreakBefore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联系方式：</w:t>
      </w:r>
      <w:r>
        <w:rPr>
          <w:rFonts w:hint="eastAsia" w:ascii="宋体" w:hAnsi="宋体" w:eastAsia="宋体" w:cs="宋体"/>
          <w:sz w:val="24"/>
          <w:szCs w:val="24"/>
          <w:highlight w:val="none"/>
          <w:lang w:val="en-US" w:eastAsia="zh-CN"/>
        </w:rPr>
        <w:t>15139166295</w:t>
      </w:r>
    </w:p>
    <w:p w14:paraId="6F2C464E">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3.项目联系方式</w:t>
      </w:r>
    </w:p>
    <w:p w14:paraId="2C236B7D">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lang w:val="en-US" w:eastAsia="zh-CN"/>
        </w:rPr>
        <w:t>杨女士</w:t>
      </w:r>
    </w:p>
    <w:p w14:paraId="5ED376B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  话：</w:t>
      </w:r>
      <w:r>
        <w:rPr>
          <w:rFonts w:hint="eastAsia" w:ascii="宋体" w:hAnsi="宋体" w:eastAsia="宋体" w:cs="宋体"/>
          <w:sz w:val="24"/>
          <w:szCs w:val="24"/>
          <w:highlight w:val="none"/>
          <w:lang w:val="en-US" w:eastAsia="zh-CN"/>
        </w:rPr>
        <w:t>13938183312</w:t>
      </w:r>
    </w:p>
    <w:p w14:paraId="2FE8AA7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w:t>
      </w:r>
    </w:p>
    <w:p w14:paraId="42215F9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　</w:t>
      </w:r>
    </w:p>
    <w:p w14:paraId="5C0DACB8">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sz w:val="24"/>
          <w:szCs w:val="24"/>
          <w:highlight w:val="none"/>
          <w:lang w:val="en-US" w:eastAsia="zh-CN"/>
        </w:rPr>
        <w:t xml:space="preserve">博爱县益寿健康管理有限公司 </w:t>
      </w:r>
    </w:p>
    <w:p w14:paraId="6656D0F3">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sz w:val="24"/>
          <w:szCs w:val="24"/>
          <w:highlight w:val="none"/>
          <w:lang w:val="en-US" w:eastAsia="zh-CN"/>
        </w:rPr>
        <w:t>河南中达豫通项目管理有限公司</w:t>
      </w:r>
    </w:p>
    <w:p w14:paraId="3C23C147">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日</w:t>
      </w:r>
    </w:p>
    <w:p w14:paraId="6629EDF3">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highlight w:val="none"/>
          <w:lang w:val="en-US" w:eastAsia="zh-CN"/>
        </w:rPr>
        <w:sectPr>
          <w:footerReference r:id="rId8" w:type="default"/>
          <w:pgSz w:w="11907" w:h="16839"/>
          <w:pgMar w:top="1440" w:right="1080" w:bottom="1440" w:left="1080" w:header="0" w:footer="1408" w:gutter="0"/>
          <w:pgNumType w:fmt="decimal"/>
          <w:cols w:space="720" w:num="1"/>
        </w:sectPr>
      </w:pPr>
    </w:p>
    <w:p w14:paraId="2824DA9C">
      <w:pPr>
        <w:pStyle w:val="2"/>
        <w:pageBreakBefore w:val="0"/>
        <w:kinsoku/>
        <w:wordWrap/>
        <w:overflowPunct/>
        <w:topLinePunct w:val="0"/>
        <w:autoSpaceDN/>
        <w:bidi w:val="0"/>
        <w:spacing w:before="0" w:beforeAutospacing="0" w:after="0" w:afterAutospacing="0" w:line="360" w:lineRule="auto"/>
        <w:ind w:firstLine="883" w:firstLineChars="200"/>
        <w:jc w:val="center"/>
        <w:textAlignment w:val="auto"/>
        <w:rPr>
          <w:highlight w:val="none"/>
        </w:rPr>
      </w:pPr>
      <w:r>
        <w:rPr>
          <w:rFonts w:hint="eastAsia"/>
          <w:color w:val="auto"/>
          <w:kern w:val="0"/>
          <w:highlight w:val="none"/>
        </w:rPr>
        <w:t>投标须知前附表</w:t>
      </w:r>
    </w:p>
    <w:tbl>
      <w:tblPr>
        <w:tblStyle w:val="31"/>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4106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14:paraId="7BD81DDC">
            <w:pPr>
              <w:pStyle w:val="30"/>
              <w:spacing w:before="117" w:line="221" w:lineRule="auto"/>
              <w:ind w:left="133"/>
              <w:rPr>
                <w:highlight w:val="none"/>
              </w:rPr>
            </w:pPr>
            <w:r>
              <w:rPr>
                <w:rFonts w:hint="eastAsia" w:ascii="宋体" w:hAnsi="宋体" w:eastAsia="宋体" w:cs="宋体"/>
                <w:b/>
                <w:bCs/>
                <w:color w:val="auto"/>
                <w:sz w:val="24"/>
                <w:szCs w:val="24"/>
                <w:highlight w:val="none"/>
              </w:rPr>
              <w:t>序号</w:t>
            </w:r>
          </w:p>
        </w:tc>
        <w:tc>
          <w:tcPr>
            <w:tcW w:w="8163" w:type="dxa"/>
            <w:vAlign w:val="top"/>
          </w:tcPr>
          <w:p w14:paraId="106D02DA">
            <w:pPr>
              <w:pStyle w:val="30"/>
              <w:spacing w:before="117" w:line="220" w:lineRule="auto"/>
              <w:ind w:left="3634"/>
              <w:rPr>
                <w:highlight w:val="none"/>
              </w:rPr>
            </w:pPr>
            <w:r>
              <w:rPr>
                <w:rFonts w:hint="eastAsia" w:ascii="宋体" w:hAnsi="宋体" w:eastAsia="宋体" w:cs="宋体"/>
                <w:b/>
                <w:bCs/>
                <w:color w:val="auto"/>
                <w:sz w:val="24"/>
                <w:szCs w:val="24"/>
                <w:highlight w:val="none"/>
              </w:rPr>
              <w:t>内容规定</w:t>
            </w:r>
          </w:p>
        </w:tc>
      </w:tr>
      <w:tr w14:paraId="4E63F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14:paraId="38B78271">
            <w:pPr>
              <w:spacing w:line="266" w:lineRule="auto"/>
              <w:rPr>
                <w:rFonts w:ascii="Arial"/>
                <w:sz w:val="21"/>
                <w:highlight w:val="none"/>
              </w:rPr>
            </w:pPr>
          </w:p>
          <w:p w14:paraId="772E08D5">
            <w:pPr>
              <w:spacing w:line="266" w:lineRule="auto"/>
              <w:rPr>
                <w:rFonts w:ascii="Arial"/>
                <w:sz w:val="21"/>
                <w:highlight w:val="none"/>
              </w:rPr>
            </w:pPr>
          </w:p>
          <w:p w14:paraId="1D36996F">
            <w:pPr>
              <w:spacing w:line="266" w:lineRule="auto"/>
              <w:rPr>
                <w:rFonts w:ascii="Arial"/>
                <w:sz w:val="21"/>
                <w:highlight w:val="none"/>
              </w:rPr>
            </w:pPr>
          </w:p>
          <w:p w14:paraId="02F2F32F">
            <w:pPr>
              <w:spacing w:line="266" w:lineRule="auto"/>
              <w:rPr>
                <w:rFonts w:ascii="Arial"/>
                <w:sz w:val="21"/>
                <w:highlight w:val="none"/>
              </w:rPr>
            </w:pPr>
          </w:p>
          <w:p w14:paraId="75EC24F4">
            <w:pPr>
              <w:spacing w:line="266" w:lineRule="auto"/>
              <w:rPr>
                <w:rFonts w:ascii="Arial"/>
                <w:sz w:val="21"/>
                <w:highlight w:val="none"/>
              </w:rPr>
            </w:pPr>
          </w:p>
          <w:p w14:paraId="09AAFD9E">
            <w:pPr>
              <w:spacing w:line="266" w:lineRule="auto"/>
              <w:rPr>
                <w:rFonts w:ascii="Arial"/>
                <w:sz w:val="21"/>
                <w:highlight w:val="none"/>
              </w:rPr>
            </w:pPr>
          </w:p>
          <w:p w14:paraId="5451173B">
            <w:pPr>
              <w:spacing w:line="266" w:lineRule="auto"/>
              <w:rPr>
                <w:rFonts w:ascii="Arial"/>
                <w:sz w:val="21"/>
                <w:highlight w:val="none"/>
              </w:rPr>
            </w:pPr>
          </w:p>
          <w:p w14:paraId="676B900A">
            <w:pPr>
              <w:spacing w:line="266" w:lineRule="auto"/>
              <w:rPr>
                <w:rFonts w:ascii="Arial"/>
                <w:sz w:val="21"/>
                <w:highlight w:val="none"/>
              </w:rPr>
            </w:pPr>
          </w:p>
          <w:p w14:paraId="7C50E9EF">
            <w:pPr>
              <w:pStyle w:val="30"/>
              <w:spacing w:before="68" w:line="183" w:lineRule="auto"/>
              <w:ind w:left="335"/>
              <w:rPr>
                <w:sz w:val="21"/>
                <w:szCs w:val="21"/>
                <w:highlight w:val="none"/>
              </w:rPr>
            </w:pPr>
            <w:r>
              <w:rPr>
                <w:sz w:val="21"/>
                <w:szCs w:val="21"/>
                <w:highlight w:val="none"/>
              </w:rPr>
              <w:t>1</w:t>
            </w:r>
          </w:p>
        </w:tc>
        <w:tc>
          <w:tcPr>
            <w:tcW w:w="8163" w:type="dxa"/>
            <w:vAlign w:val="top"/>
          </w:tcPr>
          <w:p w14:paraId="0112E7EA">
            <w:pPr>
              <w:keepNext w:val="0"/>
              <w:keepLines w:val="0"/>
              <w:pageBreakBefore w:val="0"/>
              <w:widowControl w:val="0"/>
              <w:kinsoku/>
              <w:wordWrap/>
              <w:overflowPunct/>
              <w:topLinePunct w:val="0"/>
              <w:autoSpaceDE/>
              <w:autoSpaceDN/>
              <w:bidi w:val="0"/>
              <w:adjustRightInd w:val="0"/>
              <w:snapToGrid w:val="0"/>
              <w:spacing w:before="0" w:beforeLines="50" w:beforeAutospacing="0" w:afterAutospacing="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项目名称:博爱健康管理中心建设睡眠中心采购项目 </w:t>
            </w:r>
          </w:p>
          <w:p w14:paraId="68874495">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采购内容：多导睡眠记录仪、多导睡眠监测仪、经颅磁治疗仪（双人款）、微电流刺激仪、子午流柱中医定向透药仪等。</w:t>
            </w:r>
          </w:p>
          <w:p w14:paraId="647DCDA3">
            <w:pPr>
              <w:pageBreakBefore w:val="0"/>
              <w:kinsoku/>
              <w:wordWrap/>
              <w:overflowPunct/>
              <w:topLinePunct w:val="0"/>
              <w:bidi w:val="0"/>
              <w:adjustRightInd w:val="0"/>
              <w:snapToGrid w:val="0"/>
              <w:spacing w:beforeAutospacing="0" w:afterAutospacing="0" w:line="360" w:lineRule="auto"/>
              <w:rPr>
                <w:rFonts w:hint="eastAsia"/>
                <w:highlight w:val="none"/>
                <w:lang w:val="en-US" w:eastAsia="zh-CN"/>
              </w:rPr>
            </w:pPr>
            <w:r>
              <w:rPr>
                <w:rFonts w:hint="eastAsia" w:ascii="宋体" w:hAnsi="宋体" w:eastAsia="宋体" w:cs="宋体"/>
                <w:color w:val="auto"/>
                <w:sz w:val="24"/>
                <w:highlight w:val="none"/>
                <w:lang w:val="en-US" w:eastAsia="zh-CN"/>
              </w:rPr>
              <w:t>质量标准：合格。</w:t>
            </w:r>
          </w:p>
          <w:p w14:paraId="084A65B1">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合同履行期限（供货安装期）：30日历天</w:t>
            </w:r>
          </w:p>
          <w:p w14:paraId="036FB9EC">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采购方式：竞争性磋商。</w:t>
            </w:r>
          </w:p>
          <w:p w14:paraId="5842A01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472BABF9">
            <w:pPr>
              <w:pageBreakBefore w:val="0"/>
              <w:kinsoku/>
              <w:wordWrap/>
              <w:overflowPunct/>
              <w:topLinePunct w:val="0"/>
              <w:bidi w:val="0"/>
              <w:adjustRightInd w:val="0"/>
              <w:snapToGrid w:val="0"/>
              <w:spacing w:beforeAutospacing="0" w:afterAutospacing="0" w:line="360" w:lineRule="auto"/>
              <w:rPr>
                <w:rFonts w:hint="default" w:eastAsia="宋体"/>
                <w:highlight w:val="none"/>
                <w:lang w:val="en-US" w:eastAsia="zh-CN"/>
              </w:rPr>
            </w:pPr>
            <w:r>
              <w:rPr>
                <w:rFonts w:hint="eastAsia" w:ascii="宋体" w:hAnsi="宋体" w:eastAsia="宋体" w:cs="宋体"/>
                <w:color w:val="auto"/>
                <w:sz w:val="24"/>
                <w:highlight w:val="none"/>
                <w:lang w:val="en-US" w:eastAsia="zh-CN"/>
              </w:rPr>
              <w:t>付款方式：合同签订后支付30%货款，剩余70%分期付款，分三年（36期），自设备到货安装完成开始，每月支付一期。</w:t>
            </w:r>
          </w:p>
        </w:tc>
      </w:tr>
      <w:tr w14:paraId="1E33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4EBDAC27">
            <w:pPr>
              <w:pStyle w:val="30"/>
              <w:spacing w:before="244" w:line="182" w:lineRule="auto"/>
              <w:ind w:left="322"/>
              <w:rPr>
                <w:sz w:val="21"/>
                <w:szCs w:val="21"/>
                <w:highlight w:val="none"/>
              </w:rPr>
            </w:pPr>
            <w:r>
              <w:rPr>
                <w:sz w:val="21"/>
                <w:szCs w:val="21"/>
                <w:highlight w:val="none"/>
              </w:rPr>
              <w:t>2</w:t>
            </w:r>
          </w:p>
        </w:tc>
        <w:tc>
          <w:tcPr>
            <w:tcW w:w="8163" w:type="dxa"/>
            <w:vAlign w:val="top"/>
          </w:tcPr>
          <w:p w14:paraId="2900B01D">
            <w:pPr>
              <w:pStyle w:val="30"/>
              <w:spacing w:before="193" w:line="220" w:lineRule="auto"/>
              <w:ind w:left="123"/>
              <w:rPr>
                <w:rFonts w:hint="default" w:eastAsia="宋体"/>
                <w:highlight w:val="none"/>
                <w:lang w:val="en-US" w:eastAsia="zh-CN"/>
              </w:rPr>
            </w:pPr>
            <w:r>
              <w:rPr>
                <w:spacing w:val="-2"/>
                <w:highlight w:val="none"/>
              </w:rPr>
              <w:t>资金来源：</w:t>
            </w:r>
            <w:r>
              <w:rPr>
                <w:rFonts w:hint="eastAsia"/>
                <w:spacing w:val="-2"/>
                <w:highlight w:val="none"/>
                <w:lang w:val="en-US" w:eastAsia="zh-CN"/>
              </w:rPr>
              <w:t>自筹资金</w:t>
            </w:r>
          </w:p>
        </w:tc>
      </w:tr>
      <w:tr w14:paraId="3953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14:paraId="361BF713">
            <w:pPr>
              <w:spacing w:line="247" w:lineRule="auto"/>
              <w:rPr>
                <w:rFonts w:ascii="Arial"/>
                <w:sz w:val="21"/>
                <w:highlight w:val="none"/>
              </w:rPr>
            </w:pPr>
          </w:p>
          <w:p w14:paraId="651B4712">
            <w:pPr>
              <w:spacing w:line="248" w:lineRule="auto"/>
              <w:rPr>
                <w:rFonts w:ascii="Arial"/>
                <w:sz w:val="21"/>
                <w:highlight w:val="none"/>
              </w:rPr>
            </w:pPr>
          </w:p>
          <w:p w14:paraId="6AD476AB">
            <w:pPr>
              <w:spacing w:line="248" w:lineRule="auto"/>
              <w:rPr>
                <w:rFonts w:ascii="Arial"/>
                <w:sz w:val="21"/>
                <w:highlight w:val="none"/>
              </w:rPr>
            </w:pPr>
          </w:p>
          <w:p w14:paraId="52DF1383">
            <w:pPr>
              <w:spacing w:line="248" w:lineRule="auto"/>
              <w:rPr>
                <w:rFonts w:ascii="Arial"/>
                <w:sz w:val="21"/>
                <w:highlight w:val="none"/>
              </w:rPr>
            </w:pPr>
          </w:p>
          <w:p w14:paraId="2A78E20C">
            <w:pPr>
              <w:spacing w:line="248" w:lineRule="auto"/>
              <w:rPr>
                <w:rFonts w:ascii="Arial"/>
                <w:sz w:val="21"/>
                <w:highlight w:val="none"/>
              </w:rPr>
            </w:pPr>
          </w:p>
          <w:p w14:paraId="5B336579">
            <w:pPr>
              <w:spacing w:line="248" w:lineRule="auto"/>
              <w:rPr>
                <w:rFonts w:ascii="Arial"/>
                <w:sz w:val="21"/>
                <w:highlight w:val="none"/>
              </w:rPr>
            </w:pPr>
          </w:p>
          <w:p w14:paraId="1B3FBA11">
            <w:pPr>
              <w:pStyle w:val="30"/>
              <w:spacing w:before="68" w:line="182" w:lineRule="auto"/>
              <w:ind w:left="324"/>
              <w:rPr>
                <w:sz w:val="21"/>
                <w:szCs w:val="21"/>
                <w:highlight w:val="none"/>
              </w:rPr>
            </w:pPr>
            <w:r>
              <w:rPr>
                <w:sz w:val="21"/>
                <w:szCs w:val="21"/>
                <w:highlight w:val="none"/>
              </w:rPr>
              <w:t>3</w:t>
            </w:r>
          </w:p>
        </w:tc>
        <w:tc>
          <w:tcPr>
            <w:tcW w:w="8163" w:type="dxa"/>
            <w:vAlign w:val="top"/>
          </w:tcPr>
          <w:p w14:paraId="3E7105B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 xml:space="preserve"> 22</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26</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031C35CE">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0A3CD2C6">
            <w:pPr>
              <w:adjustRightInd w:val="0"/>
              <w:snapToGrid w:val="0"/>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方式：凡</w:t>
            </w:r>
            <w:r>
              <w:rPr>
                <w:rFonts w:hint="eastAsia" w:ascii="宋体" w:hAnsi="宋体" w:cs="宋体"/>
                <w:color w:val="auto"/>
                <w:sz w:val="24"/>
                <w:highlight w:val="none"/>
              </w:rPr>
              <w:t>有意参加投标者，请登录焦作市公共资源交易中心官网站进行网上下载</w:t>
            </w:r>
            <w:r>
              <w:rPr>
                <w:rFonts w:hint="eastAsia" w:ascii="宋体" w:hAnsi="宋体" w:cs="宋体"/>
                <w:color w:val="auto"/>
                <w:sz w:val="24"/>
                <w:highlight w:val="none"/>
                <w:lang w:eastAsia="zh-CN"/>
              </w:rPr>
              <w:t>磋商</w:t>
            </w:r>
            <w:r>
              <w:rPr>
                <w:rFonts w:hint="eastAsia" w:ascii="宋体" w:hAnsi="宋体" w:cs="宋体"/>
                <w:color w:val="auto"/>
                <w:sz w:val="24"/>
                <w:highlight w:val="none"/>
              </w:rPr>
              <w:t>文件。未通过会员系统完成下载文件，响应性文件视为无效（联系电话：0391-3568920，QQ：232850725、361532918（群））。</w:t>
            </w:r>
          </w:p>
          <w:p w14:paraId="08BE733E">
            <w:pPr>
              <w:adjustRightInd w:val="0"/>
              <w:snapToGrid w:val="0"/>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采购文件售价：0元</w:t>
            </w:r>
          </w:p>
        </w:tc>
      </w:tr>
      <w:tr w14:paraId="5E1E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742" w:type="dxa"/>
            <w:vAlign w:val="top"/>
          </w:tcPr>
          <w:p w14:paraId="687A48C6">
            <w:pPr>
              <w:adjustRightInd w:val="0"/>
              <w:snapToGrid w:val="0"/>
              <w:spacing w:line="360" w:lineRule="auto"/>
              <w:rPr>
                <w:rFonts w:hint="eastAsia" w:ascii="宋体" w:hAnsi="宋体" w:cs="宋体"/>
                <w:color w:val="auto"/>
                <w:sz w:val="24"/>
                <w:highlight w:val="none"/>
              </w:rPr>
            </w:pPr>
          </w:p>
          <w:p w14:paraId="08269300">
            <w:pPr>
              <w:adjustRightInd w:val="0"/>
              <w:snapToGrid w:val="0"/>
              <w:spacing w:line="360" w:lineRule="auto"/>
              <w:rPr>
                <w:rFonts w:hint="eastAsia" w:ascii="宋体" w:hAnsi="宋体" w:cs="宋体"/>
                <w:color w:val="auto"/>
                <w:sz w:val="24"/>
                <w:highlight w:val="none"/>
              </w:rPr>
            </w:pPr>
          </w:p>
          <w:p w14:paraId="46370715">
            <w:pPr>
              <w:adjustRightInd w:val="0"/>
              <w:snapToGrid w:val="0"/>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4</w:t>
            </w:r>
          </w:p>
        </w:tc>
        <w:tc>
          <w:tcPr>
            <w:tcW w:w="8163" w:type="dxa"/>
            <w:vAlign w:val="top"/>
          </w:tcPr>
          <w:p w14:paraId="6D95D8F6">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响应文件份数： 加密的电子响应文件壹份（.jztf 格式在会员系统指定位置上传）</w:t>
            </w:r>
          </w:p>
          <w:p w14:paraId="61032E65">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投标保证金：无</w:t>
            </w:r>
          </w:p>
          <w:p w14:paraId="20E06599">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履约保证金：无</w:t>
            </w:r>
          </w:p>
          <w:p w14:paraId="63EAA3E6">
            <w:pPr>
              <w:adjustRightInd w:val="0"/>
              <w:snapToGrid w:val="0"/>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质量保证金：无</w:t>
            </w:r>
          </w:p>
        </w:tc>
      </w:tr>
      <w:tr w14:paraId="79F2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14:paraId="2970347D">
            <w:pPr>
              <w:spacing w:line="273" w:lineRule="auto"/>
              <w:rPr>
                <w:rFonts w:ascii="Arial"/>
                <w:sz w:val="21"/>
                <w:highlight w:val="none"/>
              </w:rPr>
            </w:pPr>
          </w:p>
          <w:p w14:paraId="51DD90F8">
            <w:pPr>
              <w:pStyle w:val="30"/>
              <w:spacing w:before="78" w:line="180" w:lineRule="auto"/>
              <w:ind w:left="318"/>
              <w:rPr>
                <w:highlight w:val="none"/>
              </w:rPr>
            </w:pPr>
            <w:r>
              <w:rPr>
                <w:highlight w:val="none"/>
              </w:rPr>
              <w:t>5</w:t>
            </w:r>
          </w:p>
        </w:tc>
        <w:tc>
          <w:tcPr>
            <w:tcW w:w="8163" w:type="dxa"/>
            <w:vAlign w:val="top"/>
          </w:tcPr>
          <w:p w14:paraId="40DBC77B">
            <w:pPr>
              <w:pStyle w:val="33"/>
              <w:keepNext w:val="0"/>
              <w:keepLines w:val="0"/>
              <w:pageBreakBefore w:val="0"/>
              <w:widowControl w:val="0"/>
              <w:pBdr>
                <w:bottom w:val="none" w:color="auto" w:sz="0" w:space="0"/>
              </w:pBdr>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09</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 xml:space="preserve"> 09 </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 xml:space="preserve"> 00 </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14:paraId="688E231A">
            <w:pPr>
              <w:pStyle w:val="30"/>
              <w:keepNext w:val="0"/>
              <w:keepLines w:val="0"/>
              <w:pageBreakBefore w:val="0"/>
              <w:widowControl w:val="0"/>
              <w:kinsoku/>
              <w:wordWrap/>
              <w:overflowPunct/>
              <w:topLinePunct w:val="0"/>
              <w:autoSpaceDE/>
              <w:autoSpaceDN/>
              <w:bidi w:val="0"/>
              <w:adjustRightInd/>
              <w:snapToGrid/>
              <w:spacing w:line="400" w:lineRule="exact"/>
              <w:textAlignment w:val="auto"/>
              <w:rPr>
                <w:highlight w:val="none"/>
              </w:rPr>
            </w:pPr>
            <w:r>
              <w:rPr>
                <w:rFonts w:hint="eastAsia" w:ascii="宋体" w:hAnsi="宋体" w:eastAsia="宋体" w:cs="宋体"/>
                <w:b w:val="0"/>
                <w:bCs w:val="0"/>
                <w:color w:val="auto"/>
                <w:sz w:val="24"/>
                <w:szCs w:val="24"/>
                <w:highlight w:val="none"/>
              </w:rPr>
              <w:t>响应文件递交地点：加密电子响应性文件须在响应性文件提交截止时间前通过“焦作市公共资源交易中心（https://ggzy.jiaozuo.gov.cn/）”网站-交易平台加密上传；</w:t>
            </w:r>
          </w:p>
        </w:tc>
      </w:tr>
    </w:tbl>
    <w:p w14:paraId="14CA00C8">
      <w:pPr>
        <w:pStyle w:val="6"/>
        <w:spacing w:line="91" w:lineRule="exact"/>
        <w:rPr>
          <w:sz w:val="7"/>
          <w:highlight w:val="none"/>
        </w:rPr>
      </w:pPr>
    </w:p>
    <w:p w14:paraId="75BB0853">
      <w:pPr>
        <w:spacing w:line="91" w:lineRule="auto"/>
        <w:rPr>
          <w:rFonts w:ascii="Arial"/>
          <w:sz w:val="2"/>
          <w:highlight w:val="none"/>
        </w:rPr>
      </w:pPr>
    </w:p>
    <w:tbl>
      <w:tblPr>
        <w:tblStyle w:val="31"/>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36E53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14:paraId="73E6F011">
            <w:pPr>
              <w:spacing w:line="314" w:lineRule="auto"/>
              <w:rPr>
                <w:rFonts w:ascii="Arial"/>
                <w:sz w:val="21"/>
                <w:highlight w:val="none"/>
              </w:rPr>
            </w:pPr>
          </w:p>
          <w:p w14:paraId="3584A9DA">
            <w:pPr>
              <w:pStyle w:val="30"/>
              <w:spacing w:before="68" w:line="182" w:lineRule="auto"/>
              <w:ind w:left="321"/>
              <w:rPr>
                <w:sz w:val="21"/>
                <w:szCs w:val="21"/>
                <w:highlight w:val="none"/>
              </w:rPr>
            </w:pPr>
            <w:r>
              <w:rPr>
                <w:sz w:val="21"/>
                <w:szCs w:val="21"/>
                <w:highlight w:val="none"/>
              </w:rPr>
              <w:t>6</w:t>
            </w:r>
          </w:p>
        </w:tc>
        <w:tc>
          <w:tcPr>
            <w:tcW w:w="8169" w:type="dxa"/>
            <w:vAlign w:val="top"/>
          </w:tcPr>
          <w:p w14:paraId="108D244E">
            <w:pPr>
              <w:spacing w:line="254" w:lineRule="auto"/>
              <w:rPr>
                <w:rFonts w:ascii="Arial"/>
                <w:sz w:val="21"/>
                <w:highlight w:val="none"/>
              </w:rPr>
            </w:pPr>
          </w:p>
          <w:p w14:paraId="507082BC">
            <w:pPr>
              <w:pStyle w:val="30"/>
              <w:spacing w:before="78" w:line="219" w:lineRule="auto"/>
              <w:rPr>
                <w:highlight w:val="none"/>
              </w:rPr>
            </w:pPr>
            <w:r>
              <w:rPr>
                <w:spacing w:val="-2"/>
                <w:highlight w:val="none"/>
              </w:rPr>
              <w:t>采购事项答疑: 如有疑问，请与采购人或采购代理机构联系。</w:t>
            </w:r>
          </w:p>
        </w:tc>
      </w:tr>
      <w:tr w14:paraId="037F6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14:paraId="0A6DEBB5">
            <w:pPr>
              <w:spacing w:line="264" w:lineRule="auto"/>
              <w:rPr>
                <w:rFonts w:ascii="Arial"/>
                <w:sz w:val="21"/>
                <w:highlight w:val="none"/>
              </w:rPr>
            </w:pPr>
          </w:p>
          <w:p w14:paraId="67D39AD5">
            <w:pPr>
              <w:spacing w:line="265" w:lineRule="auto"/>
              <w:rPr>
                <w:rFonts w:ascii="Arial"/>
                <w:sz w:val="21"/>
                <w:highlight w:val="none"/>
              </w:rPr>
            </w:pPr>
          </w:p>
          <w:p w14:paraId="48A73CD6">
            <w:pPr>
              <w:spacing w:line="265" w:lineRule="auto"/>
              <w:rPr>
                <w:rFonts w:ascii="Arial"/>
                <w:sz w:val="21"/>
                <w:highlight w:val="none"/>
              </w:rPr>
            </w:pPr>
          </w:p>
          <w:p w14:paraId="603F3A80">
            <w:pPr>
              <w:pStyle w:val="30"/>
              <w:spacing w:before="69" w:line="181" w:lineRule="auto"/>
              <w:ind w:left="325"/>
              <w:rPr>
                <w:sz w:val="21"/>
                <w:szCs w:val="21"/>
                <w:highlight w:val="none"/>
              </w:rPr>
            </w:pPr>
            <w:r>
              <w:rPr>
                <w:sz w:val="21"/>
                <w:szCs w:val="21"/>
                <w:highlight w:val="none"/>
              </w:rPr>
              <w:t>7</w:t>
            </w:r>
          </w:p>
        </w:tc>
        <w:tc>
          <w:tcPr>
            <w:tcW w:w="8169" w:type="dxa"/>
            <w:vAlign w:val="top"/>
          </w:tcPr>
          <w:p w14:paraId="2E1DC0BC">
            <w:pPr>
              <w:pStyle w:val="30"/>
              <w:spacing w:before="113" w:line="360" w:lineRule="auto"/>
              <w:ind w:right="142"/>
              <w:rPr>
                <w:highlight w:val="none"/>
              </w:rPr>
            </w:pPr>
            <w:r>
              <w:rPr>
                <w:spacing w:val="-2"/>
                <w:highlight w:val="none"/>
              </w:rPr>
              <w:t>开标时间：同响应文件递交截止时间。供应商应当登录远程开标大厅，</w:t>
            </w:r>
            <w:r>
              <w:rPr>
                <w:spacing w:val="-6"/>
                <w:highlight w:val="none"/>
              </w:rPr>
              <w:t>凭制作响应性文件所用的企业 CA 密匙在线签到、解密文件等，解密时间为</w:t>
            </w:r>
            <w:r>
              <w:rPr>
                <w:spacing w:val="-4"/>
                <w:highlight w:val="none"/>
              </w:rPr>
              <w:t>投标截止时后30分钟内。</w:t>
            </w:r>
          </w:p>
          <w:p w14:paraId="750A40E1">
            <w:pPr>
              <w:pStyle w:val="30"/>
              <w:spacing w:before="181" w:line="220" w:lineRule="auto"/>
              <w:rPr>
                <w:highlight w:val="none"/>
              </w:rPr>
            </w:pPr>
            <w:r>
              <w:rPr>
                <w:spacing w:val="-1"/>
                <w:highlight w:val="none"/>
              </w:rPr>
              <w:t>不见面开标地点：</w:t>
            </w:r>
            <w:r>
              <w:rPr>
                <w:b/>
                <w:bCs/>
                <w:spacing w:val="-1"/>
                <w:highlight w:val="none"/>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一 </w:t>
            </w:r>
            <w:r>
              <w:rPr>
                <w:b/>
                <w:bCs/>
                <w:color w:val="auto"/>
                <w:spacing w:val="-1"/>
                <w:highlight w:val="none"/>
                <w:u w:val="none"/>
                <w:shd w:val="clear"/>
              </w:rPr>
              <w:t>开标室</w:t>
            </w:r>
          </w:p>
        </w:tc>
      </w:tr>
      <w:tr w14:paraId="61516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9" w:hRule="atLeast"/>
        </w:trPr>
        <w:tc>
          <w:tcPr>
            <w:tcW w:w="736" w:type="dxa"/>
            <w:vAlign w:val="top"/>
          </w:tcPr>
          <w:p w14:paraId="256ADEF0">
            <w:pPr>
              <w:spacing w:line="252" w:lineRule="auto"/>
              <w:rPr>
                <w:rFonts w:ascii="Arial"/>
                <w:sz w:val="21"/>
                <w:highlight w:val="none"/>
              </w:rPr>
            </w:pPr>
          </w:p>
          <w:p w14:paraId="41FCFA00">
            <w:pPr>
              <w:spacing w:line="252" w:lineRule="auto"/>
              <w:rPr>
                <w:rFonts w:ascii="Arial"/>
                <w:sz w:val="21"/>
                <w:highlight w:val="none"/>
              </w:rPr>
            </w:pPr>
          </w:p>
          <w:p w14:paraId="18F5C1E6">
            <w:pPr>
              <w:spacing w:line="252" w:lineRule="auto"/>
              <w:rPr>
                <w:rFonts w:ascii="Arial"/>
                <w:sz w:val="21"/>
                <w:highlight w:val="none"/>
              </w:rPr>
            </w:pPr>
          </w:p>
          <w:p w14:paraId="2433611F">
            <w:pPr>
              <w:spacing w:line="252" w:lineRule="auto"/>
              <w:rPr>
                <w:rFonts w:ascii="Arial"/>
                <w:sz w:val="21"/>
                <w:highlight w:val="none"/>
              </w:rPr>
            </w:pPr>
          </w:p>
          <w:p w14:paraId="65C5861E">
            <w:pPr>
              <w:spacing w:line="252" w:lineRule="auto"/>
              <w:rPr>
                <w:rFonts w:ascii="Arial"/>
                <w:sz w:val="21"/>
                <w:highlight w:val="none"/>
              </w:rPr>
            </w:pPr>
          </w:p>
          <w:p w14:paraId="04BB9D85">
            <w:pPr>
              <w:spacing w:line="252" w:lineRule="auto"/>
              <w:rPr>
                <w:rFonts w:ascii="Arial"/>
                <w:sz w:val="21"/>
                <w:highlight w:val="none"/>
              </w:rPr>
            </w:pPr>
          </w:p>
          <w:p w14:paraId="27E8E1CA">
            <w:pPr>
              <w:spacing w:line="252" w:lineRule="auto"/>
              <w:rPr>
                <w:rFonts w:ascii="Arial"/>
                <w:sz w:val="21"/>
                <w:highlight w:val="none"/>
              </w:rPr>
            </w:pPr>
          </w:p>
          <w:p w14:paraId="3AA0083B">
            <w:pPr>
              <w:spacing w:line="252" w:lineRule="auto"/>
              <w:rPr>
                <w:rFonts w:ascii="Arial"/>
                <w:sz w:val="21"/>
                <w:highlight w:val="none"/>
              </w:rPr>
            </w:pPr>
          </w:p>
          <w:p w14:paraId="53488EC6">
            <w:pPr>
              <w:spacing w:line="252" w:lineRule="auto"/>
              <w:rPr>
                <w:rFonts w:ascii="Arial"/>
                <w:sz w:val="21"/>
                <w:highlight w:val="none"/>
              </w:rPr>
            </w:pPr>
          </w:p>
          <w:p w14:paraId="7D64D4B7">
            <w:pPr>
              <w:spacing w:line="253" w:lineRule="auto"/>
              <w:rPr>
                <w:rFonts w:ascii="Arial"/>
                <w:sz w:val="21"/>
                <w:highlight w:val="none"/>
              </w:rPr>
            </w:pPr>
          </w:p>
          <w:p w14:paraId="18BB03E1">
            <w:pPr>
              <w:spacing w:line="253" w:lineRule="auto"/>
              <w:rPr>
                <w:rFonts w:ascii="Arial"/>
                <w:sz w:val="21"/>
                <w:highlight w:val="none"/>
              </w:rPr>
            </w:pPr>
          </w:p>
          <w:p w14:paraId="43B7E3D2">
            <w:pPr>
              <w:pStyle w:val="30"/>
              <w:spacing w:before="69" w:line="182" w:lineRule="auto"/>
              <w:ind w:left="320"/>
              <w:rPr>
                <w:sz w:val="21"/>
                <w:szCs w:val="21"/>
                <w:highlight w:val="none"/>
              </w:rPr>
            </w:pPr>
            <w:r>
              <w:rPr>
                <w:sz w:val="21"/>
                <w:szCs w:val="21"/>
                <w:highlight w:val="none"/>
              </w:rPr>
              <w:t>8</w:t>
            </w:r>
          </w:p>
        </w:tc>
        <w:tc>
          <w:tcPr>
            <w:tcW w:w="8169" w:type="dxa"/>
            <w:vAlign w:val="top"/>
          </w:tcPr>
          <w:p w14:paraId="6C484F85">
            <w:pPr>
              <w:pStyle w:val="30"/>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spacing w:val="0"/>
                <w:position w:val="0"/>
                <w:sz w:val="24"/>
                <w:highlight w:val="none"/>
              </w:rPr>
            </w:pPr>
            <w:r>
              <w:rPr>
                <w:spacing w:val="0"/>
                <w:position w:val="0"/>
                <w:sz w:val="24"/>
                <w:highlight w:val="none"/>
              </w:rPr>
              <w:t>递交响应性文件方式：</w:t>
            </w:r>
          </w:p>
          <w:p w14:paraId="4A192755">
            <w:pPr>
              <w:pStyle w:val="30"/>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spacing w:val="0"/>
                <w:position w:val="0"/>
                <w:sz w:val="24"/>
                <w:highlight w:val="none"/>
              </w:rPr>
            </w:pPr>
            <w:r>
              <w:rPr>
                <w:spacing w:val="0"/>
                <w:position w:val="0"/>
                <w:sz w:val="24"/>
                <w:highlight w:val="none"/>
              </w:rPr>
              <w:t>本项目采用“远程不见面”开标方式，远程开标大厅网址为</w:t>
            </w:r>
          </w:p>
          <w:p w14:paraId="5D87D564">
            <w:pPr>
              <w:pStyle w:val="30"/>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rFonts w:hint="eastAsia"/>
                <w:spacing w:val="0"/>
                <w:position w:val="0"/>
                <w:sz w:val="24"/>
                <w:highlight w:val="none"/>
                <w:lang w:eastAsia="zh-CN"/>
              </w:rPr>
            </w:pPr>
            <w:r>
              <w:rPr>
                <w:rFonts w:hint="eastAsia"/>
                <w:spacing w:val="0"/>
                <w:position w:val="0"/>
                <w:sz w:val="24"/>
                <w:highlight w:val="none"/>
                <w:lang w:eastAsia="zh-CN"/>
              </w:rPr>
              <w:t>（http://ggzy.jiaozuo.gov.cn/BidOpeningHall/bidhall/default/login）</w:t>
            </w:r>
          </w:p>
          <w:p w14:paraId="7B5A7046">
            <w:pPr>
              <w:pStyle w:val="30"/>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spacing w:val="0"/>
                <w:position w:val="0"/>
                <w:sz w:val="24"/>
                <w:highlight w:val="none"/>
              </w:rPr>
            </w:pPr>
            <w:r>
              <w:rPr>
                <w:spacing w:val="0"/>
                <w:position w:val="0"/>
                <w:sz w:val="24"/>
                <w:highlight w:val="none"/>
              </w:rPr>
              <w:t>供应商不需到开标现场参加开标会议，不需提交原件资料等。</w:t>
            </w:r>
          </w:p>
          <w:p w14:paraId="4AAE5A58">
            <w:pPr>
              <w:pStyle w:val="30"/>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spacing w:val="0"/>
                <w:position w:val="0"/>
                <w:sz w:val="24"/>
                <w:highlight w:val="none"/>
              </w:rPr>
            </w:pPr>
            <w:r>
              <w:rPr>
                <w:spacing w:val="0"/>
                <w:position w:val="0"/>
                <w:sz w:val="24"/>
                <w:highlight w:val="none"/>
              </w:rPr>
              <w:t>1.电子响应性文件的递交</w:t>
            </w:r>
          </w:p>
          <w:p w14:paraId="78615FCD">
            <w:pPr>
              <w:pStyle w:val="30"/>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spacing w:val="0"/>
                <w:position w:val="0"/>
                <w:sz w:val="24"/>
                <w:highlight w:val="none"/>
              </w:rPr>
            </w:pPr>
            <w:r>
              <w:rPr>
                <w:spacing w:val="0"/>
                <w:position w:val="0"/>
                <w:sz w:val="24"/>
                <w:highlight w:val="none"/>
              </w:rPr>
              <w:t>1.1 各供应商应在投标截止时间前上传加密的电子响应性文件</w:t>
            </w:r>
          </w:p>
          <w:p w14:paraId="568C8743">
            <w:pPr>
              <w:pStyle w:val="30"/>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spacing w:val="0"/>
                <w:position w:val="0"/>
                <w:sz w:val="24"/>
                <w:highlight w:val="none"/>
              </w:rPr>
            </w:pPr>
            <w:r>
              <w:rPr>
                <w:spacing w:val="0"/>
                <w:position w:val="0"/>
                <w:sz w:val="24"/>
                <w:highlight w:val="none"/>
              </w:rPr>
              <w:t>（.jztf 格式）到会员系统的指定位置。上传时必须得到电脑“上传成功”的确认回复。请供应商在上传时认真检查上传响应性文件是否完整、正确。</w:t>
            </w:r>
          </w:p>
          <w:p w14:paraId="475BA370">
            <w:pPr>
              <w:pStyle w:val="30"/>
              <w:keepNext w:val="0"/>
              <w:keepLines w:val="0"/>
              <w:pageBreakBefore w:val="0"/>
              <w:widowControl w:val="0"/>
              <w:kinsoku/>
              <w:wordWrap/>
              <w:overflowPunct/>
              <w:topLinePunct w:val="0"/>
              <w:autoSpaceDE/>
              <w:autoSpaceDN/>
              <w:bidi w:val="0"/>
              <w:adjustRightInd/>
              <w:snapToGrid/>
              <w:spacing w:line="460" w:lineRule="exact"/>
              <w:ind w:left="0" w:right="0"/>
              <w:textAlignment w:val="auto"/>
              <w:rPr>
                <w:highlight w:val="none"/>
              </w:rPr>
            </w:pPr>
            <w:r>
              <w:rPr>
                <w:spacing w:val="0"/>
                <w:position w:val="0"/>
                <w:sz w:val="24"/>
                <w:highlight w:val="none"/>
              </w:rPr>
              <w:t>1.2 如系统故障需上传非加密文件时，供应商应按照采购人指示将非加密文件递交给采购人。</w:t>
            </w:r>
          </w:p>
        </w:tc>
      </w:tr>
      <w:tr w14:paraId="08487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14:paraId="4B458C4E">
            <w:pPr>
              <w:spacing w:line="264" w:lineRule="auto"/>
              <w:rPr>
                <w:rFonts w:ascii="Arial"/>
                <w:sz w:val="21"/>
                <w:highlight w:val="none"/>
              </w:rPr>
            </w:pPr>
          </w:p>
          <w:p w14:paraId="6C0C0D7A">
            <w:pPr>
              <w:spacing w:line="265" w:lineRule="auto"/>
              <w:rPr>
                <w:rFonts w:ascii="Arial"/>
                <w:sz w:val="21"/>
                <w:highlight w:val="none"/>
              </w:rPr>
            </w:pPr>
          </w:p>
          <w:p w14:paraId="41CD163A">
            <w:pPr>
              <w:spacing w:line="265" w:lineRule="auto"/>
              <w:rPr>
                <w:rFonts w:ascii="Arial"/>
                <w:sz w:val="21"/>
                <w:highlight w:val="none"/>
              </w:rPr>
            </w:pPr>
          </w:p>
          <w:p w14:paraId="73DB732A">
            <w:pPr>
              <w:spacing w:line="265" w:lineRule="auto"/>
              <w:rPr>
                <w:rFonts w:ascii="Arial"/>
                <w:sz w:val="21"/>
                <w:highlight w:val="none"/>
              </w:rPr>
            </w:pPr>
          </w:p>
          <w:p w14:paraId="4564FB96">
            <w:pPr>
              <w:pStyle w:val="30"/>
              <w:spacing w:before="68" w:line="182" w:lineRule="auto"/>
              <w:ind w:left="320"/>
              <w:rPr>
                <w:sz w:val="21"/>
                <w:szCs w:val="21"/>
                <w:highlight w:val="none"/>
              </w:rPr>
            </w:pPr>
            <w:r>
              <w:rPr>
                <w:sz w:val="21"/>
                <w:szCs w:val="21"/>
                <w:highlight w:val="none"/>
              </w:rPr>
              <w:t>9</w:t>
            </w:r>
          </w:p>
        </w:tc>
        <w:tc>
          <w:tcPr>
            <w:tcW w:w="8169" w:type="dxa"/>
            <w:vAlign w:val="top"/>
          </w:tcPr>
          <w:p w14:paraId="104AEA2E">
            <w:pPr>
              <w:pStyle w:val="30"/>
              <w:spacing w:before="182" w:line="219" w:lineRule="auto"/>
              <w:rPr>
                <w:spacing w:val="-1"/>
                <w:highlight w:val="none"/>
              </w:rPr>
            </w:pPr>
            <w:r>
              <w:rPr>
                <w:spacing w:val="-1"/>
                <w:highlight w:val="none"/>
              </w:rPr>
              <w:t>采购预算控制金额（大写）：</w:t>
            </w:r>
            <w:r>
              <w:rPr>
                <w:rFonts w:hint="eastAsia"/>
                <w:spacing w:val="-1"/>
                <w:highlight w:val="none"/>
                <w:lang w:val="en-US" w:eastAsia="zh-CN"/>
              </w:rPr>
              <w:t>壹佰玖拾万元整</w:t>
            </w:r>
            <w:r>
              <w:rPr>
                <w:rFonts w:hint="eastAsia"/>
                <w:spacing w:val="-1"/>
                <w:highlight w:val="none"/>
                <w:lang w:eastAsia="zh-CN"/>
              </w:rPr>
              <w:t>（</w:t>
            </w:r>
            <w:r>
              <w:rPr>
                <w:spacing w:val="-1"/>
                <w:highlight w:val="none"/>
              </w:rPr>
              <w:t>￥</w:t>
            </w:r>
            <w:r>
              <w:rPr>
                <w:rFonts w:hint="eastAsia"/>
                <w:spacing w:val="-1"/>
                <w:highlight w:val="none"/>
                <w:lang w:val="en-US" w:eastAsia="zh-CN"/>
              </w:rPr>
              <w:t>1900000.00元</w:t>
            </w:r>
            <w:r>
              <w:rPr>
                <w:spacing w:val="-1"/>
                <w:highlight w:val="none"/>
              </w:rPr>
              <w:t>）</w:t>
            </w:r>
          </w:p>
          <w:p w14:paraId="4DF85959">
            <w:pPr>
              <w:pStyle w:val="30"/>
              <w:spacing w:before="182" w:line="219" w:lineRule="auto"/>
              <w:rPr>
                <w:spacing w:val="-1"/>
                <w:highlight w:val="none"/>
              </w:rPr>
            </w:pPr>
            <w:r>
              <w:rPr>
                <w:spacing w:val="-1"/>
                <w:highlight w:val="none"/>
              </w:rPr>
              <w:t>1</w:t>
            </w:r>
            <w:r>
              <w:rPr>
                <w:rFonts w:hint="eastAsia"/>
                <w:spacing w:val="-1"/>
                <w:highlight w:val="none"/>
                <w:lang w:eastAsia="zh-CN"/>
              </w:rPr>
              <w:t>、</w:t>
            </w:r>
            <w:r>
              <w:rPr>
                <w:spacing w:val="-1"/>
                <w:highlight w:val="none"/>
              </w:rPr>
              <w:t>供应商的投标报价高于采购预算控制金额的视为无效报价，其投标予以拒绝；</w:t>
            </w:r>
          </w:p>
          <w:p w14:paraId="3372EAAB">
            <w:pPr>
              <w:pStyle w:val="30"/>
              <w:spacing w:before="182" w:line="219" w:lineRule="auto"/>
              <w:rPr>
                <w:rFonts w:hint="eastAsia" w:eastAsia="宋体"/>
                <w:highlight w:val="none"/>
                <w:lang w:eastAsia="zh-CN"/>
              </w:rPr>
            </w:pPr>
            <w:r>
              <w:rPr>
                <w:spacing w:val="-1"/>
                <w:highlight w:val="none"/>
              </w:rPr>
              <w:t>2、当成交人投标报价高于控制价95%时，该成交人的成交价按控制价的95%执行</w:t>
            </w:r>
            <w:r>
              <w:rPr>
                <w:rFonts w:hint="eastAsia"/>
                <w:spacing w:val="-1"/>
                <w:highlight w:val="none"/>
                <w:lang w:eastAsia="zh-CN"/>
              </w:rPr>
              <w:t>。</w:t>
            </w:r>
          </w:p>
        </w:tc>
      </w:tr>
      <w:tr w14:paraId="60CB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14:paraId="21B8F17D">
            <w:pPr>
              <w:spacing w:line="320" w:lineRule="auto"/>
              <w:rPr>
                <w:rFonts w:ascii="Arial"/>
                <w:sz w:val="21"/>
                <w:highlight w:val="none"/>
              </w:rPr>
            </w:pPr>
          </w:p>
          <w:p w14:paraId="1D81BD32">
            <w:pPr>
              <w:pStyle w:val="30"/>
              <w:spacing w:before="69" w:line="183" w:lineRule="auto"/>
              <w:ind w:left="282"/>
              <w:rPr>
                <w:sz w:val="21"/>
                <w:szCs w:val="21"/>
                <w:highlight w:val="none"/>
              </w:rPr>
            </w:pPr>
            <w:r>
              <w:rPr>
                <w:spacing w:val="-6"/>
                <w:sz w:val="21"/>
                <w:szCs w:val="21"/>
                <w:highlight w:val="none"/>
              </w:rPr>
              <w:t>10</w:t>
            </w:r>
          </w:p>
        </w:tc>
        <w:tc>
          <w:tcPr>
            <w:tcW w:w="8169" w:type="dxa"/>
            <w:vAlign w:val="top"/>
          </w:tcPr>
          <w:p w14:paraId="1C58299E">
            <w:pPr>
              <w:spacing w:line="262" w:lineRule="auto"/>
              <w:rPr>
                <w:rFonts w:ascii="Arial"/>
                <w:sz w:val="21"/>
                <w:highlight w:val="none"/>
              </w:rPr>
            </w:pPr>
          </w:p>
          <w:p w14:paraId="56B09B67">
            <w:pPr>
              <w:pStyle w:val="30"/>
              <w:spacing w:before="78" w:line="220" w:lineRule="auto"/>
              <w:rPr>
                <w:rFonts w:hint="default" w:eastAsia="宋体"/>
                <w:highlight w:val="none"/>
                <w:lang w:val="en-US" w:eastAsia="zh-CN"/>
              </w:rPr>
            </w:pPr>
            <w:r>
              <w:rPr>
                <w:spacing w:val="0"/>
                <w:sz w:val="24"/>
                <w:highlight w:val="none"/>
              </w:rPr>
              <w:t>投标有效期：</w:t>
            </w:r>
            <w:r>
              <w:rPr>
                <w:rFonts w:hint="eastAsia"/>
                <w:spacing w:val="0"/>
                <w:sz w:val="24"/>
                <w:highlight w:val="none"/>
                <w:lang w:val="en-US" w:eastAsia="zh-CN"/>
              </w:rPr>
              <w:t>60日历天</w:t>
            </w:r>
          </w:p>
        </w:tc>
      </w:tr>
    </w:tbl>
    <w:p w14:paraId="446A4D56">
      <w:pPr>
        <w:pStyle w:val="6"/>
        <w:rPr>
          <w:highlight w:val="none"/>
        </w:rPr>
      </w:pPr>
    </w:p>
    <w:p w14:paraId="2B4C3A1A">
      <w:pPr>
        <w:spacing w:line="91" w:lineRule="auto"/>
        <w:rPr>
          <w:rFonts w:ascii="Arial"/>
          <w:sz w:val="2"/>
          <w:highlight w:val="none"/>
        </w:rPr>
      </w:pPr>
    </w:p>
    <w:tbl>
      <w:tblPr>
        <w:tblStyle w:val="31"/>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153B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47" w:type="dxa"/>
            <w:vAlign w:val="top"/>
          </w:tcPr>
          <w:p w14:paraId="68BC4035">
            <w:pPr>
              <w:spacing w:line="246" w:lineRule="auto"/>
              <w:rPr>
                <w:rFonts w:ascii="Arial"/>
                <w:sz w:val="21"/>
                <w:highlight w:val="none"/>
              </w:rPr>
            </w:pPr>
          </w:p>
          <w:p w14:paraId="792E110F">
            <w:pPr>
              <w:spacing w:line="246" w:lineRule="auto"/>
              <w:rPr>
                <w:rFonts w:ascii="Arial"/>
                <w:sz w:val="21"/>
                <w:highlight w:val="none"/>
              </w:rPr>
            </w:pPr>
          </w:p>
          <w:p w14:paraId="54208BDC">
            <w:pPr>
              <w:spacing w:line="247" w:lineRule="auto"/>
              <w:rPr>
                <w:rFonts w:ascii="Arial"/>
                <w:sz w:val="21"/>
                <w:highlight w:val="none"/>
              </w:rPr>
            </w:pPr>
          </w:p>
          <w:p w14:paraId="1F719C96">
            <w:pPr>
              <w:spacing w:line="247" w:lineRule="auto"/>
              <w:rPr>
                <w:rFonts w:ascii="Arial"/>
                <w:sz w:val="21"/>
                <w:highlight w:val="none"/>
              </w:rPr>
            </w:pPr>
          </w:p>
          <w:p w14:paraId="74015144">
            <w:pPr>
              <w:spacing w:line="247" w:lineRule="auto"/>
              <w:rPr>
                <w:rFonts w:ascii="Arial"/>
                <w:sz w:val="21"/>
                <w:highlight w:val="none"/>
              </w:rPr>
            </w:pPr>
          </w:p>
          <w:p w14:paraId="506627E5">
            <w:pPr>
              <w:spacing w:line="247" w:lineRule="auto"/>
              <w:rPr>
                <w:rFonts w:ascii="Arial"/>
                <w:sz w:val="21"/>
                <w:highlight w:val="none"/>
              </w:rPr>
            </w:pPr>
          </w:p>
          <w:p w14:paraId="151484FC">
            <w:pPr>
              <w:spacing w:line="247" w:lineRule="auto"/>
              <w:rPr>
                <w:rFonts w:ascii="Arial"/>
                <w:sz w:val="21"/>
                <w:highlight w:val="none"/>
              </w:rPr>
            </w:pPr>
          </w:p>
          <w:p w14:paraId="46027219">
            <w:pPr>
              <w:pStyle w:val="30"/>
              <w:spacing w:before="68" w:line="183" w:lineRule="auto"/>
              <w:ind w:left="282"/>
              <w:rPr>
                <w:sz w:val="21"/>
                <w:szCs w:val="21"/>
                <w:highlight w:val="none"/>
              </w:rPr>
            </w:pPr>
            <w:r>
              <w:rPr>
                <w:spacing w:val="-6"/>
                <w:sz w:val="21"/>
                <w:szCs w:val="21"/>
                <w:highlight w:val="none"/>
              </w:rPr>
              <w:t>11</w:t>
            </w:r>
          </w:p>
        </w:tc>
        <w:tc>
          <w:tcPr>
            <w:tcW w:w="8058" w:type="dxa"/>
            <w:vAlign w:val="top"/>
          </w:tcPr>
          <w:p w14:paraId="140CD821">
            <w:pPr>
              <w:keepNext w:val="0"/>
              <w:keepLines w:val="0"/>
              <w:pageBreakBefore w:val="0"/>
              <w:widowControl/>
              <w:kinsoku/>
              <w:wordWrap/>
              <w:overflowPunct/>
              <w:topLinePunct w:val="0"/>
              <w:autoSpaceDE/>
              <w:autoSpaceDN/>
              <w:bidi w:val="0"/>
              <w:adjustRightInd/>
              <w:spacing w:line="360" w:lineRule="auto"/>
              <w:ind w:left="105" w:leftChars="5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14:paraId="597ED3C8">
            <w:pPr>
              <w:keepNext w:val="0"/>
              <w:keepLines w:val="0"/>
              <w:pageBreakBefore w:val="0"/>
              <w:kinsoku/>
              <w:wordWrap/>
              <w:overflowPunct/>
              <w:topLinePunct w:val="0"/>
              <w:autoSpaceDE/>
              <w:autoSpaceDN/>
              <w:bidi w:val="0"/>
              <w:adjustRightInd w:val="0"/>
              <w:snapToGrid w:val="0"/>
              <w:spacing w:line="360" w:lineRule="auto"/>
              <w:ind w:left="105" w:leftChars="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val="en-US" w:eastAsia="zh-CN"/>
              </w:rPr>
              <w:t xml:space="preserve">博爱县益寿健康管理有限公司 </w:t>
            </w:r>
          </w:p>
          <w:p w14:paraId="20F17ACC">
            <w:pPr>
              <w:keepNext w:val="0"/>
              <w:keepLines w:val="0"/>
              <w:pageBreakBefore w:val="0"/>
              <w:kinsoku/>
              <w:wordWrap/>
              <w:overflowPunct/>
              <w:topLinePunct w:val="0"/>
              <w:autoSpaceDE/>
              <w:autoSpaceDN/>
              <w:bidi w:val="0"/>
              <w:adjustRightInd w:val="0"/>
              <w:snapToGrid w:val="0"/>
              <w:spacing w:line="360" w:lineRule="auto"/>
              <w:ind w:left="105" w:leftChars="5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en-US" w:eastAsia="zh-CN"/>
              </w:rPr>
              <w:t>河南省焦作市博爱县清化镇街道滨河路南段 212号</w:t>
            </w:r>
          </w:p>
          <w:p w14:paraId="792461FE">
            <w:pPr>
              <w:keepNext w:val="0"/>
              <w:keepLines w:val="0"/>
              <w:pageBreakBefore w:val="0"/>
              <w:kinsoku/>
              <w:wordWrap/>
              <w:overflowPunct/>
              <w:topLinePunct w:val="0"/>
              <w:autoSpaceDE/>
              <w:autoSpaceDN/>
              <w:bidi w:val="0"/>
              <w:adjustRightInd w:val="0"/>
              <w:snapToGrid w:val="0"/>
              <w:spacing w:line="360" w:lineRule="auto"/>
              <w:ind w:left="105" w:leftChars="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lang w:val="en-US" w:eastAsia="zh-CN"/>
              </w:rPr>
              <w:t>杨女士</w:t>
            </w:r>
          </w:p>
          <w:p w14:paraId="348588D8">
            <w:pPr>
              <w:keepNext w:val="0"/>
              <w:keepLines w:val="0"/>
              <w:pageBreakBefore w:val="0"/>
              <w:kinsoku/>
              <w:wordWrap/>
              <w:overflowPunct/>
              <w:topLinePunct w:val="0"/>
              <w:autoSpaceDE/>
              <w:autoSpaceDN/>
              <w:bidi w:val="0"/>
              <w:adjustRightInd w:val="0"/>
              <w:snapToGrid w:val="0"/>
              <w:spacing w:line="360" w:lineRule="auto"/>
              <w:ind w:left="105" w:leftChars="5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  话：</w:t>
            </w:r>
            <w:r>
              <w:rPr>
                <w:rFonts w:hint="eastAsia" w:ascii="宋体" w:hAnsi="宋体" w:eastAsia="宋体" w:cs="宋体"/>
                <w:sz w:val="24"/>
                <w:szCs w:val="24"/>
                <w:highlight w:val="none"/>
                <w:lang w:val="en-US" w:eastAsia="zh-CN"/>
              </w:rPr>
              <w:t>13938183312</w:t>
            </w:r>
          </w:p>
          <w:p w14:paraId="6C295C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5" w:leftChars="5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38AEB20C">
            <w:pPr>
              <w:keepNext w:val="0"/>
              <w:keepLines w:val="0"/>
              <w:pageBreakBefore w:val="0"/>
              <w:numPr>
                <w:ilvl w:val="0"/>
                <w:numId w:val="0"/>
              </w:numPr>
              <w:kinsoku/>
              <w:wordWrap/>
              <w:overflowPunct/>
              <w:topLinePunct w:val="0"/>
              <w:autoSpaceDE/>
              <w:autoSpaceDN/>
              <w:bidi w:val="0"/>
              <w:adjustRightInd/>
              <w:spacing w:line="360" w:lineRule="auto"/>
              <w:ind w:left="105" w:leftChars="5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名称：</w:t>
            </w:r>
            <w:r>
              <w:rPr>
                <w:rFonts w:hint="eastAsia" w:ascii="宋体" w:hAnsi="宋体" w:eastAsia="宋体" w:cs="宋体"/>
                <w:sz w:val="24"/>
                <w:szCs w:val="24"/>
                <w:highlight w:val="none"/>
                <w:lang w:val="en-US" w:eastAsia="zh-CN"/>
              </w:rPr>
              <w:t>河南中达豫通项目管理有限公司</w:t>
            </w:r>
          </w:p>
          <w:p w14:paraId="5B60C373">
            <w:pPr>
              <w:keepNext w:val="0"/>
              <w:keepLines w:val="0"/>
              <w:pageBreakBefore w:val="0"/>
              <w:numPr>
                <w:ilvl w:val="0"/>
                <w:numId w:val="0"/>
              </w:numPr>
              <w:kinsoku/>
              <w:wordWrap/>
              <w:overflowPunct/>
              <w:topLinePunct w:val="0"/>
              <w:autoSpaceDE/>
              <w:autoSpaceDN/>
              <w:bidi w:val="0"/>
              <w:adjustRightInd/>
              <w:spacing w:line="360" w:lineRule="auto"/>
              <w:ind w:left="105" w:leftChars="5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地址：</w:t>
            </w:r>
            <w:r>
              <w:rPr>
                <w:rFonts w:hint="eastAsia" w:ascii="宋体" w:hAnsi="宋体" w:eastAsia="宋体" w:cs="宋体"/>
                <w:sz w:val="24"/>
                <w:szCs w:val="24"/>
                <w:highlight w:val="none"/>
                <w:lang w:eastAsia="zh-CN"/>
              </w:rPr>
              <w:t>博爱县</w:t>
            </w:r>
            <w:r>
              <w:rPr>
                <w:rFonts w:hint="eastAsia" w:ascii="宋体" w:hAnsi="宋体" w:eastAsia="宋体" w:cs="宋体"/>
                <w:sz w:val="24"/>
                <w:szCs w:val="24"/>
                <w:highlight w:val="none"/>
                <w:lang w:val="en-US" w:eastAsia="zh-CN"/>
              </w:rPr>
              <w:t>鸿昌街道办事处团结路北段商务局院内三楼</w:t>
            </w:r>
          </w:p>
          <w:p w14:paraId="5B632837">
            <w:pPr>
              <w:keepNext w:val="0"/>
              <w:keepLines w:val="0"/>
              <w:pageBreakBefore w:val="0"/>
              <w:numPr>
                <w:ilvl w:val="0"/>
                <w:numId w:val="0"/>
              </w:numPr>
              <w:kinsoku/>
              <w:wordWrap/>
              <w:overflowPunct/>
              <w:topLinePunct w:val="0"/>
              <w:autoSpaceDE/>
              <w:autoSpaceDN/>
              <w:bidi w:val="0"/>
              <w:adjustRightInd/>
              <w:spacing w:line="360" w:lineRule="auto"/>
              <w:ind w:left="105" w:leftChars="5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联系人：</w:t>
            </w:r>
            <w:r>
              <w:rPr>
                <w:rFonts w:hint="eastAsia" w:hAnsi="宋体" w:eastAsia="宋体" w:cs="宋体"/>
                <w:b w:val="0"/>
                <w:bCs w:val="0"/>
                <w:sz w:val="24"/>
                <w:szCs w:val="24"/>
                <w:highlight w:val="none"/>
                <w:lang w:val="en-US" w:eastAsia="zh-CN" w:bidi="ar-SA"/>
              </w:rPr>
              <w:t>贾先生</w:t>
            </w:r>
          </w:p>
          <w:p w14:paraId="09165E93">
            <w:pPr>
              <w:keepNext w:val="0"/>
              <w:keepLines w:val="0"/>
              <w:pageBreakBefore w:val="0"/>
              <w:numPr>
                <w:ilvl w:val="0"/>
                <w:numId w:val="0"/>
              </w:numPr>
              <w:kinsoku/>
              <w:wordWrap/>
              <w:overflowPunct/>
              <w:topLinePunct w:val="0"/>
              <w:autoSpaceDE/>
              <w:autoSpaceDN/>
              <w:bidi w:val="0"/>
              <w:adjustRightInd/>
              <w:spacing w:line="360" w:lineRule="auto"/>
              <w:ind w:left="105" w:leftChars="50"/>
              <w:textAlignment w:val="auto"/>
              <w:rPr>
                <w:rFonts w:hint="eastAsia" w:eastAsia="宋体"/>
                <w:highlight w:val="none"/>
                <w:lang w:eastAsia="zh-CN"/>
              </w:rPr>
            </w:pPr>
            <w:r>
              <w:rPr>
                <w:rFonts w:hint="default" w:ascii="宋体" w:hAnsi="宋体" w:eastAsia="宋体" w:cs="宋体"/>
                <w:sz w:val="24"/>
                <w:szCs w:val="24"/>
                <w:highlight w:val="none"/>
                <w:lang w:val="en-US" w:eastAsia="zh-CN"/>
              </w:rPr>
              <w:t>联系方式：15139166295</w:t>
            </w:r>
          </w:p>
        </w:tc>
      </w:tr>
      <w:tr w14:paraId="2D41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847" w:type="dxa"/>
            <w:vAlign w:val="top"/>
          </w:tcPr>
          <w:p w14:paraId="03E95412">
            <w:pPr>
              <w:adjustRightInd w:val="0"/>
              <w:snapToGrid w:val="0"/>
              <w:spacing w:line="360" w:lineRule="auto"/>
              <w:rPr>
                <w:rFonts w:hint="eastAsia" w:ascii="宋体" w:hAnsi="宋体" w:cs="宋体"/>
                <w:color w:val="auto"/>
                <w:sz w:val="24"/>
                <w:highlight w:val="none"/>
              </w:rPr>
            </w:pPr>
          </w:p>
          <w:p w14:paraId="306056A3">
            <w:pPr>
              <w:adjustRightInd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8058" w:type="dxa"/>
            <w:vAlign w:val="top"/>
          </w:tcPr>
          <w:p w14:paraId="003B8F9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代理服务费：依据预算金额参照豫招协[2023]002号《河南省招标代理服务收费指导意见》中的标准，由成交人在领取成交通知书前，向代理机构足额缴纳。</w:t>
            </w:r>
          </w:p>
        </w:tc>
      </w:tr>
      <w:tr w14:paraId="3DC6E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14:paraId="5314C06B">
            <w:pPr>
              <w:pStyle w:val="30"/>
              <w:spacing w:before="68" w:line="183" w:lineRule="auto"/>
              <w:ind w:left="282"/>
              <w:rPr>
                <w:rFonts w:hint="eastAsia"/>
                <w:spacing w:val="-6"/>
                <w:sz w:val="21"/>
                <w:szCs w:val="21"/>
                <w:highlight w:val="none"/>
                <w:lang w:val="en-US" w:eastAsia="zh-CN"/>
              </w:rPr>
            </w:pPr>
          </w:p>
          <w:p w14:paraId="6A329002">
            <w:pPr>
              <w:pStyle w:val="30"/>
              <w:spacing w:before="68" w:line="183" w:lineRule="auto"/>
              <w:ind w:left="282"/>
              <w:rPr>
                <w:rFonts w:hint="eastAsia"/>
                <w:spacing w:val="-6"/>
                <w:sz w:val="21"/>
                <w:szCs w:val="21"/>
                <w:highlight w:val="none"/>
                <w:lang w:val="en-US" w:eastAsia="zh-CN"/>
              </w:rPr>
            </w:pPr>
          </w:p>
          <w:p w14:paraId="25BDE8CB">
            <w:pPr>
              <w:pStyle w:val="30"/>
              <w:spacing w:before="68" w:line="183" w:lineRule="auto"/>
              <w:ind w:left="282"/>
              <w:rPr>
                <w:rFonts w:hint="eastAsia"/>
                <w:spacing w:val="-6"/>
                <w:sz w:val="21"/>
                <w:szCs w:val="21"/>
                <w:highlight w:val="none"/>
                <w:lang w:val="en-US" w:eastAsia="zh-CN"/>
              </w:rPr>
            </w:pPr>
          </w:p>
          <w:p w14:paraId="0564C3F1">
            <w:pPr>
              <w:pStyle w:val="30"/>
              <w:spacing w:before="68" w:line="183" w:lineRule="auto"/>
              <w:ind w:left="282"/>
              <w:rPr>
                <w:rFonts w:hint="default" w:eastAsia="宋体"/>
                <w:spacing w:val="-6"/>
                <w:sz w:val="21"/>
                <w:szCs w:val="21"/>
                <w:highlight w:val="none"/>
                <w:lang w:val="en-US" w:eastAsia="zh-CN"/>
              </w:rPr>
            </w:pPr>
            <w:r>
              <w:rPr>
                <w:rFonts w:hint="eastAsia"/>
                <w:spacing w:val="-6"/>
                <w:sz w:val="21"/>
                <w:szCs w:val="21"/>
                <w:highlight w:val="none"/>
                <w:lang w:val="en-US" w:eastAsia="zh-CN"/>
              </w:rPr>
              <w:t>13</w:t>
            </w:r>
          </w:p>
        </w:tc>
        <w:tc>
          <w:tcPr>
            <w:tcW w:w="8058" w:type="dxa"/>
            <w:vAlign w:val="top"/>
          </w:tcPr>
          <w:p w14:paraId="0E04AB94">
            <w:pPr>
              <w:pStyle w:val="30"/>
              <w:spacing w:line="219" w:lineRule="auto"/>
              <w:ind w:left="115"/>
              <w:rPr>
                <w:rFonts w:hint="eastAsia" w:ascii="宋体" w:eastAsia="宋体" w:cs="宋体"/>
                <w:b w:val="0"/>
                <w:kern w:val="2"/>
                <w:sz w:val="24"/>
                <w:szCs w:val="24"/>
                <w:highlight w:val="none"/>
              </w:rPr>
            </w:pPr>
          </w:p>
          <w:p w14:paraId="2BA49F00">
            <w:pPr>
              <w:pStyle w:val="30"/>
              <w:spacing w:line="360" w:lineRule="auto"/>
              <w:rPr>
                <w:spacing w:val="-2"/>
                <w:highlight w:val="none"/>
              </w:rPr>
            </w:pPr>
            <w:r>
              <w:rPr>
                <w:rFonts w:hint="eastAsia" w:ascii="宋体" w:eastAsia="宋体" w:cs="宋体"/>
                <w:b/>
                <w:bCs/>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14:paraId="36AB3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14:paraId="23D0FFB5">
            <w:pPr>
              <w:spacing w:line="294" w:lineRule="auto"/>
              <w:rPr>
                <w:rFonts w:ascii="Arial"/>
                <w:sz w:val="21"/>
                <w:highlight w:val="none"/>
              </w:rPr>
            </w:pPr>
          </w:p>
          <w:p w14:paraId="286CA616">
            <w:pPr>
              <w:pStyle w:val="30"/>
              <w:spacing w:before="68" w:line="183" w:lineRule="auto"/>
              <w:ind w:left="282"/>
              <w:rPr>
                <w:rFonts w:hint="eastAsia" w:eastAsia="宋体"/>
                <w:sz w:val="21"/>
                <w:szCs w:val="21"/>
                <w:highlight w:val="none"/>
                <w:lang w:eastAsia="zh-CN"/>
              </w:rPr>
            </w:pPr>
            <w:r>
              <w:rPr>
                <w:spacing w:val="-6"/>
                <w:sz w:val="21"/>
                <w:szCs w:val="21"/>
                <w:highlight w:val="none"/>
              </w:rPr>
              <w:t>1</w:t>
            </w:r>
            <w:r>
              <w:rPr>
                <w:rFonts w:hint="eastAsia"/>
                <w:spacing w:val="-6"/>
                <w:sz w:val="21"/>
                <w:szCs w:val="21"/>
                <w:highlight w:val="none"/>
                <w:lang w:val="en-US" w:eastAsia="zh-CN"/>
              </w:rPr>
              <w:t>4</w:t>
            </w:r>
          </w:p>
        </w:tc>
        <w:tc>
          <w:tcPr>
            <w:tcW w:w="8058" w:type="dxa"/>
            <w:vAlign w:val="top"/>
          </w:tcPr>
          <w:p w14:paraId="35F9D6C4">
            <w:pPr>
              <w:pStyle w:val="30"/>
              <w:spacing w:before="314" w:line="219" w:lineRule="auto"/>
              <w:ind w:left="114"/>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w:t>
            </w:r>
            <w:r>
              <w:rPr>
                <w:rFonts w:hint="eastAsia" w:cs="宋体"/>
                <w:b/>
                <w:bCs/>
                <w:color w:val="auto"/>
                <w:kern w:val="2"/>
                <w:sz w:val="24"/>
                <w:szCs w:val="24"/>
                <w:highlight w:val="none"/>
                <w:lang w:eastAsia="zh-CN"/>
              </w:rPr>
              <w:t>磋商</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14:paraId="448E3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14:paraId="66B52BB2">
            <w:pPr>
              <w:pStyle w:val="30"/>
              <w:spacing w:before="78" w:line="263" w:lineRule="auto"/>
              <w:ind w:left="133" w:right="123"/>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特别提醒</w:t>
            </w:r>
          </w:p>
        </w:tc>
        <w:tc>
          <w:tcPr>
            <w:tcW w:w="8058" w:type="dxa"/>
            <w:vAlign w:val="top"/>
          </w:tcPr>
          <w:p w14:paraId="23EC7747">
            <w:pPr>
              <w:pStyle w:val="30"/>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w:t>
            </w:r>
            <w:r>
              <w:rPr>
                <w:rFonts w:hint="eastAsia" w:cs="宋体"/>
                <w:b/>
                <w:bCs/>
                <w:color w:val="auto"/>
                <w:kern w:val="2"/>
                <w:sz w:val="24"/>
                <w:szCs w:val="24"/>
                <w:highlight w:val="none"/>
                <w:lang w:eastAsia="zh-CN"/>
              </w:rPr>
              <w:t>磋商</w:t>
            </w:r>
            <w:r>
              <w:rPr>
                <w:rFonts w:hint="eastAsia" w:ascii="宋体" w:hAnsi="宋体" w:eastAsia="宋体" w:cs="宋体"/>
                <w:b/>
                <w:bCs/>
                <w:color w:val="auto"/>
                <w:kern w:val="2"/>
                <w:sz w:val="24"/>
                <w:szCs w:val="24"/>
                <w:highlight w:val="none"/>
                <w:lang w:eastAsia="zh-CN"/>
              </w:rPr>
              <w:t>小组要求供应商进行二轮报价以及作出澄清、说明或补正均采用网上方式进行。</w:t>
            </w:r>
          </w:p>
          <w:p w14:paraId="0AF68E4C">
            <w:pPr>
              <w:pStyle w:val="30"/>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w:t>
            </w:r>
            <w:r>
              <w:rPr>
                <w:rFonts w:hint="eastAsia" w:cs="宋体"/>
                <w:b/>
                <w:bCs/>
                <w:color w:val="auto"/>
                <w:kern w:val="2"/>
                <w:sz w:val="24"/>
                <w:szCs w:val="24"/>
                <w:highlight w:val="none"/>
                <w:lang w:eastAsia="zh-CN"/>
              </w:rPr>
              <w:t>磋商</w:t>
            </w:r>
            <w:r>
              <w:rPr>
                <w:rFonts w:hint="eastAsia" w:ascii="宋体" w:hAnsi="宋体" w:eastAsia="宋体" w:cs="宋体"/>
                <w:b/>
                <w:bCs/>
                <w:color w:val="auto"/>
                <w:kern w:val="2"/>
                <w:sz w:val="24"/>
                <w:szCs w:val="24"/>
                <w:highlight w:val="none"/>
                <w:lang w:eastAsia="zh-CN"/>
              </w:rPr>
              <w:t>进程，确保能及时收到</w:t>
            </w:r>
            <w:r>
              <w:rPr>
                <w:rFonts w:hint="eastAsia" w:cs="宋体"/>
                <w:b/>
                <w:bCs/>
                <w:color w:val="auto"/>
                <w:kern w:val="2"/>
                <w:sz w:val="24"/>
                <w:szCs w:val="24"/>
                <w:highlight w:val="none"/>
                <w:lang w:eastAsia="zh-CN"/>
              </w:rPr>
              <w:t>磋商</w:t>
            </w:r>
            <w:r>
              <w:rPr>
                <w:rFonts w:hint="eastAsia" w:ascii="宋体" w:hAnsi="宋体" w:eastAsia="宋体" w:cs="宋体"/>
                <w:b/>
                <w:bCs/>
                <w:color w:val="auto"/>
                <w:kern w:val="2"/>
                <w:sz w:val="24"/>
                <w:szCs w:val="24"/>
                <w:highlight w:val="none"/>
                <w:lang w:eastAsia="zh-CN"/>
              </w:rPr>
              <w:t>小组的报价、澄清、说明或者补正的要求。由于在评标过程中，</w:t>
            </w:r>
            <w:r>
              <w:rPr>
                <w:rFonts w:hint="eastAsia" w:cs="宋体"/>
                <w:b/>
                <w:bCs/>
                <w:color w:val="auto"/>
                <w:kern w:val="2"/>
                <w:sz w:val="24"/>
                <w:szCs w:val="24"/>
                <w:highlight w:val="none"/>
                <w:lang w:eastAsia="zh-CN"/>
              </w:rPr>
              <w:t>磋商</w:t>
            </w:r>
            <w:r>
              <w:rPr>
                <w:rFonts w:hint="eastAsia" w:ascii="宋体" w:hAnsi="宋体" w:eastAsia="宋体" w:cs="宋体"/>
                <w:b/>
                <w:bCs/>
                <w:color w:val="auto"/>
                <w:kern w:val="2"/>
                <w:sz w:val="24"/>
                <w:szCs w:val="24"/>
                <w:highlight w:val="none"/>
                <w:lang w:eastAsia="zh-CN"/>
              </w:rPr>
              <w:t>小组对供应商进行报价、澄清、说明或者补正的要求均有时间限制，并且在供应商澄清页面有倒计时提示，供应商应在</w:t>
            </w:r>
            <w:r>
              <w:rPr>
                <w:rFonts w:hint="eastAsia" w:cs="宋体"/>
                <w:b/>
                <w:bCs/>
                <w:color w:val="auto"/>
                <w:kern w:val="2"/>
                <w:sz w:val="24"/>
                <w:szCs w:val="24"/>
                <w:highlight w:val="none"/>
                <w:lang w:eastAsia="zh-CN"/>
              </w:rPr>
              <w:t>磋商</w:t>
            </w:r>
            <w:r>
              <w:rPr>
                <w:rFonts w:hint="eastAsia" w:ascii="宋体" w:hAnsi="宋体" w:eastAsia="宋体" w:cs="宋体"/>
                <w:b/>
                <w:bCs/>
                <w:color w:val="auto"/>
                <w:kern w:val="2"/>
                <w:sz w:val="24"/>
                <w:szCs w:val="24"/>
                <w:highlight w:val="none"/>
                <w:lang w:eastAsia="zh-CN"/>
              </w:rPr>
              <w:t>小组规定时间内完成所有操作。如由于供应商未看到报价、澄清、说明或者补正的要求而带来的风险，采购人和采购代理机构均不承担任何责任。</w:t>
            </w:r>
          </w:p>
        </w:tc>
      </w:tr>
    </w:tbl>
    <w:p w14:paraId="73C996FB">
      <w:pPr>
        <w:rPr>
          <w:highlight w:val="none"/>
        </w:rPr>
        <w:sectPr>
          <w:footerReference r:id="rId9" w:type="default"/>
          <w:pgSz w:w="11907" w:h="16839"/>
          <w:pgMar w:top="1431" w:right="1310" w:bottom="1569" w:left="1685" w:header="0" w:footer="1408" w:gutter="0"/>
          <w:pgNumType w:fmt="decimal"/>
          <w:cols w:space="720" w:num="1"/>
        </w:sectPr>
      </w:pPr>
    </w:p>
    <w:p w14:paraId="366D671E">
      <w:pPr>
        <w:pStyle w:val="6"/>
        <w:spacing w:line="289" w:lineRule="auto"/>
        <w:rPr>
          <w:highlight w:val="none"/>
        </w:rPr>
      </w:pPr>
    </w:p>
    <w:p w14:paraId="70FCCA15">
      <w:pPr>
        <w:pStyle w:val="2"/>
        <w:pageBreakBefore w:val="0"/>
        <w:kinsoku/>
        <w:wordWrap/>
        <w:overflowPunct/>
        <w:topLinePunct w:val="0"/>
        <w:bidi w:val="0"/>
        <w:spacing w:before="0" w:beforeAutospacing="0" w:after="0" w:afterAutospacing="0" w:line="360" w:lineRule="auto"/>
        <w:jc w:val="center"/>
        <w:rPr>
          <w:highlight w:val="none"/>
        </w:rPr>
      </w:pPr>
      <w:bookmarkStart w:id="2" w:name="bookmark3"/>
      <w:bookmarkEnd w:id="2"/>
      <w:r>
        <w:rPr>
          <w:rFonts w:hint="eastAsia"/>
          <w:color w:val="auto"/>
          <w:kern w:val="0"/>
          <w:highlight w:val="none"/>
        </w:rPr>
        <w:t xml:space="preserve">第一部分 </w:t>
      </w:r>
      <w:r>
        <w:rPr>
          <w:rFonts w:hint="eastAsia"/>
          <w:color w:val="auto"/>
          <w:kern w:val="0"/>
          <w:highlight w:val="none"/>
          <w:lang w:eastAsia="zh-CN"/>
        </w:rPr>
        <w:t>磋商</w:t>
      </w:r>
      <w:r>
        <w:rPr>
          <w:rFonts w:hint="eastAsia"/>
          <w:color w:val="auto"/>
          <w:kern w:val="0"/>
          <w:highlight w:val="none"/>
        </w:rPr>
        <w:t>项目相关内容及要求</w:t>
      </w:r>
    </w:p>
    <w:p w14:paraId="33300303">
      <w:pPr>
        <w:spacing w:line="56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1.项目基本情况</w:t>
      </w:r>
    </w:p>
    <w:p w14:paraId="4AA0BB71">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   购   人：</w:t>
      </w:r>
      <w:r>
        <w:rPr>
          <w:rFonts w:hint="eastAsia" w:ascii="宋体" w:hAnsi="宋体" w:eastAsia="宋体" w:cs="宋体"/>
          <w:sz w:val="24"/>
          <w:szCs w:val="24"/>
          <w:highlight w:val="none"/>
          <w:lang w:val="en-US" w:eastAsia="zh-CN"/>
        </w:rPr>
        <w:t xml:space="preserve">博爱县益寿健康管理有限公司 </w:t>
      </w:r>
    </w:p>
    <w:p w14:paraId="0E644024">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采购代理机构：</w:t>
      </w:r>
      <w:r>
        <w:rPr>
          <w:rFonts w:hint="eastAsia" w:ascii="宋体" w:hAnsi="宋体" w:eastAsia="宋体" w:cs="宋体"/>
          <w:sz w:val="24"/>
          <w:szCs w:val="24"/>
          <w:highlight w:val="none"/>
          <w:lang w:val="en-US" w:eastAsia="zh-CN"/>
        </w:rPr>
        <w:t>河南中达豫通项目管理有限公司</w:t>
      </w:r>
    </w:p>
    <w:p w14:paraId="316B3664">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项 目 名 称: </w:t>
      </w:r>
      <w:r>
        <w:rPr>
          <w:rFonts w:hint="eastAsia" w:ascii="宋体" w:hAnsi="宋体" w:eastAsia="宋体" w:cs="宋体"/>
          <w:color w:val="auto"/>
          <w:sz w:val="24"/>
          <w:highlight w:val="none"/>
          <w:lang w:val="en-US" w:eastAsia="zh-CN"/>
        </w:rPr>
        <w:t>博爱健康管理中心建设睡眠中心采购项目</w:t>
      </w:r>
    </w:p>
    <w:p w14:paraId="17655768">
      <w:pPr>
        <w:spacing w:line="56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资 金 来 源：</w:t>
      </w:r>
      <w:r>
        <w:rPr>
          <w:rFonts w:hint="eastAsia" w:asciiTheme="minorEastAsia" w:hAnsiTheme="minorEastAsia" w:cstheme="minorEastAsia"/>
          <w:color w:val="auto"/>
          <w:sz w:val="24"/>
          <w:szCs w:val="24"/>
          <w:highlight w:val="none"/>
          <w:lang w:val="en-US" w:eastAsia="zh-CN"/>
        </w:rPr>
        <w:t>自筹资金</w:t>
      </w:r>
    </w:p>
    <w:p w14:paraId="63578DF7">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2.供应商资格要求</w:t>
      </w:r>
    </w:p>
    <w:p w14:paraId="5126BACD">
      <w:pPr>
        <w:keepNext w:val="0"/>
        <w:keepLines w:val="0"/>
        <w:pageBreakBefore w:val="0"/>
        <w:kinsoku/>
        <w:wordWrap/>
        <w:overflowPunct/>
        <w:topLinePunct w:val="0"/>
        <w:autoSpaceDN/>
        <w:bidi w:val="0"/>
        <w:spacing w:line="56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1</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符合《中华人民共和国政府采购法》第二十二条之规定；</w:t>
      </w:r>
    </w:p>
    <w:p w14:paraId="2446712C">
      <w:pPr>
        <w:keepNext w:val="0"/>
        <w:keepLines w:val="0"/>
        <w:pageBreakBefore w:val="0"/>
        <w:widowControl/>
        <w:kinsoku/>
        <w:wordWrap/>
        <w:overflowPunct/>
        <w:topLinePunct w:val="0"/>
        <w:autoSpaceDE w:val="0"/>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2</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落实政府采购政策需满足的资格要求：</w:t>
      </w:r>
      <w:r>
        <w:rPr>
          <w:rFonts w:hint="eastAsia" w:ascii="宋体" w:hAnsi="宋体" w:eastAsia="宋体" w:cs="宋体"/>
          <w:sz w:val="24"/>
          <w:szCs w:val="24"/>
          <w:highlight w:val="none"/>
          <w:lang w:val="en-US" w:eastAsia="zh-CN"/>
        </w:rPr>
        <w:t>促进政府强制采购节能产品及环境标志产品优先采购，促进中小企业和监狱企业发展扶持政策</w:t>
      </w:r>
      <w:r>
        <w:rPr>
          <w:rFonts w:hint="eastAsia" w:asciiTheme="minorEastAsia" w:hAnsiTheme="minorEastAsia" w:cstheme="minorEastAsia"/>
          <w:sz w:val="24"/>
          <w:szCs w:val="24"/>
          <w:highlight w:val="none"/>
          <w:lang w:val="en-US" w:eastAsia="zh-CN"/>
        </w:rPr>
        <w:t>。</w:t>
      </w:r>
    </w:p>
    <w:p w14:paraId="10498B04">
      <w:pPr>
        <w:keepNext w:val="0"/>
        <w:keepLines w:val="0"/>
        <w:pageBreakBefore w:val="0"/>
        <w:kinsoku/>
        <w:wordWrap/>
        <w:overflowPunct/>
        <w:topLinePunct w:val="0"/>
        <w:autoSpaceDN/>
        <w:bidi w:val="0"/>
        <w:spacing w:line="56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3</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本项目的特定资格要求：</w:t>
      </w:r>
    </w:p>
    <w:p w14:paraId="20B003B9">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3.1 </w:t>
      </w:r>
      <w:r>
        <w:rPr>
          <w:rFonts w:hint="eastAsia" w:asciiTheme="minorEastAsia" w:hAnsiTheme="minorEastAsia" w:eastAsiaTheme="minorEastAsia" w:cstheme="minorEastAsia"/>
          <w:sz w:val="24"/>
          <w:szCs w:val="24"/>
          <w:highlight w:val="none"/>
          <w:lang w:val="en-US" w:eastAsia="zh-CN"/>
        </w:rPr>
        <w:t>供应商投标人须具有有效的营业执照，</w:t>
      </w:r>
      <w:r>
        <w:rPr>
          <w:rFonts w:hint="eastAsia" w:asciiTheme="minorEastAsia" w:hAnsiTheme="minorEastAsia" w:cstheme="minorEastAsia"/>
          <w:sz w:val="24"/>
          <w:szCs w:val="24"/>
          <w:highlight w:val="none"/>
          <w:lang w:val="en-US" w:eastAsia="zh-CN"/>
        </w:rPr>
        <w:t>具有医疗器械经营许可证或医疗器械经营备案凭证或生产许可证</w:t>
      </w:r>
      <w:r>
        <w:rPr>
          <w:rFonts w:hint="eastAsia" w:ascii="宋体" w:hAnsi="宋体" w:eastAsia="宋体" w:cs="宋体"/>
          <w:sz w:val="24"/>
          <w:szCs w:val="24"/>
          <w:highlight w:val="none"/>
          <w:lang w:val="en-US" w:eastAsia="zh-CN"/>
        </w:rPr>
        <w:t>；</w:t>
      </w:r>
    </w:p>
    <w:p w14:paraId="6258F8CA">
      <w:pPr>
        <w:spacing w:line="56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Theme="minorEastAsia" w:hAnsiTheme="minorEastAsia" w:eastAsiaTheme="minorEastAsia" w:cstheme="minorEastAsia"/>
          <w:sz w:val="24"/>
          <w:szCs w:val="24"/>
          <w:highlight w:val="none"/>
          <w:lang w:val="en-US" w:eastAsia="zh-CN"/>
        </w:rPr>
        <w:t>(备注：信誉要求由采购代理机构开标当日提供查询结果) </w:t>
      </w:r>
    </w:p>
    <w:p w14:paraId="63FC7C4F">
      <w:pPr>
        <w:spacing w:line="56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3.3 本项目不接受联合体投标；</w:t>
      </w:r>
    </w:p>
    <w:p w14:paraId="4710FCA1">
      <w:pPr>
        <w:spacing w:line="56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3.4 资格审查方式：资格后审。</w:t>
      </w:r>
    </w:p>
    <w:p w14:paraId="7D53FEF5">
      <w:pPr>
        <w:spacing w:before="182" w:line="240" w:lineRule="auto"/>
        <w:ind w:left="483"/>
        <w:rPr>
          <w:rFonts w:ascii="宋体" w:hAnsi="宋体" w:eastAsia="宋体" w:cs="宋体"/>
          <w:sz w:val="24"/>
          <w:szCs w:val="24"/>
          <w:highlight w:val="none"/>
        </w:rPr>
      </w:pPr>
      <w:r>
        <w:rPr>
          <w:rFonts w:ascii="宋体" w:hAnsi="宋体" w:eastAsia="宋体" w:cs="宋体"/>
          <w:spacing w:val="2"/>
          <w:position w:val="17"/>
          <w:sz w:val="24"/>
          <w:szCs w:val="24"/>
          <w:highlight w:val="none"/>
        </w:rPr>
        <w:t>3.响应文件报价应是竞争性</w:t>
      </w:r>
      <w:r>
        <w:rPr>
          <w:rFonts w:hint="eastAsia" w:ascii="宋体" w:hAnsi="宋体" w:eastAsia="宋体" w:cs="宋体"/>
          <w:spacing w:val="2"/>
          <w:position w:val="17"/>
          <w:sz w:val="24"/>
          <w:szCs w:val="24"/>
          <w:highlight w:val="none"/>
          <w:lang w:eastAsia="zh-CN"/>
        </w:rPr>
        <w:t>磋商</w:t>
      </w:r>
      <w:r>
        <w:rPr>
          <w:rFonts w:ascii="宋体" w:hAnsi="宋体" w:eastAsia="宋体" w:cs="宋体"/>
          <w:spacing w:val="2"/>
          <w:position w:val="17"/>
          <w:sz w:val="24"/>
          <w:szCs w:val="24"/>
          <w:highlight w:val="none"/>
        </w:rPr>
        <w:t>文件和其他相关资料确定的全部工作内容</w:t>
      </w:r>
    </w:p>
    <w:p w14:paraId="2C5FF40C">
      <w:pPr>
        <w:spacing w:line="240" w:lineRule="auto"/>
        <w:ind w:left="18"/>
        <w:rPr>
          <w:rFonts w:ascii="宋体" w:hAnsi="宋体" w:eastAsia="宋体" w:cs="宋体"/>
          <w:sz w:val="24"/>
          <w:szCs w:val="24"/>
          <w:highlight w:val="none"/>
        </w:rPr>
      </w:pPr>
      <w:r>
        <w:rPr>
          <w:rFonts w:ascii="宋体" w:hAnsi="宋体" w:eastAsia="宋体" w:cs="宋体"/>
          <w:spacing w:val="-9"/>
          <w:sz w:val="24"/>
          <w:szCs w:val="24"/>
          <w:highlight w:val="none"/>
        </w:rPr>
        <w:t>的价格体现。</w:t>
      </w:r>
    </w:p>
    <w:p w14:paraId="35944F6A">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4.供应商的响应文件应实质性响应竞争性</w:t>
      </w:r>
      <w:r>
        <w:rPr>
          <w:rFonts w:hint="eastAsia" w:asciiTheme="minorEastAsia" w:hAnsiTheme="minorEastAsia" w:cstheme="minorEastAsia"/>
          <w:sz w:val="24"/>
          <w:szCs w:val="24"/>
          <w:highlight w:val="none"/>
          <w:lang w:val="en-US" w:eastAsia="zh-CN"/>
        </w:rPr>
        <w:t>磋商</w:t>
      </w:r>
      <w:r>
        <w:rPr>
          <w:rFonts w:hint="eastAsia" w:asciiTheme="minorEastAsia" w:hAnsiTheme="minorEastAsia" w:eastAsiaTheme="minorEastAsia" w:cstheme="minorEastAsia"/>
          <w:sz w:val="24"/>
          <w:szCs w:val="24"/>
          <w:highlight w:val="none"/>
          <w:lang w:val="en-US" w:eastAsia="zh-CN"/>
        </w:rPr>
        <w:t>文件要求。</w:t>
      </w:r>
    </w:p>
    <w:p w14:paraId="5B9E5154">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5.响应文件递交截止时间之后，任何人不得更改响应文件。</w:t>
      </w:r>
    </w:p>
    <w:p w14:paraId="19CDB83D">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宋体" w:hAnsi="宋体" w:eastAsia="宋体" w:cs="宋体"/>
          <w:sz w:val="24"/>
          <w:highlight w:val="none"/>
        </w:rPr>
        <w:t>本项目不再统一召开答疑会</w:t>
      </w:r>
      <w:r>
        <w:rPr>
          <w:rFonts w:hint="eastAsia" w:ascii="宋体" w:hAnsi="宋体" w:eastAsia="宋体" w:cs="宋体"/>
          <w:sz w:val="24"/>
          <w:highlight w:val="none"/>
          <w:lang w:eastAsia="zh-CN"/>
        </w:rPr>
        <w:t>，</w:t>
      </w:r>
      <w:r>
        <w:rPr>
          <w:rFonts w:hint="eastAsia" w:asciiTheme="minorEastAsia" w:hAnsiTheme="minorEastAsia" w:eastAsiaTheme="minorEastAsia" w:cstheme="minorEastAsia"/>
          <w:sz w:val="24"/>
          <w:szCs w:val="24"/>
          <w:highlight w:val="none"/>
          <w:lang w:val="en-US" w:eastAsia="zh-CN"/>
        </w:rPr>
        <w:t>如有疑问，请与采购人或采购代理机构联系。</w:t>
      </w:r>
    </w:p>
    <w:p w14:paraId="23C61794">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7.合同由成交人与</w:t>
      </w:r>
      <w:r>
        <w:rPr>
          <w:rFonts w:hint="eastAsia" w:ascii="宋体" w:hAnsi="宋体" w:eastAsia="宋体" w:cs="宋体"/>
          <w:sz w:val="24"/>
          <w:szCs w:val="24"/>
          <w:highlight w:val="none"/>
          <w:lang w:val="en-US" w:eastAsia="zh-CN"/>
        </w:rPr>
        <w:t>博爱县益寿健康管理有限公司</w:t>
      </w:r>
      <w:r>
        <w:rPr>
          <w:rFonts w:hint="eastAsia" w:asciiTheme="minorEastAsia" w:hAnsiTheme="minorEastAsia" w:eastAsiaTheme="minorEastAsia" w:cstheme="minorEastAsia"/>
          <w:sz w:val="24"/>
          <w:szCs w:val="24"/>
          <w:highlight w:val="none"/>
          <w:lang w:val="en-US" w:eastAsia="zh-CN"/>
        </w:rPr>
        <w:t>签订。</w:t>
      </w:r>
    </w:p>
    <w:p w14:paraId="6CB0FF84">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8.成交人不得转包项目，否则一经发现，采购人有权另行选择其它单位。</w:t>
      </w:r>
    </w:p>
    <w:p w14:paraId="6567DCD4">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9.付款方式：合同签订后支付30%货款，剩余70%分期付款，分三年（36期），自设备到货安装完成开始，每月支付一期。</w:t>
      </w:r>
    </w:p>
    <w:p w14:paraId="10937671">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10.质量要求：合格 </w:t>
      </w:r>
    </w:p>
    <w:p w14:paraId="5B480C52">
      <w:pPr>
        <w:spacing w:line="5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11.质保期：</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年</w:t>
      </w:r>
    </w:p>
    <w:p w14:paraId="76FB2C30">
      <w:pPr>
        <w:spacing w:line="560" w:lineRule="exact"/>
        <w:ind w:firstLine="480" w:firstLineChars="200"/>
        <w:jc w:val="left"/>
        <w:rPr>
          <w:rFonts w:hint="default" w:asciiTheme="minorEastAsia" w:hAnsiTheme="minorEastAsia" w:eastAsiaTheme="minorEastAsia" w:cstheme="minorEastAsia"/>
          <w:sz w:val="24"/>
          <w:szCs w:val="24"/>
          <w:highlight w:val="none"/>
          <w:lang w:val="en-US" w:eastAsia="zh-CN"/>
        </w:rPr>
        <w:sectPr>
          <w:footerReference r:id="rId10"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highlight w:val="none"/>
          <w:lang w:val="en-US" w:eastAsia="zh-CN"/>
        </w:rPr>
        <w:t>12.合同履行期限</w:t>
      </w:r>
      <w:r>
        <w:rPr>
          <w:rFonts w:hint="eastAsia" w:asciiTheme="minorEastAsia" w:hAnsiTheme="minorEastAsia" w:cstheme="minorEastAsia"/>
          <w:sz w:val="24"/>
          <w:szCs w:val="24"/>
          <w:highlight w:val="none"/>
          <w:lang w:val="en-US" w:eastAsia="zh-CN"/>
        </w:rPr>
        <w:t>（供货安装期）</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lang w:val="en-US" w:eastAsia="zh-CN"/>
        </w:rPr>
        <w:t>日历天</w:t>
      </w:r>
    </w:p>
    <w:p w14:paraId="4FD60520">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rPr>
          <w:highlight w:val="none"/>
        </w:rPr>
      </w:pPr>
      <w:r>
        <w:rPr>
          <w:rFonts w:hint="eastAsia"/>
          <w:color w:val="auto"/>
          <w:kern w:val="0"/>
          <w:highlight w:val="none"/>
        </w:rPr>
        <w:t xml:space="preserve">第二部分  </w:t>
      </w:r>
      <w:r>
        <w:rPr>
          <w:rFonts w:hint="eastAsia"/>
          <w:color w:val="auto"/>
          <w:kern w:val="0"/>
          <w:highlight w:val="none"/>
          <w:lang w:val="en-US" w:eastAsia="zh-CN"/>
        </w:rPr>
        <w:t>磋商</w:t>
      </w:r>
      <w:r>
        <w:rPr>
          <w:rFonts w:hint="eastAsia"/>
          <w:color w:val="auto"/>
          <w:kern w:val="0"/>
          <w:highlight w:val="none"/>
        </w:rPr>
        <w:t>须知</w:t>
      </w:r>
    </w:p>
    <w:p w14:paraId="3C820D85">
      <w:pPr>
        <w:pStyle w:val="6"/>
        <w:spacing w:line="335" w:lineRule="auto"/>
        <w:rPr>
          <w:highlight w:val="none"/>
        </w:rPr>
      </w:pPr>
    </w:p>
    <w:p w14:paraId="6B71D30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firstLine="482" w:firstLineChars="200"/>
        <w:jc w:val="both"/>
        <w:textAlignment w:val="auto"/>
        <w:rPr>
          <w:rFonts w:ascii="宋体"/>
          <w:b/>
          <w:bCs/>
          <w:color w:val="auto"/>
          <w:spacing w:val="0"/>
          <w:kern w:val="0"/>
          <w:position w:val="0"/>
          <w:sz w:val="24"/>
          <w:szCs w:val="24"/>
          <w:highlight w:val="none"/>
        </w:rPr>
      </w:pPr>
      <w:r>
        <w:rPr>
          <w:rFonts w:hint="eastAsia" w:ascii="宋体" w:hAnsi="宋体"/>
          <w:b/>
          <w:bCs/>
          <w:color w:val="auto"/>
          <w:spacing w:val="0"/>
          <w:kern w:val="0"/>
          <w:position w:val="0"/>
          <w:sz w:val="24"/>
          <w:szCs w:val="24"/>
          <w:highlight w:val="none"/>
        </w:rPr>
        <w:t>一、总则</w:t>
      </w:r>
    </w:p>
    <w:p w14:paraId="362BE1FA">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1.根据《中华人民共和国政府采购法》以及相关的法律、法规、规章等，</w:t>
      </w:r>
    </w:p>
    <w:p w14:paraId="4F70260F">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按照本文件中预定的评标方式择优选定成交人。</w:t>
      </w:r>
    </w:p>
    <w:p w14:paraId="3301389C">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val="en-US" w:eastAsia="zh-CN"/>
        </w:rPr>
        <w:t>2</w:t>
      </w:r>
      <w:r>
        <w:rPr>
          <w:rFonts w:ascii="宋体" w:hAnsi="宋体" w:eastAsia="宋体" w:cs="宋体"/>
          <w:spacing w:val="0"/>
          <w:position w:val="0"/>
          <w:sz w:val="24"/>
          <w:szCs w:val="24"/>
          <w:highlight w:val="none"/>
        </w:rPr>
        <w:t>.维护双方当事人的合法权益，反对不正当竞争。</w:t>
      </w:r>
    </w:p>
    <w:p w14:paraId="004DD3C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val="en-US" w:eastAsia="zh-CN"/>
        </w:rPr>
        <w:t>3</w:t>
      </w:r>
      <w:r>
        <w:rPr>
          <w:rFonts w:ascii="宋体" w:hAnsi="宋体" w:eastAsia="宋体" w:cs="宋体"/>
          <w:spacing w:val="0"/>
          <w:position w:val="0"/>
          <w:sz w:val="24"/>
          <w:szCs w:val="24"/>
          <w:highlight w:val="none"/>
        </w:rPr>
        <w:t>.供应商应仔细阅读竞争性</w:t>
      </w:r>
      <w:r>
        <w:rPr>
          <w:rFonts w:hint="eastAsia" w:ascii="宋体" w:hAnsi="宋体" w:eastAsia="宋体" w:cs="宋体"/>
          <w:spacing w:val="0"/>
          <w:position w:val="0"/>
          <w:sz w:val="24"/>
          <w:szCs w:val="24"/>
          <w:highlight w:val="none"/>
          <w:lang w:eastAsia="zh-CN"/>
        </w:rPr>
        <w:t>磋商</w:t>
      </w:r>
      <w:r>
        <w:rPr>
          <w:rFonts w:ascii="宋体" w:hAnsi="宋体" w:eastAsia="宋体" w:cs="宋体"/>
          <w:spacing w:val="0"/>
          <w:position w:val="0"/>
          <w:sz w:val="24"/>
          <w:szCs w:val="24"/>
          <w:highlight w:val="none"/>
        </w:rPr>
        <w:t>文件，一旦参与竞争性</w:t>
      </w:r>
      <w:r>
        <w:rPr>
          <w:rFonts w:hint="eastAsia" w:ascii="宋体" w:hAnsi="宋体" w:eastAsia="宋体" w:cs="宋体"/>
          <w:spacing w:val="0"/>
          <w:position w:val="0"/>
          <w:sz w:val="24"/>
          <w:szCs w:val="24"/>
          <w:highlight w:val="none"/>
          <w:lang w:eastAsia="zh-CN"/>
        </w:rPr>
        <w:t>磋商</w:t>
      </w:r>
      <w:r>
        <w:rPr>
          <w:rFonts w:ascii="宋体" w:hAnsi="宋体" w:eastAsia="宋体" w:cs="宋体"/>
          <w:spacing w:val="0"/>
          <w:position w:val="0"/>
          <w:sz w:val="24"/>
          <w:szCs w:val="24"/>
          <w:highlight w:val="none"/>
        </w:rPr>
        <w:t>，均认为响应该竞争性</w:t>
      </w:r>
      <w:r>
        <w:rPr>
          <w:rFonts w:hint="eastAsia" w:ascii="宋体" w:hAnsi="宋体" w:eastAsia="宋体" w:cs="宋体"/>
          <w:spacing w:val="0"/>
          <w:position w:val="0"/>
          <w:sz w:val="24"/>
          <w:szCs w:val="24"/>
          <w:highlight w:val="none"/>
          <w:lang w:eastAsia="zh-CN"/>
        </w:rPr>
        <w:t>磋商</w:t>
      </w:r>
      <w:r>
        <w:rPr>
          <w:rFonts w:ascii="宋体" w:hAnsi="宋体" w:eastAsia="宋体" w:cs="宋体"/>
          <w:spacing w:val="0"/>
          <w:position w:val="0"/>
          <w:sz w:val="24"/>
          <w:szCs w:val="24"/>
          <w:highlight w:val="none"/>
        </w:rPr>
        <w:t>文件中采购人的有关要求。</w:t>
      </w:r>
    </w:p>
    <w:p w14:paraId="7635F680">
      <w:pPr>
        <w:keepNext w:val="0"/>
        <w:keepLines w:val="0"/>
        <w:pageBreakBefore w:val="0"/>
        <w:kinsoku/>
        <w:wordWrap/>
        <w:overflowPunct/>
        <w:topLinePunct w:val="0"/>
        <w:autoSpaceDE/>
        <w:autoSpaceDN/>
        <w:bidi w:val="0"/>
        <w:adjustRightInd/>
        <w:snapToGrid/>
        <w:spacing w:line="500" w:lineRule="exact"/>
        <w:ind w:left="0" w:firstLine="480" w:firstLineChars="200"/>
        <w:textAlignment w:val="auto"/>
        <w:rPr>
          <w:rFonts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val="en-US" w:eastAsia="zh-CN"/>
        </w:rPr>
        <w:t>4</w:t>
      </w:r>
      <w:r>
        <w:rPr>
          <w:rFonts w:ascii="宋体" w:hAnsi="宋体" w:eastAsia="宋体" w:cs="宋体"/>
          <w:spacing w:val="0"/>
          <w:position w:val="0"/>
          <w:sz w:val="24"/>
          <w:szCs w:val="24"/>
          <w:highlight w:val="none"/>
        </w:rPr>
        <w:t>.投标费用：供应商在投标过程中所发生的一切费用，不论成交与否，均由供应商自负，采购单位不承担任何责任。</w:t>
      </w:r>
    </w:p>
    <w:p w14:paraId="3CE9A3F7">
      <w:pPr>
        <w:keepNext w:val="0"/>
        <w:keepLines w:val="0"/>
        <w:pageBreakBefore w:val="0"/>
        <w:widowControl/>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14:paraId="606F9736">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b w:val="0"/>
          <w:bCs w:val="0"/>
          <w:color w:val="auto"/>
          <w:kern w:val="0"/>
          <w:sz w:val="24"/>
          <w:szCs w:val="24"/>
          <w:highlight w:val="none"/>
        </w:rPr>
        <w:t>1.项目名称：</w:t>
      </w:r>
      <w:r>
        <w:rPr>
          <w:rFonts w:hint="eastAsia" w:ascii="宋体" w:hAnsi="宋体" w:eastAsia="宋体" w:cs="宋体"/>
          <w:color w:val="auto"/>
          <w:sz w:val="24"/>
          <w:highlight w:val="none"/>
          <w:lang w:val="en-US" w:eastAsia="zh-CN"/>
        </w:rPr>
        <w:t>博爱健康管理中心建设睡眠中心采购项目</w:t>
      </w:r>
    </w:p>
    <w:p w14:paraId="2C7B9E60">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2.采购内容：</w:t>
      </w:r>
      <w:r>
        <w:rPr>
          <w:rFonts w:hint="eastAsia" w:ascii="宋体" w:hAnsi="宋体"/>
          <w:b w:val="0"/>
          <w:bCs w:val="0"/>
          <w:color w:val="auto"/>
          <w:kern w:val="0"/>
          <w:sz w:val="24"/>
          <w:szCs w:val="24"/>
          <w:highlight w:val="none"/>
          <w:lang w:val="en-US" w:eastAsia="zh-CN"/>
        </w:rPr>
        <w:t>多导睡眠记录仪、多导睡眠监测仪、经颅磁治疗仪（双人款）、微电流刺激仪、子午流柱中医定向透药仪等。</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p>
    <w:p w14:paraId="24156360">
      <w:pPr>
        <w:keepNext w:val="0"/>
        <w:keepLines w:val="0"/>
        <w:pageBreakBefore w:val="0"/>
        <w:widowControl/>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w:t>
      </w:r>
      <w:r>
        <w:rPr>
          <w:rFonts w:hint="eastAsia" w:ascii="宋体" w:hAnsi="宋体"/>
          <w:b/>
          <w:bCs/>
          <w:color w:val="auto"/>
          <w:kern w:val="0"/>
          <w:sz w:val="24"/>
          <w:szCs w:val="24"/>
          <w:highlight w:val="none"/>
          <w:lang w:eastAsia="zh-CN"/>
        </w:rPr>
        <w:t>磋商</w:t>
      </w:r>
      <w:r>
        <w:rPr>
          <w:rFonts w:hint="eastAsia" w:ascii="宋体" w:hAnsi="宋体"/>
          <w:b/>
          <w:bCs/>
          <w:color w:val="auto"/>
          <w:kern w:val="0"/>
          <w:sz w:val="24"/>
          <w:szCs w:val="24"/>
          <w:highlight w:val="none"/>
        </w:rPr>
        <w:t>文件</w:t>
      </w:r>
    </w:p>
    <w:p w14:paraId="566F5A56">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文件包括本文件和所有按本文件规定发出的补充通知等。</w:t>
      </w:r>
    </w:p>
    <w:p w14:paraId="514AEEF9">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2.供应商的响应文件应实质上响应竞争性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文件的要求，否则，响应文件将被拒绝。</w:t>
      </w:r>
    </w:p>
    <w:p w14:paraId="0600A525">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文件的解释。</w:t>
      </w:r>
    </w:p>
    <w:p w14:paraId="6EE40253">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文件若有疑问， 应以书面形式向采购人、 采购代理机构提出，采购人和采购代理机构将在提起之日起七个工作日内以书</w:t>
      </w:r>
    </w:p>
    <w:p w14:paraId="083F511C">
      <w:pPr>
        <w:keepNext w:val="0"/>
        <w:keepLines w:val="0"/>
        <w:pageBreakBefore w:val="0"/>
        <w:widowControl/>
        <w:kinsoku/>
        <w:wordWrap/>
        <w:overflowPunct/>
        <w:topLinePunct w:val="0"/>
        <w:bidi w:val="0"/>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14:paraId="2436249E">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文件的解释权属于采购人。</w:t>
      </w:r>
    </w:p>
    <w:p w14:paraId="2E42CFCB">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文件的修改。</w:t>
      </w:r>
    </w:p>
    <w:p w14:paraId="1CA29562">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文件发出后，如需对文件进行修改，应在竞争性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开</w:t>
      </w:r>
    </w:p>
    <w:p w14:paraId="3139714E">
      <w:pPr>
        <w:keepNext w:val="0"/>
        <w:keepLines w:val="0"/>
        <w:pageBreakBefore w:val="0"/>
        <w:widowControl/>
        <w:kinsoku/>
        <w:wordWrap/>
        <w:overflowPunct/>
        <w:topLinePunct w:val="0"/>
        <w:bidi w:val="0"/>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14:paraId="60F4FDA3">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文件、补充通知内容相互矛盾时，以最后发出的通知为准。</w:t>
      </w:r>
    </w:p>
    <w:p w14:paraId="342857A2">
      <w:pPr>
        <w:keepNext w:val="0"/>
        <w:keepLines w:val="0"/>
        <w:pageBreakBefore w:val="0"/>
        <w:widowControl/>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14:paraId="1367EAA8">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1.确定成交人后，成交人要按照响应文件中承诺的内容履行合同。</w:t>
      </w:r>
    </w:p>
    <w:p w14:paraId="514A2F5C">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2.参加竞争性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的供应商应按竞争性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文件中提供的格式填写响应</w:t>
      </w:r>
    </w:p>
    <w:p w14:paraId="56EE3A29">
      <w:pPr>
        <w:keepNext w:val="0"/>
        <w:keepLines w:val="0"/>
        <w:pageBreakBefore w:val="0"/>
        <w:widowControl/>
        <w:kinsoku/>
        <w:wordWrap/>
        <w:overflowPunct/>
        <w:topLinePunct w:val="0"/>
        <w:bidi w:val="0"/>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文件的不响应。</w:t>
      </w:r>
    </w:p>
    <w:p w14:paraId="3A236240">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3.对竞争性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文件未作出实质性响应的供应商将被拒绝参与</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w:t>
      </w:r>
    </w:p>
    <w:p w14:paraId="3D78D955">
      <w:pPr>
        <w:keepNext w:val="0"/>
        <w:keepLines w:val="0"/>
        <w:pageBreakBefore w:val="0"/>
        <w:widowControl/>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14:paraId="5D7E9EAB">
      <w:pPr>
        <w:keepNext w:val="0"/>
        <w:keepLines w:val="0"/>
        <w:pageBreakBefore w:val="0"/>
        <w:widowControl/>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1.响应文件的语言及格式</w:t>
      </w:r>
    </w:p>
    <w:p w14:paraId="138BBEDD">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文件提供的格式编写响应性文件，但不得缺 少或私自更改任何</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文件要求填写的表格或提交的资料。</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文件提供格式</w:t>
      </w:r>
    </w:p>
    <w:p w14:paraId="31FFDE03">
      <w:pPr>
        <w:keepNext w:val="0"/>
        <w:keepLines w:val="0"/>
        <w:pageBreakBefore w:val="0"/>
        <w:widowControl/>
        <w:kinsoku/>
        <w:wordWrap/>
        <w:overflowPunct/>
        <w:topLinePunct w:val="0"/>
        <w:bidi w:val="0"/>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的可按格式填列，未提供格式的可自行拟定。</w:t>
      </w:r>
    </w:p>
    <w:p w14:paraId="0864DD45">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文件中有特殊要</w:t>
      </w:r>
    </w:p>
    <w:p w14:paraId="4855E38A">
      <w:pPr>
        <w:keepNext w:val="0"/>
        <w:keepLines w:val="0"/>
        <w:pageBreakBefore w:val="0"/>
        <w:widowControl/>
        <w:kinsoku/>
        <w:wordWrap/>
        <w:overflowPunct/>
        <w:topLinePunct w:val="0"/>
        <w:bidi w:val="0"/>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求的情形除外），供应商必须使用竞争性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文件中规定的文件格式。</w:t>
      </w:r>
    </w:p>
    <w:p w14:paraId="7E13667C">
      <w:pPr>
        <w:keepNext w:val="0"/>
        <w:keepLines w:val="0"/>
        <w:pageBreakBefore w:val="0"/>
        <w:widowControl/>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14:paraId="3514EE99">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2.响应文件应主要包括下列部分：</w:t>
      </w:r>
    </w:p>
    <w:p w14:paraId="632CD7AF">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14:paraId="4C8A0C93">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14:paraId="35896691">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14:paraId="203D3F01">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14:paraId="1BABE234">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14:paraId="2A7F9651">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14:paraId="2A6CF6AC">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14:paraId="54FFD2A0">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14:paraId="2887A30B">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default" w:ascii="宋体" w:hAnsi="宋体" w:eastAsiaTheme="minorEastAsia"/>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2.8中小企业声明函</w:t>
      </w:r>
      <w:r>
        <w:rPr>
          <w:rFonts w:hint="eastAsia" w:ascii="宋体" w:hAnsi="宋体"/>
          <w:b w:val="0"/>
          <w:bCs w:val="0"/>
          <w:color w:val="auto"/>
          <w:kern w:val="0"/>
          <w:sz w:val="24"/>
          <w:szCs w:val="24"/>
          <w:highlight w:val="none"/>
        </w:rPr>
        <w:t>（如有）</w:t>
      </w:r>
      <w:r>
        <w:rPr>
          <w:rFonts w:hint="eastAsia" w:ascii="宋体" w:hAnsi="宋体"/>
          <w:b w:val="0"/>
          <w:bCs w:val="0"/>
          <w:color w:val="auto"/>
          <w:kern w:val="0"/>
          <w:sz w:val="24"/>
          <w:szCs w:val="24"/>
          <w:highlight w:val="none"/>
          <w:lang w:val="en-US" w:eastAsia="zh-CN"/>
        </w:rPr>
        <w:t>；</w:t>
      </w:r>
    </w:p>
    <w:p w14:paraId="6DF046A0">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 xml:space="preserve"> 残疾人福利性单位声明函（如有）；</w:t>
      </w:r>
    </w:p>
    <w:p w14:paraId="5E8C44C7">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文件要求的或供应商认为需要加以说明的其他内容。</w:t>
      </w:r>
    </w:p>
    <w:p w14:paraId="6E03DB01">
      <w:pPr>
        <w:keepNext w:val="0"/>
        <w:keepLines w:val="0"/>
        <w:pageBreakBefore w:val="0"/>
        <w:widowControl/>
        <w:kinsoku/>
        <w:wordWrap/>
        <w:overflowPunct/>
        <w:topLinePunct w:val="0"/>
        <w:bidi w:val="0"/>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14:paraId="61538BD6">
      <w:pPr>
        <w:keepNext w:val="0"/>
        <w:keepLines w:val="0"/>
        <w:pageBreakBefore w:val="0"/>
        <w:widowControl/>
        <w:kinsoku/>
        <w:wordWrap/>
        <w:overflowPunct/>
        <w:topLinePunct w:val="0"/>
        <w:bidi w:val="0"/>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14:paraId="6A24B9C0">
      <w:pPr>
        <w:keepNext w:val="0"/>
        <w:keepLines w:val="0"/>
        <w:pageBreakBefore w:val="0"/>
        <w:widowControl/>
        <w:kinsoku/>
        <w:wordWrap/>
        <w:overflowPunct/>
        <w:topLinePunct w:val="0"/>
        <w:bidi w:val="0"/>
        <w:snapToGrid/>
        <w:spacing w:beforeAutospacing="0" w:afterAutospacing="0" w:line="500" w:lineRule="exact"/>
        <w:ind w:firstLine="482" w:firstLineChars="200"/>
        <w:jc w:val="both"/>
        <w:textAlignment w:val="auto"/>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1、符合《政府采购法》第二十二条规定的资格条件，按照采购文件约定提供资格承诺，不再提供资质资料，主要包括供应商在响应文件中无需再提供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14:paraId="76640F27">
      <w:pPr>
        <w:pStyle w:val="47"/>
        <w:keepNext w:val="0"/>
        <w:keepLines w:val="0"/>
        <w:pageBreakBefore w:val="0"/>
        <w:kinsoku/>
        <w:wordWrap/>
        <w:overflowPunct/>
        <w:topLinePunct w:val="0"/>
        <w:bidi w:val="0"/>
        <w:snapToGrid/>
        <w:spacing w:line="500" w:lineRule="exact"/>
        <w:ind w:firstLine="480" w:firstLineChars="200"/>
        <w:textAlignment w:val="auto"/>
        <w:rPr>
          <w:rFonts w:hint="default" w:hAnsi="宋体" w:eastAsia="宋体"/>
          <w:color w:val="auto"/>
          <w:highlight w:val="none"/>
          <w:lang w:val="en-US" w:eastAsia="zh-CN"/>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hAnsi="宋体"/>
          <w:color w:val="auto"/>
          <w:highlight w:val="none"/>
        </w:rPr>
        <w:t>遵循《中华人民共和国政府采购法实施条例》第十八条规定并提供相关证明材料。</w:t>
      </w:r>
    </w:p>
    <w:p w14:paraId="2FB73384">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3.响应文件的编制</w:t>
      </w:r>
    </w:p>
    <w:p w14:paraId="7E43E72F">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文件中要求使用焦作市公共资源交易系统响</w:t>
      </w:r>
    </w:p>
    <w:p w14:paraId="385EA66A">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14:paraId="1632CF90">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14:paraId="50359C18">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26586DF3">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14:paraId="41A6C4DB">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14:paraId="3CD31E89">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14:paraId="66C19E52">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传手写签名的扫描件或加盖法定代表人CA印章。</w:t>
      </w:r>
    </w:p>
    <w:p w14:paraId="60AB7418">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14:paraId="1173E94A">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传手写签名的扫描件或加盖委托代理CA印章。</w:t>
      </w:r>
    </w:p>
    <w:p w14:paraId="62ABCE84">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4.响应性文件的语言和计量单位</w:t>
      </w:r>
    </w:p>
    <w:p w14:paraId="52BB6FA7">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 xml:space="preserve">4.1 </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文件以及供应商与采购人、采购代理机构就有关投标事宜的所有</w:t>
      </w:r>
    </w:p>
    <w:p w14:paraId="2AE3BB64">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14:paraId="681A7978">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文件已有明确规定的，使用响应性文件规定</w:t>
      </w:r>
    </w:p>
    <w:p w14:paraId="1D02DF51">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文件没有规定的，应采用中华人民共和国法定计量单位。</w:t>
      </w:r>
    </w:p>
    <w:p w14:paraId="44242B84">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小组可以要求供应商提供附有公证书的中文翻译文件或者与原版文</w:t>
      </w:r>
    </w:p>
    <w:p w14:paraId="4A049671">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14:paraId="67493C52">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14:paraId="32023672">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14:paraId="661890AF">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14:paraId="452506CB">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14:paraId="4D64DC9B">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14:paraId="3261D975">
      <w:pPr>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14:paraId="1CD8E4AB">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14:paraId="5BB233EA">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1.控制价</w:t>
      </w:r>
    </w:p>
    <w:p w14:paraId="075C63F8">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1900000</w:t>
      </w:r>
      <w:r>
        <w:rPr>
          <w:rFonts w:hint="eastAsia" w:ascii="宋体" w:hAnsi="宋体"/>
          <w:b w:val="0"/>
          <w:bCs w:val="0"/>
          <w:color w:val="auto"/>
          <w:kern w:val="0"/>
          <w:sz w:val="24"/>
          <w:szCs w:val="24"/>
          <w:highlight w:val="none"/>
          <w:lang w:val="en-US" w:eastAsia="zh-CN"/>
        </w:rPr>
        <w:t>.00</w:t>
      </w:r>
      <w:r>
        <w:rPr>
          <w:rFonts w:hint="eastAsia" w:ascii="宋体" w:hAnsi="宋体"/>
          <w:b w:val="0"/>
          <w:bCs w:val="0"/>
          <w:color w:val="auto"/>
          <w:kern w:val="0"/>
          <w:sz w:val="24"/>
          <w:szCs w:val="24"/>
          <w:highlight w:val="none"/>
        </w:rPr>
        <w:t>元 （大写</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壹佰玖拾万元整</w:t>
      </w:r>
      <w:r>
        <w:rPr>
          <w:rFonts w:hint="eastAsia" w:ascii="宋体" w:hAnsi="宋体"/>
          <w:b w:val="0"/>
          <w:bCs w:val="0"/>
          <w:color w:val="auto"/>
          <w:kern w:val="0"/>
          <w:sz w:val="24"/>
          <w:szCs w:val="24"/>
          <w:highlight w:val="none"/>
        </w:rPr>
        <w:t>）。</w:t>
      </w:r>
    </w:p>
    <w:p w14:paraId="494B51B3">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14:paraId="1A0048FA">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2.投标报价</w:t>
      </w:r>
    </w:p>
    <w:p w14:paraId="6D45106E">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文件确定采购范围的全部工作内容，以及 其响应文件编制与递交所涉及的一切费用。供应商以人民币为计量币种报价，并以人民币币种签约、结算。</w:t>
      </w:r>
    </w:p>
    <w:p w14:paraId="68EC80BC">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14:paraId="29604B75">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14:paraId="34D360E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14:paraId="4C622E2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1409DDB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5D9F0563">
      <w:pPr>
        <w:rPr>
          <w:rFonts w:hint="eastAsia" w:ascii="宋体" w:hAnsi="宋体"/>
          <w:b/>
          <w:bCs/>
          <w:color w:val="auto"/>
          <w:kern w:val="0"/>
          <w:sz w:val="30"/>
          <w:szCs w:val="30"/>
          <w:highlight w:val="none"/>
        </w:rPr>
      </w:pPr>
      <w:r>
        <w:rPr>
          <w:rFonts w:hint="eastAsia" w:ascii="宋体" w:hAnsi="宋体"/>
          <w:b/>
          <w:bCs/>
          <w:color w:val="auto"/>
          <w:kern w:val="0"/>
          <w:sz w:val="30"/>
          <w:szCs w:val="30"/>
          <w:highlight w:val="none"/>
        </w:rPr>
        <w:br w:type="page"/>
      </w:r>
    </w:p>
    <w:p w14:paraId="0CDF3790">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磋商</w:t>
      </w:r>
      <w:r>
        <w:rPr>
          <w:rFonts w:hint="eastAsia" w:ascii="宋体" w:hAnsi="宋体"/>
          <w:b/>
          <w:bCs/>
          <w:color w:val="auto"/>
          <w:kern w:val="0"/>
          <w:sz w:val="30"/>
          <w:szCs w:val="30"/>
          <w:highlight w:val="none"/>
        </w:rPr>
        <w:t>程序</w:t>
      </w:r>
    </w:p>
    <w:p w14:paraId="517D3F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（一）采购程序</w:t>
      </w:r>
    </w:p>
    <w:p w14:paraId="673A2F4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 xml:space="preserve">1.采购人在规定的投标截止时间（开标时间）和投标须知前附表规定的地点公开开标。本项目采用“远程不见面”的开标方式,载明远程开标大厅网址 </w:t>
      </w:r>
      <w:r>
        <w:rPr>
          <w:rFonts w:hint="eastAsia" w:ascii="宋体" w:hAnsi="宋体"/>
          <w:b w:val="0"/>
          <w:bCs w:val="0"/>
          <w:color w:val="auto"/>
          <w:kern w:val="0"/>
          <w:sz w:val="24"/>
          <w:szCs w:val="24"/>
          <w:highlight w:val="none"/>
          <w:lang w:eastAsia="zh-CN"/>
        </w:rPr>
        <w:t>（http://ggzy.jiaozuo.gov.cn/BidOpeningHall/bidhall/default/login）</w:t>
      </w:r>
      <w:r>
        <w:rPr>
          <w:rFonts w:hint="eastAsia" w:ascii="宋体" w:hAnsi="宋体"/>
          <w:b w:val="0"/>
          <w:bCs w:val="0"/>
          <w:color w:val="auto"/>
          <w:kern w:val="0"/>
          <w:sz w:val="24"/>
          <w:szCs w:val="24"/>
          <w:highlight w:val="none"/>
        </w:rPr>
        <w:t>。供应商无需到现场参加开标会议，无需到达现场提交原件资料。</w:t>
      </w:r>
      <w:r>
        <w:rPr>
          <w:rFonts w:hint="eastAsia" w:ascii="宋体" w:hAnsi="宋体"/>
          <w:b w:val="0"/>
          <w:bCs w:val="0"/>
          <w:color w:val="auto"/>
          <w:kern w:val="0"/>
          <w:sz w:val="24"/>
          <w:szCs w:val="24"/>
          <w:highlight w:val="none"/>
          <w:lang w:eastAsia="zh-CN"/>
        </w:rPr>
        <w:t>供应商应当投标截止前，</w:t>
      </w:r>
      <w:r>
        <w:rPr>
          <w:rFonts w:hint="eastAsia" w:ascii="宋体" w:hAnsi="宋体"/>
          <w:b w:val="0"/>
          <w:bCs w:val="0"/>
          <w:color w:val="auto"/>
          <w:kern w:val="0"/>
          <w:sz w:val="24"/>
          <w:szCs w:val="24"/>
          <w:highlight w:val="none"/>
        </w:rPr>
        <w:t>登录远程不见面开标大厅，</w:t>
      </w:r>
      <w:r>
        <w:rPr>
          <w:rFonts w:hint="eastAsia" w:ascii="宋体" w:hAnsi="宋体"/>
          <w:b w:val="0"/>
          <w:bCs w:val="0"/>
          <w:color w:val="auto"/>
          <w:kern w:val="0"/>
          <w:sz w:val="24"/>
          <w:szCs w:val="24"/>
          <w:highlight w:val="none"/>
          <w:lang w:eastAsia="zh-CN"/>
        </w:rPr>
        <w:t>在线准时参加开标活动并进行文件解密、答疑澄清等。</w:t>
      </w:r>
      <w:r>
        <w:rPr>
          <w:rFonts w:hint="eastAsia" w:ascii="宋体" w:hAnsi="宋体"/>
          <w:b w:val="0"/>
          <w:bCs w:val="0"/>
          <w:color w:val="auto"/>
          <w:kern w:val="0"/>
          <w:sz w:val="24"/>
          <w:szCs w:val="24"/>
          <w:highlight w:val="none"/>
        </w:rPr>
        <w:t>在规定时间内响应性文件未解密的供应商，视为放弃投标。</w:t>
      </w:r>
    </w:p>
    <w:p w14:paraId="3846635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2.所有响应性文件必须在本竞争性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文件中规定的时间进行签到、文件</w:t>
      </w:r>
    </w:p>
    <w:p w14:paraId="32E16CC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14:paraId="5AB568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3.供应商不足3家的，不得开标。</w:t>
      </w:r>
    </w:p>
    <w:p w14:paraId="7D136E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729372F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14:paraId="0FA62D4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5.供应商应准时参加开标会议，不能按时上传、解密者视为自动放弃投标。</w:t>
      </w:r>
    </w:p>
    <w:p w14:paraId="6C7DC44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6.会议由</w:t>
      </w:r>
      <w:r>
        <w:rPr>
          <w:rFonts w:hint="eastAsia" w:ascii="宋体" w:hAnsi="宋体" w:eastAsia="宋体" w:cs="宋体"/>
          <w:sz w:val="24"/>
          <w:szCs w:val="24"/>
          <w:highlight w:val="none"/>
          <w:lang w:val="en-US" w:eastAsia="zh-CN"/>
        </w:rPr>
        <w:t>河南中达豫通项目管理有限公司</w:t>
      </w:r>
      <w:r>
        <w:rPr>
          <w:rFonts w:hint="eastAsia" w:ascii="宋体" w:hAnsi="宋体"/>
          <w:b w:val="0"/>
          <w:bCs w:val="0"/>
          <w:color w:val="auto"/>
          <w:kern w:val="0"/>
          <w:sz w:val="24"/>
          <w:szCs w:val="24"/>
          <w:highlight w:val="none"/>
        </w:rPr>
        <w:t>主持：</w:t>
      </w:r>
    </w:p>
    <w:p w14:paraId="5106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14:paraId="424A9D6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14:paraId="6F43D3E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14:paraId="7493E9C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14:paraId="4E81A0B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代理机构将通过焦作市电子招投标交易平台公布采购项目名称、供应商名称、</w:t>
      </w:r>
      <w:r>
        <w:rPr>
          <w:rFonts w:hint="eastAsia" w:ascii="宋体" w:hAnsi="宋体" w:eastAsia="宋体" w:cs="宋体"/>
          <w:color w:val="auto"/>
          <w:sz w:val="24"/>
          <w:szCs w:val="24"/>
          <w:highlight w:val="none"/>
          <w:lang w:val="en-US" w:eastAsia="zh-CN"/>
        </w:rPr>
        <w:t>合同履行期限（供货安装期）</w:t>
      </w:r>
      <w:r>
        <w:rPr>
          <w:rFonts w:hint="eastAsia" w:ascii="宋体" w:hAnsi="宋体"/>
          <w:b w:val="0"/>
          <w:bCs w:val="0"/>
          <w:color w:val="auto"/>
          <w:kern w:val="0"/>
          <w:sz w:val="24"/>
          <w:szCs w:val="24"/>
          <w:highlight w:val="none"/>
        </w:rPr>
        <w:t>等其他内容，并记录在案；</w:t>
      </w:r>
    </w:p>
    <w:p w14:paraId="172D66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14:paraId="058084B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14:paraId="3ADF6F4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1" w:type="default"/>
          <w:pgSz w:w="11907" w:h="16839"/>
          <w:pgMar w:top="1431" w:right="1776" w:bottom="1569" w:left="1785" w:header="0" w:footer="1408" w:gutter="0"/>
          <w:pgNumType w:fmt="decimal"/>
          <w:cols w:space="720" w:num="1"/>
        </w:sectPr>
      </w:pPr>
    </w:p>
    <w:p w14:paraId="081DFE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14:paraId="5753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14:paraId="51BDD31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14:paraId="242AE3D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14:paraId="0EED510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14:paraId="05BE343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14:paraId="54F4859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14:paraId="500E23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14:paraId="208C47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14:paraId="1D7EA3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14:paraId="36395DE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14:paraId="45DE204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14:paraId="4B5447C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14:paraId="608C9CF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w:t>
      </w:r>
    </w:p>
    <w:p w14:paraId="2C3D495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 xml:space="preserve">7.1 </w:t>
      </w:r>
      <w:r>
        <w:rPr>
          <w:rFonts w:hint="eastAsia" w:ascii="宋体" w:hAnsi="宋体" w:eastAsia="宋体" w:cs="宋体"/>
          <w:sz w:val="24"/>
          <w:highlight w:val="none"/>
        </w:rPr>
        <w:t>进入</w:t>
      </w:r>
      <w:r>
        <w:rPr>
          <w:rFonts w:hint="eastAsia" w:ascii="宋体" w:hAnsi="宋体" w:eastAsia="宋体" w:cs="宋体"/>
          <w:sz w:val="24"/>
          <w:highlight w:val="none"/>
          <w:lang w:eastAsia="zh-CN"/>
        </w:rPr>
        <w:t>磋商</w:t>
      </w:r>
      <w:r>
        <w:rPr>
          <w:rFonts w:hint="eastAsia" w:ascii="宋体" w:hAnsi="宋体" w:eastAsia="宋体" w:cs="宋体"/>
          <w:sz w:val="24"/>
          <w:highlight w:val="none"/>
        </w:rPr>
        <w:t>阶段</w:t>
      </w:r>
      <w:r>
        <w:rPr>
          <w:rFonts w:hint="eastAsia" w:ascii="宋体" w:hAnsi="宋体" w:eastAsia="宋体" w:cs="宋体"/>
          <w:sz w:val="24"/>
          <w:highlight w:val="none"/>
          <w:lang w:eastAsia="zh-CN"/>
        </w:rPr>
        <w:t>，</w:t>
      </w:r>
      <w:r>
        <w:rPr>
          <w:rFonts w:hint="eastAsia" w:ascii="宋体" w:hAnsi="宋体"/>
          <w:b w:val="0"/>
          <w:bCs w:val="0"/>
          <w:color w:val="auto"/>
          <w:kern w:val="0"/>
          <w:sz w:val="24"/>
          <w:szCs w:val="24"/>
          <w:highlight w:val="none"/>
        </w:rPr>
        <w:t>采购人根据采购项目的特点依法组建竞争性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w:t>
      </w:r>
    </w:p>
    <w:p w14:paraId="45F2DF4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小组由采购人代表和政府采购专家</w:t>
      </w:r>
    </w:p>
    <w:p w14:paraId="2ECDF043">
      <w:pPr>
        <w:pageBreakBefore w:val="0"/>
        <w:widowControl/>
        <w:kinsoku/>
        <w:wordWrap/>
        <w:overflowPunct/>
        <w:topLinePunct w:val="0"/>
        <w:bidi w:val="0"/>
        <w:spacing w:beforeAutospacing="0" w:afterAutospacing="0" w:line="360" w:lineRule="auto"/>
        <w:jc w:val="both"/>
        <w:rPr>
          <w:rFonts w:hint="eastAsia" w:ascii="宋体" w:hAnsi="宋体" w:eastAsia="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库中随机抽取的评审专家共3人组成</w:t>
      </w:r>
      <w:r>
        <w:rPr>
          <w:rFonts w:hint="eastAsia" w:ascii="宋体" w:hAnsi="宋体"/>
          <w:b w:val="0"/>
          <w:bCs w:val="0"/>
          <w:color w:val="auto"/>
          <w:kern w:val="0"/>
          <w:sz w:val="24"/>
          <w:szCs w:val="24"/>
          <w:highlight w:val="none"/>
          <w:lang w:eastAsia="zh-CN"/>
        </w:rPr>
        <w:t>，</w:t>
      </w:r>
      <w:r>
        <w:rPr>
          <w:rFonts w:hint="eastAsia" w:ascii="宋体" w:hAnsi="宋体" w:eastAsia="宋体" w:cs="宋体"/>
          <w:sz w:val="24"/>
          <w:highlight w:val="none"/>
          <w:lang w:eastAsia="zh-CN"/>
        </w:rPr>
        <w:t>磋商</w:t>
      </w:r>
      <w:r>
        <w:rPr>
          <w:rFonts w:hint="eastAsia" w:ascii="宋体" w:hAnsi="宋体" w:eastAsia="宋体" w:cs="宋体"/>
          <w:sz w:val="24"/>
          <w:highlight w:val="none"/>
        </w:rPr>
        <w:t>小组对</w:t>
      </w: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响应文件进行审查、质疑、评估和比较</w:t>
      </w:r>
      <w:r>
        <w:rPr>
          <w:rFonts w:hint="eastAsia" w:ascii="宋体" w:hAnsi="宋体" w:eastAsia="宋体" w:cs="宋体"/>
          <w:sz w:val="24"/>
          <w:highlight w:val="none"/>
          <w:lang w:eastAsia="zh-CN"/>
        </w:rPr>
        <w:t>。</w:t>
      </w:r>
    </w:p>
    <w:p w14:paraId="037874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 xml:space="preserve">7.2 </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小组负责具体的评标事务，并独立履行以下职责：</w:t>
      </w:r>
    </w:p>
    <w:p w14:paraId="6E4F6D3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文件的实质性要求；</w:t>
      </w:r>
    </w:p>
    <w:p w14:paraId="2FB543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14:paraId="1B0A23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14:paraId="4F4032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14:paraId="2A54E6B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14:paraId="4E5ED9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小组的缺席、回避或者健康等特殊原因导致</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小组组</w:t>
      </w:r>
    </w:p>
    <w:p w14:paraId="0EFD40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14:paraId="39E39C6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小组成员所作出的评标意见无效。</w:t>
      </w:r>
    </w:p>
    <w:p w14:paraId="4EDF63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小组成员的，采购人或者采购代理机构应当停止评 标活动，封存所有响应性文件和开标、评标资料，依法重新组建</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小组进行</w:t>
      </w:r>
    </w:p>
    <w:p w14:paraId="6B54EAC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小组所作出的评标意见无效。</w:t>
      </w:r>
    </w:p>
    <w:p w14:paraId="750847B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小组的情况予以</w:t>
      </w:r>
    </w:p>
    <w:p w14:paraId="639B171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14:paraId="6BF17B6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 xml:space="preserve">7.6 </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小组应当对符合资格的供应商的响应性文件进行资格性审查，以</w:t>
      </w:r>
    </w:p>
    <w:p w14:paraId="6EA3D9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文件的实质性要求。</w:t>
      </w:r>
    </w:p>
    <w:p w14:paraId="4116A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 xml:space="preserve">7.7 </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小组成员要依法独立评审，并对评审意见承担个人责任。</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小组对需要共同认定的事项存在争议的，按照少数服从多数的原则做出结论。持不同意见的</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小组成员应当在评标报告上签署不同意见并说明理由，否则视为同意。</w:t>
      </w:r>
    </w:p>
    <w:p w14:paraId="3F96723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8.符合性审查</w:t>
      </w:r>
    </w:p>
    <w:p w14:paraId="7CBFE63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 的规定，从响应性文件的有效性、完整性和对</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文件的响应程度，审查响应性文件是否对</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文件的实质性要求作出了响应。</w:t>
      </w:r>
    </w:p>
    <w:p w14:paraId="240C8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2F18D3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文件的全部条款、条件和规格相符，没有重大偏离。</w:t>
      </w:r>
    </w:p>
    <w:p w14:paraId="1F47B4A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重大偏离是指供应商所投标的范围、质量、服务等明显不能满足招标文件的要求，或者实质上与</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文件不一致，而且限制了采购人的权利或投标的义务，纠正这些偏离将对其他实质性响应要求的供应商的竞争地位产生不公正的影响。重大偏离的认定须经</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小组三分之二以上同意。</w:t>
      </w:r>
    </w:p>
    <w:p w14:paraId="5A88B9D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文件的要求，将作为无效投标处 理，供应商不得再对响应性文件进行任何修正从而使其投标成为实质上响应的投标。</w:t>
      </w:r>
    </w:p>
    <w:p w14:paraId="3BA3A5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小组审定响应文件的响应性只根据响应文件本身的内容而</w:t>
      </w:r>
    </w:p>
    <w:p w14:paraId="5EE25D9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14:paraId="72B7B74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小组对竞争性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响应文件进行审查、质疑、评估和比较。</w:t>
      </w:r>
    </w:p>
    <w:p w14:paraId="5B27803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85" w:bottom="1569" w:left="1785" w:header="0" w:footer="1408" w:gutter="0"/>
          <w:pgNumType w:fmt="decimal"/>
          <w:cols w:space="720" w:num="1"/>
        </w:sectPr>
      </w:pPr>
    </w:p>
    <w:p w14:paraId="05C2CA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小组在竞争性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文件规定的时间和地点对供应商的响应 性文件进行审查，竞争性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小组发起二轮报价，通过初步审查的供应商在规</w:t>
      </w:r>
    </w:p>
    <w:p w14:paraId="114EB9C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14:paraId="75DFBCC8">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14:paraId="1851FCFF">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14:paraId="1D9FE46A">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w:t>
      </w:r>
      <w:r>
        <w:rPr>
          <w:rFonts w:hint="eastAsia" w:ascii="宋体" w:hAnsi="宋体"/>
          <w:b/>
          <w:bCs/>
          <w:color w:val="auto"/>
          <w:kern w:val="0"/>
          <w:sz w:val="24"/>
          <w:szCs w:val="24"/>
          <w:highlight w:val="none"/>
          <w:lang w:eastAsia="zh-CN"/>
        </w:rPr>
        <w:t>、</w:t>
      </w:r>
      <w:r>
        <w:rPr>
          <w:rFonts w:hint="eastAsia" w:ascii="宋体" w:hAnsi="宋体" w:eastAsia="宋体" w:cs="宋体"/>
          <w:b/>
          <w:bCs/>
          <w:sz w:val="24"/>
          <w:highlight w:val="none"/>
          <w:lang w:eastAsia="zh-CN"/>
        </w:rPr>
        <w:t>投标供应商未在规定时间内递交第二轮磋商报价时，该投标供应商</w:t>
      </w:r>
      <w:r>
        <w:rPr>
          <w:rFonts w:hint="eastAsia" w:ascii="宋体" w:hAnsi="宋体" w:eastAsia="宋体" w:cs="宋体"/>
          <w:b/>
          <w:bCs/>
          <w:sz w:val="24"/>
          <w:highlight w:val="none"/>
          <w:lang w:val="en-US" w:eastAsia="zh-CN"/>
        </w:rPr>
        <w:t>报价以第一轮报价为准</w:t>
      </w:r>
      <w:r>
        <w:rPr>
          <w:rFonts w:hint="eastAsia" w:ascii="宋体" w:hAnsi="宋体"/>
          <w:b/>
          <w:bCs/>
          <w:color w:val="auto"/>
          <w:kern w:val="0"/>
          <w:sz w:val="24"/>
          <w:szCs w:val="24"/>
          <w:highlight w:val="none"/>
        </w:rPr>
        <w:t>。</w:t>
      </w:r>
    </w:p>
    <w:p w14:paraId="35007E96">
      <w:pPr>
        <w:pageBreakBefore w:val="0"/>
        <w:widowControl/>
        <w:numPr>
          <w:ilvl w:val="0"/>
          <w:numId w:val="2"/>
        </w:numPr>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eastAsia="宋体" w:cs="宋体"/>
          <w:sz w:val="24"/>
          <w:highlight w:val="none"/>
          <w:lang w:val="en-US" w:eastAsia="zh-CN"/>
        </w:rPr>
        <w:t>经磋商确定最终采购需求和提交最后报价的供应商后，磋商小组采用综合评分法对提交最后报价的供应商的响应性文件和最后报价进行综合评分</w:t>
      </w:r>
      <w:r>
        <w:rPr>
          <w:rFonts w:hint="eastAsia" w:ascii="宋体" w:hAnsi="宋体"/>
          <w:b w:val="0"/>
          <w:bCs w:val="0"/>
          <w:color w:val="auto"/>
          <w:kern w:val="0"/>
          <w:sz w:val="24"/>
          <w:szCs w:val="24"/>
          <w:highlight w:val="none"/>
        </w:rPr>
        <w:t>。</w:t>
      </w:r>
    </w:p>
    <w:p w14:paraId="4E2109E9">
      <w:pPr>
        <w:pageBreakBefore w:val="0"/>
        <w:widowControl/>
        <w:numPr>
          <w:ilvl w:val="0"/>
          <w:numId w:val="0"/>
        </w:numPr>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0BCD8E4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文件确定 的事项签订政府采购合同。采购人与成交人签订政府采购合同。合同中的主要条款要与竞争性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文件中的合同条款一致。</w:t>
      </w:r>
    </w:p>
    <w:p w14:paraId="2C0C77C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14:paraId="40D3B31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13. 在</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期间，供应商不得向竞争性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小组成员询问其它供应商</w:t>
      </w:r>
      <w:r>
        <w:rPr>
          <w:rFonts w:hint="eastAsia" w:ascii="宋体" w:hAnsi="宋体"/>
          <w:b w:val="0"/>
          <w:bCs w:val="0"/>
          <w:color w:val="auto"/>
          <w:kern w:val="0"/>
          <w:sz w:val="24"/>
          <w:szCs w:val="24"/>
          <w:highlight w:val="none"/>
          <w:lang w:eastAsia="zh-CN"/>
        </w:rPr>
        <w:t>磋商</w:t>
      </w:r>
    </w:p>
    <w:p w14:paraId="4340403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14:paraId="373035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小组将对响应文件中有关问题分别向供应商进行询问， 请各供应商予以口头答复，并形成书面答复，经法定代表人或其委托代理人签署。答复文件将作为投标的组成部分。为保证成交结果的公正性，竞争性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小组成员不得与供应商私下接触。确定成交人前，凡与</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情况有接触的任何人不得将</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情况泄密。采购小组不向未成交方解释原因，不退还响应文件。</w:t>
      </w:r>
    </w:p>
    <w:p w14:paraId="117CF1D8">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14:paraId="5678A8AF">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1、经磋商确定最终采购需求和提交最后报价的供应商后，磋商小组采用综合评分法对提交最后报价的供应商的响应性文件和最后报价进行综合评分。</w:t>
      </w:r>
    </w:p>
    <w:p w14:paraId="1A4BA66A">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2、对通过资格性审查和符合性审查的响应性文件，本项目采用综合评分法，总分为100分。</w:t>
      </w:r>
    </w:p>
    <w:p w14:paraId="5931A084">
      <w:pPr>
        <w:spacing w:line="312" w:lineRule="auto"/>
        <w:jc w:val="center"/>
        <w:rPr>
          <w:rFonts w:hint="eastAsia" w:ascii="宋体" w:hAnsi="宋体" w:cs="宋体"/>
          <w:b/>
          <w:bCs/>
          <w:color w:val="auto"/>
          <w:szCs w:val="28"/>
          <w:highlight w:val="none"/>
        </w:rPr>
      </w:pPr>
    </w:p>
    <w:p w14:paraId="586F0094">
      <w:pPr>
        <w:spacing w:line="312" w:lineRule="auto"/>
        <w:jc w:val="center"/>
        <w:rPr>
          <w:rFonts w:hint="eastAsia" w:ascii="宋体" w:hAnsi="宋体" w:eastAsia="宋体" w:cs="宋体"/>
          <w:b w:val="0"/>
          <w:bCs/>
          <w:kern w:val="0"/>
          <w:sz w:val="24"/>
          <w:highlight w:val="none"/>
        </w:rPr>
      </w:pPr>
      <w:r>
        <w:rPr>
          <w:rFonts w:hint="eastAsia" w:ascii="宋体" w:hAnsi="宋体" w:cs="宋体"/>
          <w:b/>
          <w:bCs/>
          <w:color w:val="auto"/>
          <w:szCs w:val="28"/>
          <w:highlight w:val="none"/>
        </w:rPr>
        <w:t>评审标准</w:t>
      </w:r>
      <w:r>
        <w:rPr>
          <w:rFonts w:hint="eastAsia" w:ascii="宋体" w:hAnsi="宋体" w:cs="宋体"/>
          <w:b/>
          <w:bCs/>
          <w:color w:val="auto"/>
          <w:szCs w:val="28"/>
          <w:highlight w:val="none"/>
          <w:lang w:val="en-US" w:eastAsia="zh-CN"/>
        </w:rPr>
        <w:t>及办法</w:t>
      </w:r>
    </w:p>
    <w:tbl>
      <w:tblPr>
        <w:tblStyle w:val="17"/>
        <w:tblpPr w:leftFromText="180" w:rightFromText="180" w:vertAnchor="text" w:horzAnchor="page" w:tblpX="1111" w:tblpY="581"/>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850"/>
        <w:gridCol w:w="6234"/>
      </w:tblGrid>
      <w:tr w14:paraId="67AF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3860" w:type="dxa"/>
            <w:gridSpan w:val="2"/>
            <w:noWrap w:val="0"/>
            <w:vAlign w:val="center"/>
          </w:tcPr>
          <w:p w14:paraId="1DAB2417">
            <w:pPr>
              <w:spacing w:line="360" w:lineRule="auto"/>
              <w:jc w:val="center"/>
              <w:rPr>
                <w:rFonts w:hint="eastAsia" w:ascii="宋体" w:hAnsi="宋体" w:eastAsia="宋体" w:cs="宋体"/>
                <w:b w:val="0"/>
                <w:bCs/>
                <w:sz w:val="24"/>
                <w:highlight w:val="none"/>
              </w:rPr>
            </w:pPr>
            <w:r>
              <w:rPr>
                <w:rFonts w:hint="eastAsia" w:ascii="宋体" w:hAnsi="宋体" w:eastAsia="宋体" w:cs="宋体"/>
                <w:b w:val="0"/>
                <w:bCs/>
                <w:sz w:val="24"/>
                <w:highlight w:val="none"/>
              </w:rPr>
              <w:t>评审因素</w:t>
            </w:r>
          </w:p>
        </w:tc>
        <w:tc>
          <w:tcPr>
            <w:tcW w:w="6234" w:type="dxa"/>
            <w:noWrap w:val="0"/>
            <w:vAlign w:val="center"/>
          </w:tcPr>
          <w:p w14:paraId="6F780B45">
            <w:pPr>
              <w:spacing w:line="360" w:lineRule="auto"/>
              <w:jc w:val="center"/>
              <w:rPr>
                <w:rFonts w:hint="eastAsia" w:ascii="宋体" w:hAnsi="宋体" w:eastAsia="宋体" w:cs="宋体"/>
                <w:b w:val="0"/>
                <w:bCs/>
                <w:sz w:val="24"/>
                <w:highlight w:val="none"/>
              </w:rPr>
            </w:pPr>
            <w:r>
              <w:rPr>
                <w:rFonts w:hint="eastAsia" w:ascii="宋体" w:hAnsi="宋体" w:eastAsia="宋体" w:cs="宋体"/>
                <w:b w:val="0"/>
                <w:bCs/>
                <w:sz w:val="24"/>
                <w:highlight w:val="none"/>
              </w:rPr>
              <w:t>评审标准</w:t>
            </w:r>
          </w:p>
        </w:tc>
      </w:tr>
      <w:tr w14:paraId="03C4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1010" w:type="dxa"/>
            <w:vMerge w:val="restart"/>
            <w:noWrap w:val="0"/>
            <w:vAlign w:val="center"/>
          </w:tcPr>
          <w:p w14:paraId="2E591A3D">
            <w:pPr>
              <w:jc w:val="center"/>
              <w:rPr>
                <w:rFonts w:hint="eastAsia" w:ascii="宋体" w:hAnsi="宋体" w:eastAsia="宋体" w:cs="宋体"/>
                <w:sz w:val="24"/>
                <w:highlight w:val="none"/>
              </w:rPr>
            </w:pPr>
            <w:r>
              <w:rPr>
                <w:rFonts w:hint="eastAsia" w:ascii="宋体" w:hAnsi="宋体" w:eastAsia="宋体" w:cs="宋体"/>
                <w:sz w:val="24"/>
                <w:highlight w:val="none"/>
              </w:rPr>
              <w:t>一、资格评审标准</w:t>
            </w:r>
          </w:p>
        </w:tc>
        <w:tc>
          <w:tcPr>
            <w:tcW w:w="2850" w:type="dxa"/>
            <w:noWrap w:val="0"/>
            <w:vAlign w:val="center"/>
          </w:tcPr>
          <w:p w14:paraId="64F7406A">
            <w:pPr>
              <w:jc w:val="center"/>
              <w:rPr>
                <w:rFonts w:hint="eastAsia" w:ascii="宋体" w:hAnsi="宋体" w:eastAsia="宋体" w:cs="宋体"/>
                <w:sz w:val="24"/>
                <w:highlight w:val="none"/>
                <w:lang w:val="en-US" w:eastAsia="zh-CN"/>
              </w:rPr>
            </w:pPr>
            <w:r>
              <w:rPr>
                <w:rFonts w:hint="eastAsia" w:ascii="宋体" w:hAnsi="宋体" w:eastAsia="宋体" w:cs="宋体"/>
                <w:sz w:val="21"/>
                <w:szCs w:val="21"/>
                <w:highlight w:val="none"/>
                <w:lang w:val="en-US" w:eastAsia="zh-CN"/>
              </w:rPr>
              <w:t>符合《中华人民共和国政府采购法》第二十二条之规定</w:t>
            </w:r>
          </w:p>
        </w:tc>
        <w:tc>
          <w:tcPr>
            <w:tcW w:w="6234" w:type="dxa"/>
            <w:noWrap w:val="0"/>
            <w:vAlign w:val="center"/>
          </w:tcPr>
          <w:p w14:paraId="6DE3928B">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供应商提供的资格证明承诺函</w:t>
            </w:r>
          </w:p>
        </w:tc>
      </w:tr>
      <w:tr w14:paraId="46E7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trPr>
        <w:tc>
          <w:tcPr>
            <w:tcW w:w="1010" w:type="dxa"/>
            <w:vMerge w:val="continue"/>
            <w:noWrap w:val="0"/>
            <w:vAlign w:val="center"/>
          </w:tcPr>
          <w:p w14:paraId="6E934EFF">
            <w:pPr>
              <w:jc w:val="center"/>
              <w:rPr>
                <w:rFonts w:hint="eastAsia" w:ascii="宋体" w:hAnsi="宋体" w:eastAsia="宋体" w:cs="宋体"/>
                <w:sz w:val="24"/>
                <w:highlight w:val="none"/>
              </w:rPr>
            </w:pPr>
          </w:p>
        </w:tc>
        <w:tc>
          <w:tcPr>
            <w:tcW w:w="2850" w:type="dxa"/>
            <w:noWrap w:val="0"/>
            <w:vAlign w:val="center"/>
          </w:tcPr>
          <w:p w14:paraId="0425E763">
            <w:pPr>
              <w:jc w:val="center"/>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具有医疗器械经营许可证或医疗器械经营备案凭证或生产许可证</w:t>
            </w:r>
          </w:p>
        </w:tc>
        <w:tc>
          <w:tcPr>
            <w:tcW w:w="6234" w:type="dxa"/>
            <w:noWrap w:val="0"/>
            <w:vAlign w:val="center"/>
          </w:tcPr>
          <w:p w14:paraId="3483A37C">
            <w:pPr>
              <w:jc w:val="center"/>
              <w:rPr>
                <w:rFonts w:hint="eastAsia" w:ascii="宋体" w:hAnsi="宋体" w:eastAsia="宋体" w:cs="宋体"/>
                <w:sz w:val="24"/>
                <w:highlight w:val="none"/>
                <w:lang w:eastAsia="zh-CN"/>
              </w:rPr>
            </w:pPr>
            <w:r>
              <w:rPr>
                <w:rFonts w:hint="eastAsia" w:ascii="宋体" w:hAnsi="宋体" w:eastAsia="宋体" w:cs="宋体"/>
                <w:sz w:val="24"/>
                <w:szCs w:val="24"/>
                <w:highlight w:val="none"/>
                <w:lang w:val="en-US" w:eastAsia="zh-CN"/>
              </w:rPr>
              <w:t>具有医疗器械经营许可证或医疗器械经营备案凭证或生产许可证</w:t>
            </w:r>
          </w:p>
        </w:tc>
      </w:tr>
      <w:tr w14:paraId="3107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exact"/>
        </w:trPr>
        <w:tc>
          <w:tcPr>
            <w:tcW w:w="1010" w:type="dxa"/>
            <w:vMerge w:val="continue"/>
            <w:noWrap w:val="0"/>
            <w:vAlign w:val="center"/>
          </w:tcPr>
          <w:p w14:paraId="2F2FCC80">
            <w:pPr>
              <w:jc w:val="center"/>
              <w:rPr>
                <w:rFonts w:hint="eastAsia" w:ascii="宋体" w:hAnsi="宋体" w:eastAsia="宋体" w:cs="宋体"/>
                <w:sz w:val="24"/>
                <w:highlight w:val="none"/>
              </w:rPr>
            </w:pPr>
          </w:p>
        </w:tc>
        <w:tc>
          <w:tcPr>
            <w:tcW w:w="2850" w:type="dxa"/>
            <w:noWrap w:val="0"/>
            <w:vAlign w:val="center"/>
          </w:tcPr>
          <w:p w14:paraId="6FF8EE98">
            <w:pPr>
              <w:jc w:val="center"/>
              <w:rPr>
                <w:rFonts w:hint="eastAsia" w:ascii="宋体" w:hAnsi="宋体" w:eastAsia="宋体" w:cs="宋体"/>
                <w:sz w:val="24"/>
                <w:highlight w:val="none"/>
              </w:rPr>
            </w:pPr>
            <w:r>
              <w:rPr>
                <w:rFonts w:hint="eastAsia" w:ascii="宋体" w:hAnsi="宋体" w:eastAsia="宋体" w:cs="宋体"/>
                <w:sz w:val="24"/>
                <w:highlight w:val="none"/>
              </w:rPr>
              <w:t>信誉要求</w:t>
            </w:r>
          </w:p>
        </w:tc>
        <w:tc>
          <w:tcPr>
            <w:tcW w:w="6234" w:type="dxa"/>
            <w:noWrap w:val="0"/>
            <w:vAlign w:val="center"/>
          </w:tcPr>
          <w:p w14:paraId="302AC7FC">
            <w:pPr>
              <w:pStyle w:val="9"/>
              <w:spacing w:line="440" w:lineRule="exact"/>
              <w:ind w:firstLine="480" w:firstLineChars="200"/>
              <w:rPr>
                <w:rFonts w:hint="eastAsia" w:ascii="宋体" w:hAnsi="宋体" w:eastAsia="宋体" w:cs="宋体"/>
                <w:sz w:val="24"/>
                <w:highlight w:val="none"/>
              </w:rPr>
            </w:pPr>
            <w:r>
              <w:rPr>
                <w:rFonts w:hint="eastAsia" w:ascii="宋体" w:hAnsi="宋体" w:eastAsia="宋体" w:cs="宋体"/>
                <w:bCs/>
                <w:kern w:val="0"/>
                <w:sz w:val="24"/>
                <w:highlight w:val="none"/>
              </w:rPr>
              <w:t>按照《财政部关于在政府采购活动中查询及使用信用记录有关问题的通知》（财库〔2016〕125号）的要求，根据磋商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tc>
      </w:tr>
      <w:tr w14:paraId="4F4B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010" w:type="dxa"/>
            <w:vMerge w:val="restart"/>
            <w:noWrap w:val="0"/>
            <w:vAlign w:val="center"/>
          </w:tcPr>
          <w:p w14:paraId="02F0BB0B">
            <w:pPr>
              <w:jc w:val="center"/>
              <w:rPr>
                <w:rFonts w:hint="eastAsia" w:ascii="宋体" w:hAnsi="宋体" w:eastAsia="宋体" w:cs="宋体"/>
                <w:sz w:val="24"/>
                <w:highlight w:val="none"/>
              </w:rPr>
            </w:pPr>
            <w:r>
              <w:rPr>
                <w:rFonts w:hint="eastAsia" w:ascii="宋体" w:hAnsi="宋体" w:eastAsia="宋体" w:cs="宋体"/>
                <w:sz w:val="24"/>
                <w:highlight w:val="none"/>
              </w:rPr>
              <w:t>二、形式评审标准</w:t>
            </w:r>
          </w:p>
        </w:tc>
        <w:tc>
          <w:tcPr>
            <w:tcW w:w="2850" w:type="dxa"/>
            <w:noWrap w:val="0"/>
            <w:vAlign w:val="center"/>
          </w:tcPr>
          <w:p w14:paraId="214432C9">
            <w:pPr>
              <w:jc w:val="center"/>
              <w:rPr>
                <w:rFonts w:hint="eastAsia" w:ascii="宋体" w:hAnsi="宋体" w:eastAsia="宋体" w:cs="宋体"/>
                <w:sz w:val="24"/>
                <w:highlight w:val="none"/>
              </w:rPr>
            </w:pPr>
            <w:r>
              <w:rPr>
                <w:rFonts w:hint="eastAsia" w:ascii="宋体" w:hAnsi="宋体" w:eastAsia="宋体" w:cs="宋体"/>
                <w:sz w:val="24"/>
                <w:highlight w:val="none"/>
              </w:rPr>
              <w:t>投标人名称</w:t>
            </w:r>
          </w:p>
        </w:tc>
        <w:tc>
          <w:tcPr>
            <w:tcW w:w="6234" w:type="dxa"/>
            <w:noWrap w:val="0"/>
            <w:vAlign w:val="center"/>
          </w:tcPr>
          <w:p w14:paraId="4780DBCA">
            <w:pPr>
              <w:rPr>
                <w:rFonts w:hint="eastAsia" w:ascii="宋体" w:hAnsi="宋体" w:eastAsia="宋体" w:cs="宋体"/>
                <w:sz w:val="24"/>
                <w:highlight w:val="none"/>
              </w:rPr>
            </w:pPr>
            <w:r>
              <w:rPr>
                <w:rFonts w:hint="eastAsia" w:ascii="宋体" w:hAnsi="宋体" w:eastAsia="宋体" w:cs="宋体"/>
                <w:sz w:val="24"/>
                <w:highlight w:val="none"/>
              </w:rPr>
              <w:t>与营业执照等证件一致</w:t>
            </w:r>
          </w:p>
        </w:tc>
      </w:tr>
      <w:tr w14:paraId="0407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10" w:type="dxa"/>
            <w:vMerge w:val="continue"/>
            <w:noWrap w:val="0"/>
            <w:vAlign w:val="center"/>
          </w:tcPr>
          <w:p w14:paraId="3524241F">
            <w:pPr>
              <w:jc w:val="center"/>
              <w:rPr>
                <w:rFonts w:hint="eastAsia" w:ascii="宋体" w:hAnsi="宋体" w:eastAsia="宋体" w:cs="宋体"/>
                <w:sz w:val="24"/>
                <w:highlight w:val="none"/>
              </w:rPr>
            </w:pPr>
          </w:p>
        </w:tc>
        <w:tc>
          <w:tcPr>
            <w:tcW w:w="2850" w:type="dxa"/>
            <w:noWrap w:val="0"/>
            <w:vAlign w:val="center"/>
          </w:tcPr>
          <w:p w14:paraId="2E6F300C">
            <w:pPr>
              <w:jc w:val="center"/>
              <w:rPr>
                <w:rFonts w:hint="eastAsia" w:ascii="宋体" w:hAnsi="宋体" w:eastAsia="宋体" w:cs="宋体"/>
                <w:sz w:val="24"/>
                <w:highlight w:val="none"/>
              </w:rPr>
            </w:pPr>
            <w:r>
              <w:rPr>
                <w:rFonts w:hint="eastAsia" w:ascii="宋体" w:hAnsi="宋体" w:eastAsia="宋体" w:cs="宋体"/>
                <w:sz w:val="24"/>
                <w:highlight w:val="none"/>
              </w:rPr>
              <w:t>投标函签字盖章</w:t>
            </w:r>
          </w:p>
        </w:tc>
        <w:tc>
          <w:tcPr>
            <w:tcW w:w="6234" w:type="dxa"/>
            <w:noWrap w:val="0"/>
            <w:vAlign w:val="center"/>
          </w:tcPr>
          <w:p w14:paraId="4B15AA34">
            <w:pPr>
              <w:rPr>
                <w:rFonts w:hint="eastAsia" w:ascii="宋体" w:hAnsi="宋体" w:eastAsia="宋体" w:cs="宋体"/>
                <w:sz w:val="24"/>
                <w:highlight w:val="none"/>
              </w:rPr>
            </w:pPr>
            <w:r>
              <w:rPr>
                <w:rFonts w:hint="eastAsia" w:ascii="宋体" w:hAnsi="宋体" w:eastAsia="宋体" w:cs="宋体"/>
                <w:sz w:val="24"/>
                <w:highlight w:val="none"/>
              </w:rPr>
              <w:t>加盖企业公章并有法定代表人或其委托代理人签字或盖章</w:t>
            </w:r>
          </w:p>
        </w:tc>
      </w:tr>
      <w:tr w14:paraId="1B6A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010" w:type="dxa"/>
            <w:vMerge w:val="continue"/>
            <w:noWrap w:val="0"/>
            <w:vAlign w:val="center"/>
          </w:tcPr>
          <w:p w14:paraId="23C14BB8">
            <w:pPr>
              <w:jc w:val="center"/>
              <w:rPr>
                <w:rFonts w:hint="eastAsia" w:ascii="宋体" w:hAnsi="宋体" w:eastAsia="宋体" w:cs="宋体"/>
                <w:sz w:val="24"/>
                <w:highlight w:val="none"/>
              </w:rPr>
            </w:pPr>
          </w:p>
        </w:tc>
        <w:tc>
          <w:tcPr>
            <w:tcW w:w="2850" w:type="dxa"/>
            <w:noWrap w:val="0"/>
            <w:vAlign w:val="center"/>
          </w:tcPr>
          <w:p w14:paraId="4E0D8E72">
            <w:pPr>
              <w:jc w:val="center"/>
              <w:rPr>
                <w:rFonts w:hint="eastAsia" w:ascii="宋体" w:hAnsi="宋体" w:eastAsia="宋体" w:cs="宋体"/>
                <w:sz w:val="24"/>
                <w:highlight w:val="none"/>
              </w:rPr>
            </w:pPr>
            <w:r>
              <w:rPr>
                <w:rFonts w:hint="eastAsia" w:ascii="宋体" w:hAnsi="宋体" w:eastAsia="宋体" w:cs="宋体"/>
                <w:sz w:val="24"/>
                <w:highlight w:val="none"/>
              </w:rPr>
              <w:t>商务报价</w:t>
            </w:r>
          </w:p>
        </w:tc>
        <w:tc>
          <w:tcPr>
            <w:tcW w:w="6234" w:type="dxa"/>
            <w:noWrap w:val="0"/>
            <w:vAlign w:val="center"/>
          </w:tcPr>
          <w:p w14:paraId="4F80EACB">
            <w:pPr>
              <w:rPr>
                <w:rFonts w:hint="eastAsia" w:ascii="宋体" w:hAnsi="宋体" w:eastAsia="宋体" w:cs="宋体"/>
                <w:sz w:val="24"/>
                <w:highlight w:val="none"/>
              </w:rPr>
            </w:pPr>
            <w:r>
              <w:rPr>
                <w:rFonts w:hint="eastAsia" w:ascii="宋体" w:hAnsi="宋体" w:eastAsia="宋体" w:cs="宋体"/>
                <w:sz w:val="24"/>
                <w:highlight w:val="none"/>
              </w:rPr>
              <w:t>只能有一个有效报价，且不超过采购预算价</w:t>
            </w:r>
          </w:p>
        </w:tc>
      </w:tr>
      <w:tr w14:paraId="71F3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1010" w:type="dxa"/>
            <w:vMerge w:val="continue"/>
            <w:noWrap w:val="0"/>
            <w:vAlign w:val="center"/>
          </w:tcPr>
          <w:p w14:paraId="37A6D3CB">
            <w:pPr>
              <w:jc w:val="center"/>
              <w:rPr>
                <w:rFonts w:hint="eastAsia" w:ascii="宋体" w:hAnsi="宋体" w:eastAsia="宋体" w:cs="宋体"/>
                <w:sz w:val="24"/>
                <w:highlight w:val="none"/>
              </w:rPr>
            </w:pPr>
          </w:p>
        </w:tc>
        <w:tc>
          <w:tcPr>
            <w:tcW w:w="2850" w:type="dxa"/>
            <w:noWrap w:val="0"/>
            <w:vAlign w:val="center"/>
          </w:tcPr>
          <w:p w14:paraId="1456F565">
            <w:pPr>
              <w:jc w:val="center"/>
              <w:rPr>
                <w:rFonts w:hint="eastAsia" w:ascii="宋体" w:hAnsi="宋体" w:eastAsia="宋体" w:cs="宋体"/>
                <w:sz w:val="24"/>
                <w:highlight w:val="none"/>
              </w:rPr>
            </w:pPr>
            <w:r>
              <w:rPr>
                <w:rFonts w:hint="eastAsia" w:ascii="宋体" w:hAnsi="宋体" w:eastAsia="宋体" w:cs="宋体"/>
                <w:sz w:val="24"/>
                <w:highlight w:val="none"/>
              </w:rPr>
              <w:t>响应性文件格式</w:t>
            </w:r>
          </w:p>
        </w:tc>
        <w:tc>
          <w:tcPr>
            <w:tcW w:w="6234" w:type="dxa"/>
            <w:noWrap w:val="0"/>
            <w:vAlign w:val="center"/>
          </w:tcPr>
          <w:p w14:paraId="019FF707">
            <w:pPr>
              <w:rPr>
                <w:rFonts w:hint="eastAsia" w:ascii="宋体" w:hAnsi="宋体" w:eastAsia="宋体" w:cs="宋体"/>
                <w:sz w:val="24"/>
                <w:highlight w:val="none"/>
              </w:rPr>
            </w:pPr>
            <w:r>
              <w:rPr>
                <w:rFonts w:hint="eastAsia" w:ascii="宋体" w:hAnsi="宋体" w:eastAsia="宋体" w:cs="宋体"/>
                <w:sz w:val="24"/>
                <w:highlight w:val="none"/>
              </w:rPr>
              <w:t>基本符合竞争性磋商文件格式要求</w:t>
            </w:r>
          </w:p>
        </w:tc>
      </w:tr>
      <w:tr w14:paraId="087E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010" w:type="dxa"/>
            <w:vMerge w:val="restart"/>
            <w:noWrap w:val="0"/>
            <w:vAlign w:val="center"/>
          </w:tcPr>
          <w:p w14:paraId="38B7BEC3">
            <w:pPr>
              <w:jc w:val="center"/>
              <w:rPr>
                <w:rFonts w:hint="eastAsia" w:ascii="宋体" w:hAnsi="宋体" w:eastAsia="宋体" w:cs="宋体"/>
                <w:sz w:val="24"/>
                <w:highlight w:val="none"/>
              </w:rPr>
            </w:pPr>
            <w:r>
              <w:rPr>
                <w:rFonts w:hint="eastAsia" w:ascii="宋体" w:hAnsi="宋体" w:eastAsia="宋体" w:cs="宋体"/>
                <w:sz w:val="24"/>
                <w:highlight w:val="none"/>
              </w:rPr>
              <w:t>三、响应性评审标准</w:t>
            </w:r>
          </w:p>
        </w:tc>
        <w:tc>
          <w:tcPr>
            <w:tcW w:w="2850" w:type="dxa"/>
            <w:noWrap w:val="0"/>
            <w:vAlign w:val="center"/>
          </w:tcPr>
          <w:p w14:paraId="42C756EF">
            <w:pPr>
              <w:jc w:val="center"/>
              <w:rPr>
                <w:rFonts w:hint="eastAsia" w:ascii="宋体" w:hAnsi="宋体" w:eastAsia="宋体" w:cs="宋体"/>
                <w:sz w:val="24"/>
                <w:highlight w:val="none"/>
              </w:rPr>
            </w:pPr>
            <w:r>
              <w:rPr>
                <w:rFonts w:hint="eastAsia" w:ascii="宋体" w:hAnsi="宋体" w:eastAsia="宋体" w:cs="宋体"/>
                <w:sz w:val="24"/>
                <w:highlight w:val="none"/>
              </w:rPr>
              <w:t>采购内容</w:t>
            </w:r>
          </w:p>
        </w:tc>
        <w:tc>
          <w:tcPr>
            <w:tcW w:w="6234" w:type="dxa"/>
            <w:noWrap w:val="0"/>
            <w:vAlign w:val="center"/>
          </w:tcPr>
          <w:p w14:paraId="5B35BFE9">
            <w:pPr>
              <w:rPr>
                <w:rFonts w:hint="eastAsia" w:ascii="宋体" w:hAnsi="宋体" w:eastAsia="宋体" w:cs="宋体"/>
                <w:sz w:val="24"/>
                <w:highlight w:val="none"/>
              </w:rPr>
            </w:pPr>
            <w:r>
              <w:rPr>
                <w:rFonts w:hint="eastAsia" w:ascii="宋体" w:hAnsi="宋体" w:eastAsia="宋体" w:cs="宋体"/>
                <w:sz w:val="24"/>
                <w:highlight w:val="none"/>
              </w:rPr>
              <w:t>符合第一部分“竞争性磋商项目相关内容及要求”规定</w:t>
            </w:r>
          </w:p>
        </w:tc>
      </w:tr>
      <w:tr w14:paraId="55D6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1010" w:type="dxa"/>
            <w:vMerge w:val="continue"/>
            <w:noWrap w:val="0"/>
            <w:vAlign w:val="center"/>
          </w:tcPr>
          <w:p w14:paraId="144F3CA2">
            <w:pPr>
              <w:jc w:val="center"/>
              <w:rPr>
                <w:rFonts w:hint="eastAsia" w:ascii="宋体" w:hAnsi="宋体" w:eastAsia="宋体" w:cs="宋体"/>
                <w:sz w:val="24"/>
                <w:highlight w:val="none"/>
              </w:rPr>
            </w:pPr>
          </w:p>
        </w:tc>
        <w:tc>
          <w:tcPr>
            <w:tcW w:w="2850" w:type="dxa"/>
            <w:noWrap w:val="0"/>
            <w:vAlign w:val="center"/>
          </w:tcPr>
          <w:p w14:paraId="415725F6">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质量要求</w:t>
            </w:r>
          </w:p>
        </w:tc>
        <w:tc>
          <w:tcPr>
            <w:tcW w:w="6234" w:type="dxa"/>
            <w:noWrap w:val="0"/>
            <w:vAlign w:val="center"/>
          </w:tcPr>
          <w:p w14:paraId="2E868126">
            <w:pPr>
              <w:rPr>
                <w:rFonts w:hint="eastAsia" w:ascii="宋体" w:hAnsi="宋体" w:eastAsia="宋体" w:cs="宋体"/>
                <w:sz w:val="24"/>
                <w:highlight w:val="none"/>
              </w:rPr>
            </w:pPr>
            <w:r>
              <w:rPr>
                <w:rFonts w:hint="eastAsia" w:ascii="宋体" w:hAnsi="宋体" w:eastAsia="宋体" w:cs="宋体"/>
                <w:sz w:val="24"/>
                <w:highlight w:val="none"/>
              </w:rPr>
              <w:t>符合第一部分“竞争性磋商项目相关内容及要求”规定</w:t>
            </w:r>
          </w:p>
        </w:tc>
      </w:tr>
      <w:tr w14:paraId="388F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1010" w:type="dxa"/>
            <w:vMerge w:val="continue"/>
            <w:noWrap w:val="0"/>
            <w:vAlign w:val="center"/>
          </w:tcPr>
          <w:p w14:paraId="173794B9">
            <w:pPr>
              <w:jc w:val="center"/>
              <w:rPr>
                <w:rFonts w:hint="eastAsia" w:ascii="宋体" w:hAnsi="宋体" w:eastAsia="宋体" w:cs="宋体"/>
                <w:sz w:val="24"/>
                <w:highlight w:val="none"/>
              </w:rPr>
            </w:pPr>
          </w:p>
        </w:tc>
        <w:tc>
          <w:tcPr>
            <w:tcW w:w="2850" w:type="dxa"/>
            <w:noWrap w:val="0"/>
            <w:vAlign w:val="center"/>
          </w:tcPr>
          <w:p w14:paraId="2834CC4F">
            <w:pPr>
              <w:jc w:val="center"/>
              <w:rPr>
                <w:rFonts w:hint="eastAsia" w:ascii="宋体" w:hAnsi="宋体" w:eastAsia="宋体" w:cs="宋体"/>
                <w:sz w:val="24"/>
                <w:highlight w:val="none"/>
              </w:rPr>
            </w:pPr>
            <w:r>
              <w:rPr>
                <w:rFonts w:hint="eastAsia" w:ascii="宋体" w:hAnsi="宋体" w:eastAsia="宋体" w:cs="宋体"/>
                <w:sz w:val="24"/>
                <w:highlight w:val="none"/>
              </w:rPr>
              <w:t>合同履行期限</w:t>
            </w:r>
          </w:p>
        </w:tc>
        <w:tc>
          <w:tcPr>
            <w:tcW w:w="6234" w:type="dxa"/>
            <w:noWrap w:val="0"/>
            <w:vAlign w:val="center"/>
          </w:tcPr>
          <w:p w14:paraId="4C8459AD">
            <w:pPr>
              <w:rPr>
                <w:rFonts w:hint="eastAsia" w:ascii="宋体" w:hAnsi="宋体" w:eastAsia="宋体" w:cs="宋体"/>
                <w:sz w:val="24"/>
                <w:highlight w:val="none"/>
              </w:rPr>
            </w:pPr>
            <w:r>
              <w:rPr>
                <w:rFonts w:hint="eastAsia" w:ascii="宋体" w:hAnsi="宋体" w:eastAsia="宋体" w:cs="宋体"/>
                <w:sz w:val="24"/>
                <w:highlight w:val="none"/>
              </w:rPr>
              <w:t>符合第一部分“竞争性磋商项目相关内容及要求”规定</w:t>
            </w:r>
          </w:p>
        </w:tc>
      </w:tr>
      <w:tr w14:paraId="4FED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010" w:type="dxa"/>
            <w:vMerge w:val="continue"/>
            <w:noWrap w:val="0"/>
            <w:vAlign w:val="center"/>
          </w:tcPr>
          <w:p w14:paraId="5ABAC298">
            <w:pPr>
              <w:jc w:val="center"/>
              <w:rPr>
                <w:rFonts w:hint="eastAsia" w:ascii="宋体" w:hAnsi="宋体" w:eastAsia="宋体" w:cs="宋体"/>
                <w:sz w:val="24"/>
                <w:highlight w:val="none"/>
              </w:rPr>
            </w:pPr>
          </w:p>
        </w:tc>
        <w:tc>
          <w:tcPr>
            <w:tcW w:w="2850" w:type="dxa"/>
            <w:noWrap w:val="0"/>
            <w:vAlign w:val="center"/>
          </w:tcPr>
          <w:p w14:paraId="2B2DDD3D">
            <w:pPr>
              <w:jc w:val="center"/>
              <w:rPr>
                <w:rFonts w:hint="eastAsia" w:ascii="宋体" w:hAnsi="宋体" w:eastAsia="宋体" w:cs="宋体"/>
                <w:sz w:val="24"/>
                <w:highlight w:val="none"/>
              </w:rPr>
            </w:pPr>
            <w:r>
              <w:rPr>
                <w:rFonts w:hint="eastAsia" w:ascii="宋体" w:hAnsi="宋体" w:eastAsia="宋体" w:cs="宋体"/>
                <w:sz w:val="24"/>
                <w:highlight w:val="none"/>
              </w:rPr>
              <w:t>磋商有效期</w:t>
            </w:r>
          </w:p>
        </w:tc>
        <w:tc>
          <w:tcPr>
            <w:tcW w:w="6234" w:type="dxa"/>
            <w:noWrap w:val="0"/>
            <w:vAlign w:val="center"/>
          </w:tcPr>
          <w:p w14:paraId="40CF90AE">
            <w:pPr>
              <w:rPr>
                <w:rFonts w:hint="eastAsia" w:ascii="宋体" w:hAnsi="宋体" w:eastAsia="宋体" w:cs="宋体"/>
                <w:sz w:val="24"/>
                <w:highlight w:val="none"/>
              </w:rPr>
            </w:pPr>
            <w:r>
              <w:rPr>
                <w:rFonts w:hint="eastAsia" w:ascii="宋体" w:hAnsi="宋体" w:eastAsia="宋体" w:cs="宋体"/>
                <w:sz w:val="24"/>
                <w:highlight w:val="none"/>
                <w:u w:val="single"/>
              </w:rPr>
              <w:t>60日历天</w:t>
            </w:r>
          </w:p>
        </w:tc>
      </w:tr>
      <w:tr w14:paraId="034C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1010" w:type="dxa"/>
            <w:vMerge w:val="continue"/>
            <w:noWrap w:val="0"/>
            <w:vAlign w:val="center"/>
          </w:tcPr>
          <w:p w14:paraId="29980377">
            <w:pPr>
              <w:jc w:val="center"/>
              <w:rPr>
                <w:rFonts w:hint="eastAsia" w:ascii="宋体" w:hAnsi="宋体" w:eastAsia="宋体" w:cs="宋体"/>
                <w:sz w:val="24"/>
                <w:highlight w:val="none"/>
              </w:rPr>
            </w:pPr>
          </w:p>
        </w:tc>
        <w:tc>
          <w:tcPr>
            <w:tcW w:w="2850" w:type="dxa"/>
            <w:noWrap w:val="0"/>
            <w:vAlign w:val="center"/>
          </w:tcPr>
          <w:p w14:paraId="0AADC40B">
            <w:pPr>
              <w:jc w:val="center"/>
              <w:rPr>
                <w:rFonts w:hint="eastAsia" w:ascii="宋体" w:hAnsi="宋体" w:eastAsia="宋体" w:cs="宋体"/>
                <w:sz w:val="24"/>
                <w:highlight w:val="none"/>
              </w:rPr>
            </w:pPr>
            <w:r>
              <w:rPr>
                <w:rFonts w:hint="eastAsia" w:ascii="宋体" w:hAnsi="宋体" w:eastAsia="宋体" w:cs="宋体"/>
                <w:sz w:val="24"/>
                <w:highlight w:val="none"/>
              </w:rPr>
              <w:t>响应性文件的其他响应</w:t>
            </w:r>
          </w:p>
        </w:tc>
        <w:tc>
          <w:tcPr>
            <w:tcW w:w="6234" w:type="dxa"/>
            <w:noWrap w:val="0"/>
            <w:vAlign w:val="center"/>
          </w:tcPr>
          <w:p w14:paraId="58C76772">
            <w:pPr>
              <w:rPr>
                <w:rFonts w:hint="eastAsia" w:ascii="宋体" w:hAnsi="宋体" w:eastAsia="宋体" w:cs="宋体"/>
                <w:sz w:val="24"/>
                <w:highlight w:val="none"/>
              </w:rPr>
            </w:pPr>
            <w:r>
              <w:rPr>
                <w:rFonts w:hint="eastAsia" w:ascii="宋体" w:hAnsi="宋体" w:eastAsia="宋体" w:cs="宋体"/>
                <w:sz w:val="24"/>
                <w:highlight w:val="none"/>
              </w:rPr>
              <w:t>符合法律、法规和竞争性磋商文件中规定的其他实质性要求的。</w:t>
            </w:r>
          </w:p>
        </w:tc>
      </w:tr>
    </w:tbl>
    <w:p w14:paraId="52FF919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14:paraId="67065BA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14:paraId="377E08D4">
      <w:pPr>
        <w:widowControl/>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评分标准</w:t>
      </w:r>
    </w:p>
    <w:p w14:paraId="171AEBF3">
      <w:pPr>
        <w:widowControl/>
        <w:jc w:val="left"/>
        <w:rPr>
          <w:rFonts w:hint="eastAsia" w:ascii="仿宋" w:hAnsi="仿宋" w:eastAsia="仿宋" w:cs="仿宋"/>
          <w:sz w:val="30"/>
          <w:szCs w:val="30"/>
          <w:highlight w:val="none"/>
        </w:rPr>
      </w:pPr>
    </w:p>
    <w:tbl>
      <w:tblPr>
        <w:tblStyle w:val="17"/>
        <w:tblpPr w:leftFromText="180" w:rightFromText="180" w:vertAnchor="text" w:horzAnchor="page" w:tblpX="1048" w:tblpY="111"/>
        <w:tblOverlap w:val="never"/>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1097"/>
        <w:gridCol w:w="1050"/>
        <w:gridCol w:w="760"/>
        <w:gridCol w:w="6337"/>
      </w:tblGrid>
      <w:tr w14:paraId="55EB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825" w:type="dxa"/>
            <w:vAlign w:val="center"/>
          </w:tcPr>
          <w:p w14:paraId="23A696BF">
            <w:pPr>
              <w:pStyle w:val="5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序号</w:t>
            </w:r>
          </w:p>
        </w:tc>
        <w:tc>
          <w:tcPr>
            <w:tcW w:w="1097" w:type="dxa"/>
            <w:vAlign w:val="center"/>
          </w:tcPr>
          <w:p w14:paraId="080C863D">
            <w:pPr>
              <w:pStyle w:val="5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内容</w:t>
            </w:r>
          </w:p>
        </w:tc>
        <w:tc>
          <w:tcPr>
            <w:tcW w:w="1050" w:type="dxa"/>
            <w:vAlign w:val="center"/>
          </w:tcPr>
          <w:p w14:paraId="36541B19">
            <w:pPr>
              <w:pStyle w:val="5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评标因素</w:t>
            </w:r>
          </w:p>
        </w:tc>
        <w:tc>
          <w:tcPr>
            <w:tcW w:w="760" w:type="dxa"/>
            <w:vAlign w:val="center"/>
          </w:tcPr>
          <w:p w14:paraId="654AFD8A">
            <w:pPr>
              <w:pStyle w:val="5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分值</w:t>
            </w:r>
          </w:p>
        </w:tc>
        <w:tc>
          <w:tcPr>
            <w:tcW w:w="6337" w:type="dxa"/>
            <w:vAlign w:val="center"/>
          </w:tcPr>
          <w:p w14:paraId="23E305FE">
            <w:pPr>
              <w:pStyle w:val="5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评分标准</w:t>
            </w:r>
          </w:p>
        </w:tc>
      </w:tr>
      <w:tr w14:paraId="240F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25" w:type="dxa"/>
            <w:vAlign w:val="center"/>
          </w:tcPr>
          <w:p w14:paraId="74C4F2C9">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097" w:type="dxa"/>
            <w:vAlign w:val="center"/>
          </w:tcPr>
          <w:p w14:paraId="6D6CFF80">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报价部分（30分）</w:t>
            </w:r>
          </w:p>
        </w:tc>
        <w:tc>
          <w:tcPr>
            <w:tcW w:w="1050" w:type="dxa"/>
            <w:vAlign w:val="center"/>
          </w:tcPr>
          <w:p w14:paraId="18B2E96E">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tc>
        <w:tc>
          <w:tcPr>
            <w:tcW w:w="760" w:type="dxa"/>
            <w:vAlign w:val="center"/>
          </w:tcPr>
          <w:p w14:paraId="3C5B7B2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30分</w:t>
            </w:r>
          </w:p>
        </w:tc>
        <w:tc>
          <w:tcPr>
            <w:tcW w:w="6337" w:type="dxa"/>
            <w:vAlign w:val="center"/>
          </w:tcPr>
          <w:p w14:paraId="498EC23E">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投标报价分采用低价优先法计算，即满足招标文件要求且投标报价最低的为评审基准价，其价格分为满分（即30分）。其他投标人的价格分统一按照下列公式计算：</w:t>
            </w:r>
          </w:p>
          <w:p w14:paraId="5FF76C81">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报价得分=(评标基准价／投标报价)×价格权值（30分）。</w:t>
            </w:r>
          </w:p>
          <w:p w14:paraId="64E77C2A">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注：以上计算过程中按四舍五入保留两位小数。</w:t>
            </w:r>
          </w:p>
          <w:p w14:paraId="3824479E">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磋商小组认为投标人的报价明显低于其他通过符合性审查投标人的报价，有可能影响产品质量或者不能诚信履约的，应当要求其在合理的时间内提供书面说明，必要时提交相关证明材料；投标人不能证明其报价合理性的，磋商小组应当将其作为无效投标处理。</w:t>
            </w:r>
          </w:p>
        </w:tc>
      </w:tr>
      <w:tr w14:paraId="36A8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25" w:type="dxa"/>
            <w:vMerge w:val="restart"/>
            <w:vAlign w:val="center"/>
          </w:tcPr>
          <w:p w14:paraId="66246DBA">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1097" w:type="dxa"/>
            <w:vMerge w:val="restart"/>
            <w:vAlign w:val="center"/>
          </w:tcPr>
          <w:p w14:paraId="72E55F48">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技术部分（50分）</w:t>
            </w:r>
          </w:p>
        </w:tc>
        <w:tc>
          <w:tcPr>
            <w:tcW w:w="1050" w:type="dxa"/>
            <w:vAlign w:val="center"/>
          </w:tcPr>
          <w:p w14:paraId="22E84DB1">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技术参数</w:t>
            </w:r>
            <w:r>
              <w:rPr>
                <w:rFonts w:hint="eastAsia" w:ascii="宋体" w:hAnsi="宋体" w:eastAsia="宋体" w:cs="宋体"/>
                <w:kern w:val="2"/>
                <w:sz w:val="24"/>
                <w:szCs w:val="24"/>
                <w:highlight w:val="none"/>
                <w:lang w:val="zh-CN" w:eastAsia="zh-CN" w:bidi="ar-SA"/>
              </w:rPr>
              <w:t>响应性</w:t>
            </w:r>
          </w:p>
        </w:tc>
        <w:tc>
          <w:tcPr>
            <w:tcW w:w="760" w:type="dxa"/>
            <w:vAlign w:val="center"/>
          </w:tcPr>
          <w:p w14:paraId="7BD3459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30分</w:t>
            </w:r>
          </w:p>
        </w:tc>
        <w:tc>
          <w:tcPr>
            <w:tcW w:w="6337" w:type="dxa"/>
            <w:vAlign w:val="center"/>
          </w:tcPr>
          <w:p w14:paraId="182D94D7">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投标产品参数必须完全满足磋商文件参数，完全满足的得30分。</w:t>
            </w:r>
          </w:p>
        </w:tc>
      </w:tr>
      <w:tr w14:paraId="5E1E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vAlign w:val="center"/>
          </w:tcPr>
          <w:p w14:paraId="729F0FD0">
            <w:pPr>
              <w:jc w:val="center"/>
              <w:rPr>
                <w:rFonts w:hint="eastAsia" w:ascii="宋体" w:hAnsi="宋体" w:eastAsia="宋体" w:cs="宋体"/>
                <w:kern w:val="2"/>
                <w:sz w:val="24"/>
                <w:szCs w:val="24"/>
                <w:highlight w:val="none"/>
                <w:lang w:val="en-US" w:eastAsia="zh-CN" w:bidi="ar-SA"/>
              </w:rPr>
            </w:pPr>
          </w:p>
        </w:tc>
        <w:tc>
          <w:tcPr>
            <w:tcW w:w="1097" w:type="dxa"/>
            <w:vMerge w:val="continue"/>
            <w:vAlign w:val="center"/>
          </w:tcPr>
          <w:p w14:paraId="451F2F08">
            <w:pPr>
              <w:rPr>
                <w:rFonts w:hint="eastAsia" w:ascii="宋体" w:hAnsi="宋体" w:eastAsia="宋体" w:cs="宋体"/>
                <w:kern w:val="2"/>
                <w:sz w:val="24"/>
                <w:szCs w:val="24"/>
                <w:highlight w:val="none"/>
                <w:lang w:val="en-US" w:eastAsia="zh-CN" w:bidi="ar-SA"/>
              </w:rPr>
            </w:pPr>
          </w:p>
        </w:tc>
        <w:tc>
          <w:tcPr>
            <w:tcW w:w="1050" w:type="dxa"/>
            <w:vAlign w:val="center"/>
          </w:tcPr>
          <w:p w14:paraId="71E8CAFA">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供货方案</w:t>
            </w:r>
          </w:p>
        </w:tc>
        <w:tc>
          <w:tcPr>
            <w:tcW w:w="760" w:type="dxa"/>
            <w:vAlign w:val="center"/>
          </w:tcPr>
          <w:p w14:paraId="4060198A">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7分</w:t>
            </w:r>
          </w:p>
        </w:tc>
        <w:tc>
          <w:tcPr>
            <w:tcW w:w="6337" w:type="dxa"/>
            <w:vAlign w:val="center"/>
          </w:tcPr>
          <w:p w14:paraId="24A049DC">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（1）供货时间计划安排科学合理，措施切实可行，方案对项目实施的准备工作、材料和质量保障措施等内容做出详细、合理的阐述的得7</w:t>
            </w:r>
            <w:r>
              <w:rPr>
                <w:rFonts w:hint="eastAsia" w:ascii="宋体" w:hAnsi="宋体" w:eastAsia="宋体" w:cs="宋体"/>
                <w:kern w:val="2"/>
                <w:sz w:val="24"/>
                <w:szCs w:val="24"/>
                <w:highlight w:val="none"/>
                <w:lang w:val="zh-CN" w:eastAsia="zh-CN" w:bidi="ar-SA"/>
              </w:rPr>
              <w:t>分</w:t>
            </w:r>
            <w:r>
              <w:rPr>
                <w:rFonts w:hint="eastAsia" w:ascii="宋体" w:hAnsi="宋体" w:eastAsia="宋体" w:cs="宋体"/>
                <w:kern w:val="2"/>
                <w:sz w:val="24"/>
                <w:szCs w:val="24"/>
                <w:highlight w:val="none"/>
                <w:lang w:val="en-US" w:eastAsia="zh-CN" w:bidi="ar-SA"/>
              </w:rPr>
              <w:t xml:space="preserve">； </w:t>
            </w:r>
          </w:p>
          <w:p w14:paraId="3C6B0C24">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（2）供货时间计划较好，方案对项目实施的准备工作、材料和质量保障措施等内容描述较好，保证措施较好，针对性较好，执行性较好，需进一步完善得4分；</w:t>
            </w:r>
          </w:p>
          <w:p w14:paraId="130DEA43">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（3）供货时间计划较差，方案对项目实施的准备工作、材料和质量保障措施等内容描述较差，保证措施较差得1分；此项未提供不得分。</w:t>
            </w:r>
          </w:p>
        </w:tc>
      </w:tr>
      <w:tr w14:paraId="7469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trPr>
        <w:tc>
          <w:tcPr>
            <w:tcW w:w="825" w:type="dxa"/>
            <w:vMerge w:val="continue"/>
            <w:vAlign w:val="center"/>
          </w:tcPr>
          <w:p w14:paraId="05789040">
            <w:pPr>
              <w:jc w:val="center"/>
              <w:rPr>
                <w:rFonts w:hint="eastAsia" w:ascii="宋体" w:hAnsi="宋体" w:eastAsia="宋体" w:cs="宋体"/>
                <w:kern w:val="2"/>
                <w:sz w:val="24"/>
                <w:szCs w:val="24"/>
                <w:highlight w:val="none"/>
                <w:lang w:val="en-US" w:eastAsia="zh-CN" w:bidi="ar-SA"/>
              </w:rPr>
            </w:pPr>
          </w:p>
        </w:tc>
        <w:tc>
          <w:tcPr>
            <w:tcW w:w="1097" w:type="dxa"/>
            <w:vMerge w:val="continue"/>
            <w:vAlign w:val="center"/>
          </w:tcPr>
          <w:p w14:paraId="5B89D884">
            <w:pPr>
              <w:rPr>
                <w:rFonts w:hint="eastAsia" w:ascii="宋体" w:hAnsi="宋体" w:eastAsia="宋体" w:cs="宋体"/>
                <w:kern w:val="2"/>
                <w:sz w:val="24"/>
                <w:szCs w:val="24"/>
                <w:highlight w:val="none"/>
                <w:lang w:val="en-US" w:eastAsia="zh-CN" w:bidi="ar-SA"/>
              </w:rPr>
            </w:pPr>
          </w:p>
        </w:tc>
        <w:tc>
          <w:tcPr>
            <w:tcW w:w="1050" w:type="dxa"/>
            <w:vAlign w:val="center"/>
          </w:tcPr>
          <w:p w14:paraId="4EBDE3CA">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安装调试方案</w:t>
            </w:r>
          </w:p>
        </w:tc>
        <w:tc>
          <w:tcPr>
            <w:tcW w:w="760" w:type="dxa"/>
            <w:vAlign w:val="center"/>
          </w:tcPr>
          <w:p w14:paraId="09A1A585">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7分</w:t>
            </w:r>
          </w:p>
        </w:tc>
        <w:tc>
          <w:tcPr>
            <w:tcW w:w="6337" w:type="dxa"/>
            <w:vAlign w:val="center"/>
          </w:tcPr>
          <w:p w14:paraId="35661674">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根据采购人实际需求，针对项目实际情况，供应商对所供货品安装调试制定详细计划方案和措施，根据供应商提供的方案进行打分：</w:t>
            </w:r>
          </w:p>
          <w:p w14:paraId="50999B6B">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方案全面、详尽、合理、措施有保障，技术质量有保障、完全满足项目需求的得7分；方案较好基本满足招标要求的，得4分；方案较差的得1分；缺项得0分。</w:t>
            </w:r>
          </w:p>
        </w:tc>
      </w:tr>
      <w:tr w14:paraId="73C1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825" w:type="dxa"/>
            <w:vMerge w:val="continue"/>
            <w:vAlign w:val="center"/>
          </w:tcPr>
          <w:p w14:paraId="6B17AC75">
            <w:pPr>
              <w:jc w:val="center"/>
              <w:rPr>
                <w:rFonts w:hint="eastAsia" w:ascii="宋体" w:hAnsi="宋体" w:eastAsia="宋体" w:cs="宋体"/>
                <w:kern w:val="2"/>
                <w:sz w:val="24"/>
                <w:szCs w:val="24"/>
                <w:highlight w:val="none"/>
                <w:lang w:val="en-US" w:eastAsia="zh-CN" w:bidi="ar-SA"/>
              </w:rPr>
            </w:pPr>
          </w:p>
        </w:tc>
        <w:tc>
          <w:tcPr>
            <w:tcW w:w="1097" w:type="dxa"/>
            <w:vMerge w:val="continue"/>
            <w:vAlign w:val="center"/>
          </w:tcPr>
          <w:p w14:paraId="65B9DE08">
            <w:pPr>
              <w:rPr>
                <w:rFonts w:hint="eastAsia" w:ascii="宋体" w:hAnsi="宋体" w:eastAsia="宋体" w:cs="宋体"/>
                <w:kern w:val="2"/>
                <w:sz w:val="24"/>
                <w:szCs w:val="24"/>
                <w:highlight w:val="none"/>
                <w:lang w:val="en-US" w:eastAsia="zh-CN" w:bidi="ar-SA"/>
              </w:rPr>
            </w:pPr>
          </w:p>
        </w:tc>
        <w:tc>
          <w:tcPr>
            <w:tcW w:w="1050" w:type="dxa"/>
            <w:vAlign w:val="center"/>
          </w:tcPr>
          <w:p w14:paraId="7B84B0A6">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质量保证措施</w:t>
            </w:r>
          </w:p>
        </w:tc>
        <w:tc>
          <w:tcPr>
            <w:tcW w:w="760" w:type="dxa"/>
            <w:vAlign w:val="center"/>
          </w:tcPr>
          <w:p w14:paraId="4BE5A19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6分</w:t>
            </w:r>
          </w:p>
        </w:tc>
        <w:tc>
          <w:tcPr>
            <w:tcW w:w="6337" w:type="dxa"/>
            <w:vAlign w:val="center"/>
          </w:tcPr>
          <w:p w14:paraId="2D5DCA16">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根据供应商制定的质量保证措施的严谨度、全面性等进行综合评价，优秀的得6分，较好的得4分，一般得2分，缺项得0分。</w:t>
            </w:r>
          </w:p>
        </w:tc>
      </w:tr>
      <w:tr w14:paraId="3DB9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trPr>
        <w:tc>
          <w:tcPr>
            <w:tcW w:w="825" w:type="dxa"/>
            <w:vMerge w:val="restart"/>
            <w:vAlign w:val="center"/>
          </w:tcPr>
          <w:p w14:paraId="54A830E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1097" w:type="dxa"/>
            <w:vMerge w:val="restart"/>
            <w:vAlign w:val="center"/>
          </w:tcPr>
          <w:p w14:paraId="54A15C28">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综合部分（20分）</w:t>
            </w:r>
          </w:p>
        </w:tc>
        <w:tc>
          <w:tcPr>
            <w:tcW w:w="1050" w:type="dxa"/>
            <w:shd w:val="clear" w:color="auto" w:fill="auto"/>
            <w:vAlign w:val="center"/>
          </w:tcPr>
          <w:p w14:paraId="16374197">
            <w:pP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业绩</w:t>
            </w:r>
          </w:p>
        </w:tc>
        <w:tc>
          <w:tcPr>
            <w:tcW w:w="760" w:type="dxa"/>
            <w:shd w:val="clear" w:color="auto" w:fill="auto"/>
            <w:vAlign w:val="center"/>
          </w:tcPr>
          <w:p w14:paraId="4F189F1D">
            <w:pPr>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10分</w:t>
            </w:r>
          </w:p>
        </w:tc>
        <w:tc>
          <w:tcPr>
            <w:tcW w:w="6337" w:type="dxa"/>
            <w:vAlign w:val="center"/>
          </w:tcPr>
          <w:p w14:paraId="4B0CD276">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default" w:ascii="宋体" w:hAnsi="宋体" w:eastAsia="宋体" w:cs="宋体"/>
                <w:kern w:val="2"/>
                <w:sz w:val="24"/>
                <w:szCs w:val="24"/>
                <w:highlight w:val="none"/>
                <w:lang w:val="en-US" w:eastAsia="zh-CN" w:bidi="ar-SA"/>
              </w:rPr>
            </w:pPr>
            <w:r>
              <w:rPr>
                <w:rFonts w:hint="eastAsia" w:ascii="宋体" w:hAnsi="宋体"/>
                <w:kern w:val="0"/>
                <w:sz w:val="24"/>
                <w:highlight w:val="none"/>
                <w:lang w:val="en-US" w:eastAsia="zh-CN"/>
              </w:rPr>
              <w:t>供应商具有类似项目，每提供一份得5分，最高得10分，未提供业绩证明文件不得分。（需提供中标通知书或合同复印件）</w:t>
            </w:r>
          </w:p>
        </w:tc>
      </w:tr>
      <w:tr w14:paraId="151D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825" w:type="dxa"/>
            <w:vMerge w:val="continue"/>
            <w:vAlign w:val="center"/>
          </w:tcPr>
          <w:p w14:paraId="670336A2">
            <w:pPr>
              <w:rPr>
                <w:rFonts w:hint="eastAsia" w:ascii="宋体" w:hAnsi="宋体" w:eastAsia="宋体" w:cs="宋体"/>
                <w:kern w:val="2"/>
                <w:sz w:val="24"/>
                <w:szCs w:val="24"/>
                <w:highlight w:val="none"/>
                <w:lang w:val="en-US" w:eastAsia="zh-CN" w:bidi="ar-SA"/>
              </w:rPr>
            </w:pPr>
          </w:p>
        </w:tc>
        <w:tc>
          <w:tcPr>
            <w:tcW w:w="1097" w:type="dxa"/>
            <w:vMerge w:val="continue"/>
            <w:vAlign w:val="center"/>
          </w:tcPr>
          <w:p w14:paraId="79C353E8">
            <w:pPr>
              <w:rPr>
                <w:rFonts w:hint="eastAsia" w:ascii="宋体" w:hAnsi="宋体" w:eastAsia="宋体" w:cs="宋体"/>
                <w:kern w:val="2"/>
                <w:sz w:val="24"/>
                <w:szCs w:val="24"/>
                <w:highlight w:val="none"/>
                <w:lang w:val="en-US" w:eastAsia="zh-CN" w:bidi="ar-SA"/>
              </w:rPr>
            </w:pPr>
          </w:p>
        </w:tc>
        <w:tc>
          <w:tcPr>
            <w:tcW w:w="1050" w:type="dxa"/>
            <w:shd w:val="clear" w:color="auto" w:fill="auto"/>
            <w:vAlign w:val="center"/>
          </w:tcPr>
          <w:p w14:paraId="426CEC9F">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优惠承诺</w:t>
            </w:r>
          </w:p>
        </w:tc>
        <w:tc>
          <w:tcPr>
            <w:tcW w:w="760" w:type="dxa"/>
            <w:shd w:val="clear" w:color="auto" w:fill="auto"/>
            <w:vAlign w:val="center"/>
          </w:tcPr>
          <w:p w14:paraId="305A789C">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2分</w:t>
            </w:r>
          </w:p>
        </w:tc>
        <w:tc>
          <w:tcPr>
            <w:tcW w:w="6337" w:type="dxa"/>
            <w:vAlign w:val="center"/>
          </w:tcPr>
          <w:p w14:paraId="79D56410">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kern w:val="0"/>
                <w:sz w:val="24"/>
                <w:highlight w:val="none"/>
              </w:rPr>
            </w:pPr>
            <w:r>
              <w:rPr>
                <w:rFonts w:hint="eastAsia" w:ascii="宋体" w:hAnsi="宋体"/>
                <w:kern w:val="0"/>
                <w:sz w:val="24"/>
                <w:highlight w:val="none"/>
                <w:lang w:val="en-US" w:eastAsia="zh-CN"/>
              </w:rPr>
              <w:t>优惠承诺完善、合理，得2分，内容基本完善、基本合理得1分，内容不完善、不合理得0分。</w:t>
            </w:r>
          </w:p>
        </w:tc>
      </w:tr>
      <w:tr w14:paraId="3ECE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2" w:hRule="atLeast"/>
        </w:trPr>
        <w:tc>
          <w:tcPr>
            <w:tcW w:w="825" w:type="dxa"/>
            <w:vMerge w:val="continue"/>
            <w:vAlign w:val="center"/>
          </w:tcPr>
          <w:p w14:paraId="4E6EB66B">
            <w:pPr>
              <w:rPr>
                <w:rFonts w:hint="eastAsia" w:ascii="宋体" w:hAnsi="宋体" w:eastAsia="宋体" w:cs="宋体"/>
                <w:kern w:val="2"/>
                <w:sz w:val="24"/>
                <w:szCs w:val="24"/>
                <w:highlight w:val="none"/>
                <w:lang w:val="en-US" w:eastAsia="zh-CN" w:bidi="ar-SA"/>
              </w:rPr>
            </w:pPr>
          </w:p>
        </w:tc>
        <w:tc>
          <w:tcPr>
            <w:tcW w:w="1097" w:type="dxa"/>
            <w:vMerge w:val="continue"/>
            <w:vAlign w:val="center"/>
          </w:tcPr>
          <w:p w14:paraId="387C03EB">
            <w:pPr>
              <w:rPr>
                <w:rFonts w:hint="eastAsia" w:ascii="宋体" w:hAnsi="宋体" w:eastAsia="宋体" w:cs="宋体"/>
                <w:kern w:val="2"/>
                <w:sz w:val="24"/>
                <w:szCs w:val="24"/>
                <w:highlight w:val="none"/>
                <w:lang w:val="en-US" w:eastAsia="zh-CN" w:bidi="ar-SA"/>
              </w:rPr>
            </w:pPr>
          </w:p>
        </w:tc>
        <w:tc>
          <w:tcPr>
            <w:tcW w:w="1050" w:type="dxa"/>
            <w:vMerge w:val="restart"/>
            <w:vAlign w:val="center"/>
          </w:tcPr>
          <w:p w14:paraId="20318CA2">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售后服务方案</w:t>
            </w:r>
          </w:p>
        </w:tc>
        <w:tc>
          <w:tcPr>
            <w:tcW w:w="760" w:type="dxa"/>
            <w:vMerge w:val="restart"/>
            <w:vAlign w:val="center"/>
          </w:tcPr>
          <w:p w14:paraId="150FCFF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8分</w:t>
            </w:r>
          </w:p>
        </w:tc>
        <w:tc>
          <w:tcPr>
            <w:tcW w:w="6337" w:type="dxa"/>
            <w:vAlign w:val="center"/>
          </w:tcPr>
          <w:p w14:paraId="477208A7">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质保期内和质保期外售后服务：质保期内和质保期外售后服务有明确服务内容，服务计划，有详细的服务承诺书、故障响应计划、应急处理方案及维修保养方案、措施、技术支持。服务内容完善、服务计划合理，得4分，服务内容基本完善、服务计划基本合理得2分，服务内容不完善、服务计划不合理得1分，缺项得0分。</w:t>
            </w:r>
          </w:p>
        </w:tc>
      </w:tr>
      <w:tr w14:paraId="2761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1" w:hRule="atLeast"/>
        </w:trPr>
        <w:tc>
          <w:tcPr>
            <w:tcW w:w="825" w:type="dxa"/>
            <w:vMerge w:val="continue"/>
            <w:vAlign w:val="center"/>
          </w:tcPr>
          <w:p w14:paraId="51FD3FC7">
            <w:pPr>
              <w:rPr>
                <w:rFonts w:hint="eastAsia" w:ascii="宋体" w:hAnsi="宋体" w:eastAsia="宋体" w:cs="宋体"/>
                <w:kern w:val="2"/>
                <w:sz w:val="24"/>
                <w:szCs w:val="24"/>
                <w:highlight w:val="none"/>
                <w:lang w:val="en-US" w:eastAsia="zh-CN" w:bidi="ar-SA"/>
              </w:rPr>
            </w:pPr>
          </w:p>
        </w:tc>
        <w:tc>
          <w:tcPr>
            <w:tcW w:w="1097" w:type="dxa"/>
            <w:vMerge w:val="continue"/>
            <w:vAlign w:val="center"/>
          </w:tcPr>
          <w:p w14:paraId="5E9FE13E">
            <w:pPr>
              <w:rPr>
                <w:rFonts w:hint="eastAsia" w:ascii="宋体" w:hAnsi="宋体" w:eastAsia="宋体" w:cs="宋体"/>
                <w:kern w:val="2"/>
                <w:sz w:val="24"/>
                <w:szCs w:val="24"/>
                <w:highlight w:val="none"/>
                <w:lang w:val="en-US" w:eastAsia="zh-CN" w:bidi="ar-SA"/>
              </w:rPr>
            </w:pPr>
          </w:p>
        </w:tc>
        <w:tc>
          <w:tcPr>
            <w:tcW w:w="1050" w:type="dxa"/>
            <w:vMerge w:val="continue"/>
            <w:vAlign w:val="center"/>
          </w:tcPr>
          <w:p w14:paraId="26078FA6">
            <w:pPr>
              <w:rPr>
                <w:rFonts w:hint="eastAsia" w:ascii="宋体" w:hAnsi="宋体" w:eastAsia="宋体" w:cs="宋体"/>
                <w:kern w:val="2"/>
                <w:sz w:val="24"/>
                <w:szCs w:val="24"/>
                <w:highlight w:val="none"/>
                <w:lang w:val="en-US" w:eastAsia="zh-CN" w:bidi="ar-SA"/>
              </w:rPr>
            </w:pPr>
          </w:p>
        </w:tc>
        <w:tc>
          <w:tcPr>
            <w:tcW w:w="760" w:type="dxa"/>
            <w:vMerge w:val="continue"/>
            <w:vAlign w:val="center"/>
          </w:tcPr>
          <w:p w14:paraId="46ACAE9B">
            <w:pPr>
              <w:rPr>
                <w:rFonts w:hint="eastAsia" w:ascii="宋体" w:hAnsi="宋体" w:eastAsia="宋体" w:cs="宋体"/>
                <w:kern w:val="2"/>
                <w:sz w:val="24"/>
                <w:szCs w:val="24"/>
                <w:highlight w:val="none"/>
                <w:lang w:val="en-US" w:eastAsia="zh-CN" w:bidi="ar-SA"/>
              </w:rPr>
            </w:pPr>
          </w:p>
        </w:tc>
        <w:tc>
          <w:tcPr>
            <w:tcW w:w="6337" w:type="dxa"/>
            <w:vAlign w:val="center"/>
          </w:tcPr>
          <w:p w14:paraId="3C4DC512">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响应时间承诺：供应商对于供货时间、供货过程中所产生的问题积极响应处理的承诺及方案，承诺并提供具体方案完善的，得4分，承诺并提供具体方案基本完善的，得2分，承诺并提供具体方案不够完善的，得1分，缺项得0分。</w:t>
            </w:r>
          </w:p>
        </w:tc>
      </w:tr>
      <w:tr w14:paraId="1744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10069" w:type="dxa"/>
            <w:gridSpan w:val="5"/>
            <w:vAlign w:val="center"/>
          </w:tcPr>
          <w:p w14:paraId="7924794B">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投标人综合得分=投标报价得分+技术部分得分+综合部分得分。</w:t>
            </w:r>
          </w:p>
          <w:p w14:paraId="7382DE25">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投标人最终得分:</w:t>
            </w:r>
          </w:p>
          <w:p w14:paraId="1BA62E2F">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1.磋商小组完成评审后，取全部得分算术平均值，作为该投标人的最终得分。</w:t>
            </w:r>
          </w:p>
          <w:p w14:paraId="3489A6D9">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2.本办法计算过程中分值按四舍五入保留二位小数。</w:t>
            </w:r>
          </w:p>
          <w:p w14:paraId="0949FC1E">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磋商小组对通过以上评审的投标人，按最终得分从高到低排序，确定1至3名成交候选人。当投标人最终得分相等时，按照报价从低到高进行排序，排序第1的为成交人；最终得分相等，报价得分也相等按技术指标优劣排列确定成交人。</w:t>
            </w:r>
          </w:p>
        </w:tc>
      </w:tr>
    </w:tbl>
    <w:p w14:paraId="7E96EBF5">
      <w:pPr>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br w:type="page"/>
      </w:r>
    </w:p>
    <w:p w14:paraId="7B956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sz w:val="24"/>
          <w:highlight w:val="none"/>
          <w:lang w:val="en-US" w:eastAsia="zh-CN"/>
        </w:rPr>
        <w:t xml:space="preserve">磋商小组按本表规定的量化因素和分值进行打分，并计算出综合得分。 </w:t>
      </w:r>
    </w:p>
    <w:p w14:paraId="2AB50EE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2.供应商最终得分=报价部分得分+技术部分得分+综合部分得分，保留小数点后两位。 </w:t>
      </w:r>
    </w:p>
    <w:p w14:paraId="0C38CA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3.磋商小组根据综合评分情况，按照评审得分由高到低顺序推荐1-3名成交候选供应商，并编写评审报告。</w:t>
      </w:r>
    </w:p>
    <w:p w14:paraId="24D53C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4.</w:t>
      </w:r>
      <w:r>
        <w:rPr>
          <w:rFonts w:hint="eastAsia" w:ascii="宋体" w:hAnsi="宋体"/>
          <w:b w:val="0"/>
          <w:bCs w:val="0"/>
          <w:color w:val="auto"/>
          <w:kern w:val="0"/>
          <w:sz w:val="24"/>
          <w:szCs w:val="24"/>
          <w:highlight w:val="none"/>
        </w:rPr>
        <w:t>采购人应当确定排名第一的成交候选人为成交人。排名第一的成交候选 人放弃成交、因不可抗力不能履行合同，或者被查实存在影响成交结果的违法行为等情形，不符合成交条件的，采购人可以按照竞争性</w:t>
      </w:r>
      <w:r>
        <w:rPr>
          <w:rFonts w:hint="eastAsia" w:ascii="宋体" w:hAnsi="宋体"/>
          <w:b w:val="0"/>
          <w:bCs w:val="0"/>
          <w:color w:val="auto"/>
          <w:kern w:val="0"/>
          <w:sz w:val="24"/>
          <w:szCs w:val="24"/>
          <w:highlight w:val="none"/>
          <w:lang w:eastAsia="zh-CN"/>
        </w:rPr>
        <w:t>磋商</w:t>
      </w:r>
      <w:r>
        <w:rPr>
          <w:rFonts w:hint="eastAsia" w:ascii="宋体" w:hAnsi="宋体"/>
          <w:b w:val="0"/>
          <w:bCs w:val="0"/>
          <w:color w:val="auto"/>
          <w:kern w:val="0"/>
          <w:sz w:val="24"/>
          <w:szCs w:val="24"/>
          <w:highlight w:val="none"/>
        </w:rPr>
        <w:t>小组提出的成交候选人名单排序依次确定其他成交候选人为成交人。</w:t>
      </w:r>
    </w:p>
    <w:p w14:paraId="47B0D50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14:paraId="14CB089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r>
        <w:rPr>
          <w:rFonts w:hint="eastAsia" w:ascii="宋体" w:hAnsi="宋体"/>
          <w:color w:val="auto"/>
          <w:kern w:val="0"/>
          <w:sz w:val="24"/>
          <w:highlight w:val="none"/>
        </w:rPr>
        <w:t>(如有)</w:t>
      </w:r>
    </w:p>
    <w:p w14:paraId="3956DB52">
      <w:pPr>
        <w:widowControl/>
        <w:spacing w:line="360" w:lineRule="auto"/>
        <w:ind w:firstLine="480" w:firstLineChars="200"/>
        <w:rPr>
          <w:rFonts w:hint="eastAsia" w:ascii="宋体" w:hAnsi="宋体"/>
          <w:color w:val="auto"/>
          <w:kern w:val="0"/>
          <w:sz w:val="24"/>
          <w:highlight w:val="none"/>
        </w:rPr>
      </w:pPr>
      <w:bookmarkStart w:id="4" w:name="bookmark5"/>
      <w:bookmarkEnd w:id="4"/>
      <w:r>
        <w:rPr>
          <w:rFonts w:hint="eastAsia" w:ascii="宋体" w:hAnsi="宋体"/>
          <w:color w:val="auto"/>
          <w:kern w:val="0"/>
          <w:sz w:val="24"/>
          <w:highlight w:val="none"/>
        </w:rPr>
        <w:t>6.1对小微企业投标的扶持：(如有)</w:t>
      </w:r>
    </w:p>
    <w:p w14:paraId="171DC3C6">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6.1.1投标供应商为小型或微型企业时，报价给予C1的价格扣除(C1的取值为20%)，即：评标价＝投标报价(最后报价)×(1－C1)；</w:t>
      </w:r>
    </w:p>
    <w:p w14:paraId="6CE9791A">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6.1.2小微企业应当提供《中小企业声明函》(见格式)。</w:t>
      </w:r>
    </w:p>
    <w:p w14:paraId="169AA7B8">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6.2按照《政府采购促进中小企业发展管理办法》有关规定，中小企业的标准为：</w:t>
      </w:r>
    </w:p>
    <w:p w14:paraId="169EBE05">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6.2.1提供本企业制造的货物、承担的工程或者服务，或者提供其他中小企业制造的货物，不包括提供或使用大型企业注册商标的货物；</w:t>
      </w:r>
    </w:p>
    <w:p w14:paraId="663007FC">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6.2.2本规定所称中小企业划分标准，是指国务院有关部门根据企业从业人员、营业收入、资产总额等指标制定的中小企业划型标准(工信部联企业[2011]300号)；</w:t>
      </w:r>
    </w:p>
    <w:p w14:paraId="708B4F6E">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6.2.3小型、微型企业提供有中型企业制造的货物的，视同为中型企业；小型、微型、中型企业提供有大型企业制造的货物的，视同为大型企业。</w:t>
      </w:r>
    </w:p>
    <w:p w14:paraId="0AA51F75">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63990A4F">
      <w:pPr>
        <w:widowControl/>
        <w:spacing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color w:val="auto"/>
          <w:kern w:val="0"/>
          <w:sz w:val="24"/>
          <w:highlight w:val="none"/>
        </w:rPr>
        <w:t>同一供应商，小微企业、监狱、残疾人福利性企业同一产品价格扣除优惠只享受一次，不得重复享受。</w:t>
      </w:r>
    </w:p>
    <w:p w14:paraId="0217642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（四）参加竞争性磋商单位的响应文件有下列情况之一的，视为无效响应文件。</w:t>
      </w:r>
    </w:p>
    <w:p w14:paraId="68601DF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1.未按竞争性磋商文件明示的规定签字或盖章的；</w:t>
      </w:r>
    </w:p>
    <w:p w14:paraId="45FF9BE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2.响应文件的关键内容（投标报价、合同履行期限、质量要求、品牌、型号等）未填写或填写字迹模糊无法辨认的；</w:t>
      </w:r>
    </w:p>
    <w:p w14:paraId="06783CF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3.采购报价超出控制价的；</w:t>
      </w:r>
    </w:p>
    <w:p w14:paraId="2D48567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4.响应文件中对同一项目有两个或多个报价，且未声明哪一个有效的；</w:t>
      </w:r>
    </w:p>
    <w:p w14:paraId="5130961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5.相关资格证明文件不合格的；</w:t>
      </w:r>
    </w:p>
    <w:p w14:paraId="6E27DA0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6.响应文件中附有采购人不能接受的条件的；</w:t>
      </w:r>
    </w:p>
    <w:p w14:paraId="5877330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7.响应文件有明显不符合竞争性磋商文件其它要求和有关法律法规的；</w:t>
      </w:r>
    </w:p>
    <w:p w14:paraId="1E34B8E1">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14:paraId="0B3A236E">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14:paraId="09DA004F">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磋商小组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14:paraId="3BBB01D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14:paraId="59DC171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14:paraId="11617CE3">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14:paraId="6806D2C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14:paraId="502AF0C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14:paraId="2C2A95AD">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14:paraId="22DF5CE8">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14:paraId="383255AF">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小组确认的成交单位。</w:t>
      </w:r>
    </w:p>
    <w:p w14:paraId="7F64D592">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15</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文件和成交人的响应文件与采购单位签订合同。</w:t>
      </w:r>
    </w:p>
    <w:p w14:paraId="30891157">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竞争性磋商</w:t>
      </w:r>
      <w:r>
        <w:rPr>
          <w:rFonts w:hint="eastAsia" w:ascii="宋体" w:hAnsi="宋体"/>
          <w:color w:val="auto"/>
          <w:kern w:val="0"/>
          <w:sz w:val="24"/>
          <w:highlight w:val="none"/>
        </w:rPr>
        <w:t>文件及其澄清文件等均为签订合同的依据。</w:t>
      </w:r>
    </w:p>
    <w:p w14:paraId="0CEC6750">
      <w:pPr>
        <w:spacing w:before="140" w:line="223" w:lineRule="auto"/>
        <w:jc w:val="center"/>
        <w:rPr>
          <w:rFonts w:ascii="宋体" w:hAnsi="宋体" w:eastAsia="宋体" w:cs="宋体"/>
          <w:spacing w:val="8"/>
          <w:sz w:val="43"/>
          <w:szCs w:val="43"/>
          <w:highlight w:val="none"/>
          <w14:textOutline w14:w="7968" w14:cap="flat" w14:cmpd="sng">
            <w14:solidFill>
              <w14:srgbClr w14:val="000000"/>
            </w14:solidFill>
            <w14:prstDash w14:val="solid"/>
            <w14:miter w14:val="0"/>
          </w14:textOutline>
        </w:rPr>
      </w:pPr>
    </w:p>
    <w:p w14:paraId="19CF2CB8">
      <w:pPr>
        <w:spacing w:before="140" w:line="223" w:lineRule="auto"/>
        <w:jc w:val="center"/>
        <w:rPr>
          <w:rFonts w:ascii="宋体" w:hAnsi="宋体" w:eastAsia="宋体" w:cs="宋体"/>
          <w:spacing w:val="8"/>
          <w:sz w:val="43"/>
          <w:szCs w:val="43"/>
          <w:highlight w:val="none"/>
          <w14:textOutline w14:w="7968" w14:cap="flat" w14:cmpd="sng">
            <w14:solidFill>
              <w14:srgbClr w14:val="000000"/>
            </w14:solidFill>
            <w14:prstDash w14:val="solid"/>
            <w14:miter w14:val="0"/>
          </w14:textOutline>
        </w:rPr>
      </w:pPr>
    </w:p>
    <w:p w14:paraId="403C63E3">
      <w:pPr>
        <w:spacing w:before="140" w:line="223" w:lineRule="auto"/>
        <w:jc w:val="center"/>
        <w:rPr>
          <w:rFonts w:ascii="宋体" w:hAnsi="宋体" w:eastAsia="宋体" w:cs="宋体"/>
          <w:spacing w:val="8"/>
          <w:sz w:val="43"/>
          <w:szCs w:val="43"/>
          <w:highlight w:val="none"/>
          <w14:textOutline w14:w="7968" w14:cap="flat" w14:cmpd="sng">
            <w14:solidFill>
              <w14:srgbClr w14:val="000000"/>
            </w14:solidFill>
            <w14:prstDash w14:val="solid"/>
            <w14:miter w14:val="0"/>
          </w14:textOutline>
        </w:rPr>
      </w:pPr>
    </w:p>
    <w:p w14:paraId="2260E7F9">
      <w:pPr>
        <w:spacing w:before="140" w:line="223" w:lineRule="auto"/>
        <w:jc w:val="center"/>
        <w:rPr>
          <w:rFonts w:ascii="宋体" w:hAnsi="宋体" w:eastAsia="宋体" w:cs="宋体"/>
          <w:spacing w:val="8"/>
          <w:sz w:val="43"/>
          <w:szCs w:val="43"/>
          <w:highlight w:val="none"/>
          <w14:textOutline w14:w="7968" w14:cap="flat" w14:cmpd="sng">
            <w14:solidFill>
              <w14:srgbClr w14:val="000000"/>
            </w14:solidFill>
            <w14:prstDash w14:val="solid"/>
            <w14:miter w14:val="0"/>
          </w14:textOutline>
        </w:rPr>
      </w:pPr>
    </w:p>
    <w:p w14:paraId="6582C3DA">
      <w:pPr>
        <w:spacing w:before="140" w:line="223" w:lineRule="auto"/>
        <w:jc w:val="center"/>
        <w:rPr>
          <w:rFonts w:ascii="宋体" w:hAnsi="宋体" w:eastAsia="宋体" w:cs="宋体"/>
          <w:spacing w:val="8"/>
          <w:sz w:val="43"/>
          <w:szCs w:val="43"/>
          <w:highlight w:val="none"/>
          <w14:textOutline w14:w="7968" w14:cap="flat" w14:cmpd="sng">
            <w14:solidFill>
              <w14:srgbClr w14:val="000000"/>
            </w14:solidFill>
            <w14:prstDash w14:val="solid"/>
            <w14:miter w14:val="0"/>
          </w14:textOutline>
        </w:rPr>
      </w:pPr>
    </w:p>
    <w:p w14:paraId="687933A6">
      <w:pPr>
        <w:spacing w:before="140" w:line="223" w:lineRule="auto"/>
        <w:jc w:val="center"/>
        <w:rPr>
          <w:rFonts w:ascii="宋体" w:hAnsi="宋体" w:eastAsia="宋体" w:cs="宋体"/>
          <w:spacing w:val="8"/>
          <w:sz w:val="43"/>
          <w:szCs w:val="43"/>
          <w:highlight w:val="none"/>
          <w14:textOutline w14:w="7968" w14:cap="flat" w14:cmpd="sng">
            <w14:solidFill>
              <w14:srgbClr w14:val="000000"/>
            </w14:solidFill>
            <w14:prstDash w14:val="solid"/>
            <w14:miter w14:val="0"/>
          </w14:textOutline>
        </w:rPr>
      </w:pPr>
    </w:p>
    <w:p w14:paraId="24E7A583">
      <w:pPr>
        <w:spacing w:before="140" w:line="223" w:lineRule="auto"/>
        <w:jc w:val="center"/>
        <w:rPr>
          <w:rFonts w:ascii="宋体" w:hAnsi="宋体" w:eastAsia="宋体" w:cs="宋体"/>
          <w:spacing w:val="8"/>
          <w:sz w:val="43"/>
          <w:szCs w:val="43"/>
          <w:highlight w:val="none"/>
          <w14:textOutline w14:w="7968" w14:cap="flat" w14:cmpd="sng">
            <w14:solidFill>
              <w14:srgbClr w14:val="000000"/>
            </w14:solidFill>
            <w14:prstDash w14:val="solid"/>
            <w14:miter w14:val="0"/>
          </w14:textOutline>
        </w:rPr>
      </w:pPr>
    </w:p>
    <w:p w14:paraId="5B4BDBB3">
      <w:pPr>
        <w:spacing w:before="140" w:line="223" w:lineRule="auto"/>
        <w:jc w:val="center"/>
        <w:rPr>
          <w:rFonts w:ascii="宋体" w:hAnsi="宋体" w:eastAsia="宋体" w:cs="宋体"/>
          <w:spacing w:val="8"/>
          <w:sz w:val="43"/>
          <w:szCs w:val="43"/>
          <w:highlight w:val="none"/>
          <w14:textOutline w14:w="7968" w14:cap="flat" w14:cmpd="sng">
            <w14:solidFill>
              <w14:srgbClr w14:val="000000"/>
            </w14:solidFill>
            <w14:prstDash w14:val="solid"/>
            <w14:miter w14:val="0"/>
          </w14:textOutline>
        </w:rPr>
      </w:pPr>
    </w:p>
    <w:p w14:paraId="152F4150">
      <w:pPr>
        <w:rPr>
          <w:rFonts w:hint="eastAsia"/>
          <w:color w:val="auto"/>
          <w:kern w:val="0"/>
          <w:highlight w:val="none"/>
        </w:rPr>
      </w:pPr>
      <w:r>
        <w:rPr>
          <w:rFonts w:hint="eastAsia"/>
          <w:color w:val="auto"/>
          <w:kern w:val="0"/>
          <w:highlight w:val="none"/>
        </w:rPr>
        <w:br w:type="page"/>
      </w:r>
    </w:p>
    <w:p w14:paraId="3CC57AC9">
      <w:pPr>
        <w:pStyle w:val="2"/>
        <w:pageBreakBefore w:val="0"/>
        <w:numPr>
          <w:ilvl w:val="0"/>
          <w:numId w:val="3"/>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14:paraId="775BEE9E">
      <w:pPr>
        <w:pStyle w:val="6"/>
        <w:spacing w:line="357" w:lineRule="auto"/>
        <w:rPr>
          <w:highlight w:val="none"/>
        </w:rPr>
      </w:pPr>
    </w:p>
    <w:p w14:paraId="47F063EE">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highlight w:val="none"/>
        </w:rPr>
      </w:pPr>
      <w:r>
        <w:rPr>
          <w:rFonts w:ascii="宋体" w:hAnsi="宋体" w:eastAsia="宋体" w:cs="宋体"/>
          <w:sz w:val="24"/>
          <w:szCs w:val="24"/>
          <w:highlight w:val="none"/>
        </w:rPr>
        <w:t>供应商如有不清楚的地方可与采购人和代理机构联系。采购报价应包含所有费用。成交人在成交后不得以任何理由增加任何费用。</w:t>
      </w:r>
    </w:p>
    <w:p w14:paraId="7EC86F5C">
      <w:pPr>
        <w:spacing w:line="218" w:lineRule="auto"/>
        <w:rPr>
          <w:rFonts w:ascii="宋体" w:hAnsi="宋体" w:eastAsia="宋体" w:cs="宋体"/>
          <w:color w:val="FF0000"/>
          <w:sz w:val="24"/>
          <w:szCs w:val="24"/>
          <w:highlight w:val="none"/>
        </w:rPr>
        <w:sectPr>
          <w:footerReference r:id="rId14" w:type="default"/>
          <w:pgSz w:w="11907" w:h="16839"/>
          <w:pgMar w:top="1431" w:right="1785" w:bottom="1569" w:left="1785" w:header="0" w:footer="1408" w:gutter="0"/>
          <w:pgNumType w:fmt="decimal"/>
          <w:cols w:space="720" w:num="1"/>
        </w:sectPr>
      </w:pPr>
    </w:p>
    <w:p w14:paraId="0BC03F68">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14:paraId="756D6F41">
      <w:pPr>
        <w:pStyle w:val="6"/>
        <w:spacing w:line="402" w:lineRule="auto"/>
        <w:rPr>
          <w:highlight w:val="none"/>
        </w:rPr>
      </w:pPr>
    </w:p>
    <w:p w14:paraId="6ECD596D">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14:paraId="01412CA6">
      <w:pPr>
        <w:spacing w:before="230" w:line="360" w:lineRule="auto"/>
        <w:ind w:left="26" w:right="131" w:firstLine="492"/>
        <w:rPr>
          <w:rFonts w:ascii="宋体" w:hAnsi="宋体" w:eastAsia="宋体" w:cs="宋体"/>
          <w:sz w:val="24"/>
          <w:szCs w:val="24"/>
          <w:highlight w:val="none"/>
        </w:rPr>
      </w:pPr>
      <w:r>
        <w:rPr>
          <w:rFonts w:ascii="宋体" w:hAnsi="宋体" w:eastAsia="宋体" w:cs="宋体"/>
          <w:spacing w:val="-4"/>
          <w:sz w:val="24"/>
          <w:szCs w:val="24"/>
          <w:highlight w:val="none"/>
        </w:rPr>
        <w:t>1.参与政府采购活动的供应商认为采购文件、采购过程、中标或者成交结</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果使自己的权益受到损害的，可以在知道或者应知其权益受到损</w:t>
      </w:r>
      <w:r>
        <w:rPr>
          <w:rFonts w:ascii="宋体" w:hAnsi="宋体" w:eastAsia="宋体" w:cs="宋体"/>
          <w:spacing w:val="-2"/>
          <w:sz w:val="24"/>
          <w:szCs w:val="24"/>
          <w:highlight w:val="none"/>
        </w:rPr>
        <w:t>害之日起</w:t>
      </w:r>
      <w:r>
        <w:rPr>
          <w:rFonts w:ascii="宋体" w:hAnsi="宋体" w:eastAsia="宋体" w:cs="宋体"/>
          <w:spacing w:val="-29"/>
          <w:sz w:val="24"/>
          <w:szCs w:val="24"/>
          <w:highlight w:val="none"/>
        </w:rPr>
        <w:t xml:space="preserve"> </w:t>
      </w:r>
      <w:r>
        <w:rPr>
          <w:rFonts w:ascii="宋体" w:hAnsi="宋体" w:eastAsia="宋体" w:cs="宋体"/>
          <w:spacing w:val="-2"/>
          <w:sz w:val="24"/>
          <w:szCs w:val="24"/>
          <w:highlight w:val="none"/>
        </w:rPr>
        <w:t>7</w:t>
      </w:r>
      <w:r>
        <w:rPr>
          <w:rFonts w:ascii="宋体" w:hAnsi="宋体" w:eastAsia="宋体" w:cs="宋体"/>
          <w:spacing w:val="-36"/>
          <w:sz w:val="24"/>
          <w:szCs w:val="24"/>
          <w:highlight w:val="none"/>
        </w:rPr>
        <w:t xml:space="preserve"> </w:t>
      </w:r>
      <w:r>
        <w:rPr>
          <w:rFonts w:ascii="宋体" w:hAnsi="宋体" w:eastAsia="宋体" w:cs="宋体"/>
          <w:spacing w:val="-2"/>
          <w:sz w:val="24"/>
          <w:szCs w:val="24"/>
          <w:highlight w:val="none"/>
        </w:rPr>
        <w:t>个工作日内，以书面形式向采购人、采购代理机构提出质疑。</w:t>
      </w:r>
    </w:p>
    <w:p w14:paraId="096AC147">
      <w:pPr>
        <w:spacing w:before="183" w:line="468" w:lineRule="exact"/>
        <w:ind w:left="504"/>
        <w:rPr>
          <w:rFonts w:ascii="宋体" w:hAnsi="宋体" w:eastAsia="宋体" w:cs="宋体"/>
          <w:sz w:val="24"/>
          <w:szCs w:val="24"/>
          <w:highlight w:val="none"/>
        </w:rPr>
      </w:pPr>
      <w:r>
        <w:rPr>
          <w:rFonts w:ascii="宋体" w:hAnsi="宋体" w:eastAsia="宋体" w:cs="宋体"/>
          <w:spacing w:val="-3"/>
          <w:position w:val="17"/>
          <w:sz w:val="24"/>
          <w:szCs w:val="24"/>
          <w:highlight w:val="none"/>
        </w:rPr>
        <w:t>2.供应商提出质疑应当提交质疑函和必要的证明材料。政府采购供应商质</w:t>
      </w:r>
    </w:p>
    <w:p w14:paraId="5711B6B8">
      <w:pPr>
        <w:spacing w:before="1" w:line="218" w:lineRule="auto"/>
        <w:ind w:left="24"/>
        <w:rPr>
          <w:rFonts w:ascii="宋体" w:hAnsi="宋体" w:eastAsia="宋体" w:cs="宋体"/>
          <w:sz w:val="24"/>
          <w:szCs w:val="24"/>
          <w:highlight w:val="none"/>
        </w:rPr>
      </w:pPr>
      <w:r>
        <w:rPr>
          <w:rFonts w:ascii="宋体" w:hAnsi="宋体" w:eastAsia="宋体" w:cs="宋体"/>
          <w:spacing w:val="-7"/>
          <w:sz w:val="24"/>
          <w:szCs w:val="24"/>
          <w:highlight w:val="none"/>
        </w:rPr>
        <w:t>疑函范本下载地址：</w:t>
      </w:r>
    </w:p>
    <w:p w14:paraId="25EF8847">
      <w:pPr>
        <w:spacing w:before="184" w:line="214" w:lineRule="auto"/>
        <w:ind w:left="438"/>
        <w:rPr>
          <w:rFonts w:ascii="宋体" w:hAnsi="宋体" w:eastAsia="宋体" w:cs="宋体"/>
          <w:sz w:val="24"/>
          <w:szCs w:val="24"/>
          <w:highlight w:val="none"/>
        </w:rPr>
      </w:pPr>
      <w:r>
        <w:rPr>
          <w:highlight w:val="none"/>
        </w:rPr>
        <w:fldChar w:fldCharType="begin"/>
      </w:r>
      <w:r>
        <w:rPr>
          <w:highlight w:val="none"/>
        </w:rPr>
        <w:instrText xml:space="preserve"> HYPERLINK "http://download.ccgp.gov.cn/2018/zhiyihanfanben.zip；" </w:instrText>
      </w:r>
      <w:r>
        <w:rPr>
          <w:highlight w:val="none"/>
        </w:rPr>
        <w:fldChar w:fldCharType="separate"/>
      </w:r>
      <w:r>
        <w:rPr>
          <w:rFonts w:ascii="宋体" w:hAnsi="宋体" w:eastAsia="宋体" w:cs="宋体"/>
          <w:sz w:val="24"/>
          <w:szCs w:val="24"/>
          <w:highlight w:val="none"/>
          <w:u w:val="single" w:color="auto"/>
        </w:rPr>
        <w:t>http://download.ccgp.gov.cn/2018/zhiyihanfan</w:t>
      </w:r>
      <w:r>
        <w:rPr>
          <w:rFonts w:ascii="宋体" w:hAnsi="宋体" w:eastAsia="宋体" w:cs="宋体"/>
          <w:spacing w:val="-1"/>
          <w:sz w:val="24"/>
          <w:szCs w:val="24"/>
          <w:highlight w:val="none"/>
          <w:u w:val="single" w:color="auto"/>
        </w:rPr>
        <w:t>ben.zip；</w:t>
      </w:r>
      <w:r>
        <w:rPr>
          <w:rFonts w:ascii="宋体" w:hAnsi="宋体" w:eastAsia="宋体" w:cs="宋体"/>
          <w:spacing w:val="-1"/>
          <w:sz w:val="24"/>
          <w:szCs w:val="24"/>
          <w:highlight w:val="none"/>
          <w:u w:val="single" w:color="auto"/>
        </w:rPr>
        <w:fldChar w:fldCharType="end"/>
      </w:r>
    </w:p>
    <w:p w14:paraId="516654F6">
      <w:pPr>
        <w:spacing w:before="190" w:line="360" w:lineRule="auto"/>
        <w:ind w:left="37" w:right="130" w:firstLine="466"/>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3</w:t>
      </w:r>
      <w:r>
        <w:rPr>
          <w:rFonts w:ascii="宋体" w:hAnsi="宋体" w:eastAsia="宋体" w:cs="宋体"/>
          <w:spacing w:val="-2"/>
          <w:sz w:val="24"/>
          <w:szCs w:val="24"/>
          <w:highlight w:val="none"/>
        </w:rPr>
        <w:t>.采购人、采购代理机构不得拒收质疑供应商在法定质疑期内发出的质疑</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函，应当在收到质疑函后</w:t>
      </w:r>
      <w:r>
        <w:rPr>
          <w:rFonts w:ascii="宋体" w:hAnsi="宋体" w:eastAsia="宋体" w:cs="宋体"/>
          <w:spacing w:val="-30"/>
          <w:sz w:val="24"/>
          <w:szCs w:val="24"/>
          <w:highlight w:val="none"/>
        </w:rPr>
        <w:t xml:space="preserve"> </w:t>
      </w:r>
      <w:r>
        <w:rPr>
          <w:rFonts w:ascii="宋体" w:hAnsi="宋体" w:eastAsia="宋体" w:cs="宋体"/>
          <w:spacing w:val="-1"/>
          <w:sz w:val="24"/>
          <w:szCs w:val="24"/>
          <w:highlight w:val="none"/>
        </w:rPr>
        <w:t>7</w:t>
      </w:r>
      <w:r>
        <w:rPr>
          <w:rFonts w:ascii="宋体" w:hAnsi="宋体" w:eastAsia="宋体" w:cs="宋体"/>
          <w:spacing w:val="-36"/>
          <w:sz w:val="24"/>
          <w:szCs w:val="24"/>
          <w:highlight w:val="none"/>
        </w:rPr>
        <w:t xml:space="preserve"> </w:t>
      </w:r>
      <w:r>
        <w:rPr>
          <w:rFonts w:ascii="宋体" w:hAnsi="宋体" w:eastAsia="宋体" w:cs="宋体"/>
          <w:spacing w:val="-1"/>
          <w:sz w:val="24"/>
          <w:szCs w:val="24"/>
          <w:highlight w:val="none"/>
        </w:rPr>
        <w:t>个工作日内作出</w:t>
      </w:r>
      <w:r>
        <w:rPr>
          <w:rFonts w:ascii="宋体" w:hAnsi="宋体" w:eastAsia="宋体" w:cs="宋体"/>
          <w:spacing w:val="-2"/>
          <w:sz w:val="24"/>
          <w:szCs w:val="24"/>
          <w:highlight w:val="none"/>
        </w:rPr>
        <w:t>答复，并以书面形式通知质疑供应</w:t>
      </w:r>
    </w:p>
    <w:p w14:paraId="4ABD060E">
      <w:pPr>
        <w:spacing w:before="1" w:line="218" w:lineRule="auto"/>
        <w:ind w:left="26"/>
        <w:rPr>
          <w:rFonts w:ascii="宋体" w:hAnsi="宋体" w:eastAsia="宋体" w:cs="宋体"/>
          <w:sz w:val="24"/>
          <w:szCs w:val="24"/>
          <w:highlight w:val="none"/>
        </w:rPr>
      </w:pPr>
      <w:r>
        <w:rPr>
          <w:rFonts w:ascii="宋体" w:hAnsi="宋体" w:eastAsia="宋体" w:cs="宋体"/>
          <w:spacing w:val="-5"/>
          <w:sz w:val="24"/>
          <w:szCs w:val="24"/>
          <w:highlight w:val="none"/>
        </w:rPr>
        <w:t>商和其他有关供应商。</w:t>
      </w:r>
    </w:p>
    <w:p w14:paraId="7814352A">
      <w:pPr>
        <w:spacing w:before="184" w:line="468" w:lineRule="exact"/>
        <w:ind w:left="506"/>
        <w:rPr>
          <w:rFonts w:ascii="宋体" w:hAnsi="宋体" w:eastAsia="宋体" w:cs="宋体"/>
          <w:sz w:val="24"/>
          <w:szCs w:val="24"/>
          <w:highlight w:val="none"/>
        </w:rPr>
      </w:pPr>
      <w:r>
        <w:rPr>
          <w:rFonts w:hint="eastAsia" w:ascii="宋体" w:hAnsi="宋体" w:eastAsia="宋体" w:cs="宋体"/>
          <w:spacing w:val="-2"/>
          <w:position w:val="17"/>
          <w:sz w:val="24"/>
          <w:szCs w:val="24"/>
          <w:highlight w:val="none"/>
          <w:lang w:val="en-US" w:eastAsia="zh-CN"/>
        </w:rPr>
        <w:t>4</w:t>
      </w:r>
      <w:r>
        <w:rPr>
          <w:rFonts w:ascii="宋体" w:hAnsi="宋体" w:eastAsia="宋体" w:cs="宋体"/>
          <w:spacing w:val="-2"/>
          <w:position w:val="17"/>
          <w:sz w:val="24"/>
          <w:szCs w:val="24"/>
          <w:highlight w:val="none"/>
        </w:rPr>
        <w:t>.</w:t>
      </w:r>
      <w:r>
        <w:rPr>
          <w:rFonts w:ascii="宋体" w:hAnsi="宋体" w:eastAsia="宋体" w:cs="宋体"/>
          <w:spacing w:val="-38"/>
          <w:position w:val="17"/>
          <w:sz w:val="24"/>
          <w:szCs w:val="24"/>
          <w:highlight w:val="none"/>
        </w:rPr>
        <w:t xml:space="preserve"> </w:t>
      </w:r>
      <w:r>
        <w:rPr>
          <w:rFonts w:ascii="宋体" w:hAnsi="宋体" w:eastAsia="宋体" w:cs="宋体"/>
          <w:spacing w:val="-2"/>
          <w:position w:val="17"/>
          <w:sz w:val="24"/>
          <w:szCs w:val="24"/>
          <w:highlight w:val="none"/>
        </w:rPr>
        <w:t>供应商提出质疑应当提交质疑函和必要的证明材料。质疑函应当包括下</w:t>
      </w:r>
    </w:p>
    <w:p w14:paraId="54C7CF5E">
      <w:pPr>
        <w:spacing w:line="219" w:lineRule="auto"/>
        <w:ind w:left="26"/>
        <w:rPr>
          <w:rFonts w:ascii="宋体" w:hAnsi="宋体" w:eastAsia="宋体" w:cs="宋体"/>
          <w:sz w:val="24"/>
          <w:szCs w:val="24"/>
          <w:highlight w:val="none"/>
        </w:rPr>
      </w:pPr>
      <w:r>
        <w:rPr>
          <w:rFonts w:ascii="宋体" w:hAnsi="宋体" w:eastAsia="宋体" w:cs="宋体"/>
          <w:spacing w:val="-14"/>
          <w:sz w:val="24"/>
          <w:szCs w:val="24"/>
          <w:highlight w:val="none"/>
        </w:rPr>
        <w:t>列内容：</w:t>
      </w:r>
    </w:p>
    <w:p w14:paraId="67A28BE8">
      <w:pPr>
        <w:spacing w:before="183" w:line="219" w:lineRule="auto"/>
        <w:ind w:left="446"/>
        <w:rPr>
          <w:rFonts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4</w:t>
      </w:r>
      <w:r>
        <w:rPr>
          <w:rFonts w:ascii="宋体" w:hAnsi="宋体" w:eastAsia="宋体" w:cs="宋体"/>
          <w:spacing w:val="-3"/>
          <w:sz w:val="24"/>
          <w:szCs w:val="24"/>
          <w:highlight w:val="none"/>
        </w:rPr>
        <w:t>.1</w:t>
      </w:r>
      <w:r>
        <w:rPr>
          <w:rFonts w:ascii="宋体" w:hAnsi="宋体" w:eastAsia="宋体" w:cs="宋体"/>
          <w:spacing w:val="-34"/>
          <w:sz w:val="24"/>
          <w:szCs w:val="24"/>
          <w:highlight w:val="none"/>
        </w:rPr>
        <w:t xml:space="preserve"> </w:t>
      </w:r>
      <w:r>
        <w:rPr>
          <w:rFonts w:ascii="宋体" w:hAnsi="宋体" w:eastAsia="宋体" w:cs="宋体"/>
          <w:spacing w:val="-3"/>
          <w:sz w:val="24"/>
          <w:szCs w:val="24"/>
          <w:highlight w:val="none"/>
        </w:rPr>
        <w:t>供应商的姓名或者名称、地址、邮编、联系人及联系电话；</w:t>
      </w:r>
    </w:p>
    <w:p w14:paraId="0C73DDBD">
      <w:pPr>
        <w:spacing w:before="183" w:line="220" w:lineRule="auto"/>
        <w:ind w:left="446"/>
        <w:rPr>
          <w:rFonts w:ascii="宋体" w:hAnsi="宋体" w:eastAsia="宋体" w:cs="宋体"/>
          <w:sz w:val="24"/>
          <w:szCs w:val="24"/>
          <w:highlight w:val="none"/>
        </w:rPr>
      </w:pPr>
      <w:r>
        <w:rPr>
          <w:rFonts w:hint="eastAsia" w:ascii="宋体" w:hAnsi="宋体" w:eastAsia="宋体" w:cs="宋体"/>
          <w:spacing w:val="-6"/>
          <w:sz w:val="24"/>
          <w:szCs w:val="24"/>
          <w:highlight w:val="none"/>
          <w:lang w:val="en-US" w:eastAsia="zh-CN"/>
        </w:rPr>
        <w:t>4</w:t>
      </w:r>
      <w:r>
        <w:rPr>
          <w:rFonts w:ascii="宋体" w:hAnsi="宋体" w:eastAsia="宋体" w:cs="宋体"/>
          <w:spacing w:val="-6"/>
          <w:sz w:val="24"/>
          <w:szCs w:val="24"/>
          <w:highlight w:val="none"/>
        </w:rPr>
        <w:t>.2</w:t>
      </w:r>
      <w:r>
        <w:rPr>
          <w:rFonts w:ascii="宋体" w:hAnsi="宋体" w:eastAsia="宋体" w:cs="宋体"/>
          <w:spacing w:val="-34"/>
          <w:sz w:val="24"/>
          <w:szCs w:val="24"/>
          <w:highlight w:val="none"/>
        </w:rPr>
        <w:t xml:space="preserve"> </w:t>
      </w:r>
      <w:r>
        <w:rPr>
          <w:rFonts w:hint="eastAsia" w:ascii="宋体" w:hAnsi="宋体" w:eastAsia="宋体" w:cs="宋体"/>
          <w:spacing w:val="-34"/>
          <w:sz w:val="24"/>
          <w:szCs w:val="24"/>
          <w:highlight w:val="none"/>
          <w:lang w:val="en-US" w:eastAsia="zh-CN"/>
        </w:rPr>
        <w:t xml:space="preserve"> </w:t>
      </w:r>
      <w:r>
        <w:rPr>
          <w:rFonts w:ascii="宋体" w:hAnsi="宋体" w:eastAsia="宋体" w:cs="宋体"/>
          <w:spacing w:val="-6"/>
          <w:sz w:val="24"/>
          <w:szCs w:val="24"/>
          <w:highlight w:val="none"/>
        </w:rPr>
        <w:t>质疑项目的名称、编号；</w:t>
      </w:r>
    </w:p>
    <w:p w14:paraId="6A7668AA">
      <w:pPr>
        <w:spacing w:before="182" w:line="220" w:lineRule="auto"/>
        <w:ind w:left="446"/>
        <w:rPr>
          <w:rFonts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4</w:t>
      </w:r>
      <w:r>
        <w:rPr>
          <w:rFonts w:ascii="宋体" w:hAnsi="宋体" w:eastAsia="宋体" w:cs="宋体"/>
          <w:spacing w:val="-4"/>
          <w:sz w:val="24"/>
          <w:szCs w:val="24"/>
          <w:highlight w:val="none"/>
        </w:rPr>
        <w:t>.3</w:t>
      </w:r>
      <w:r>
        <w:rPr>
          <w:rFonts w:hint="eastAsia" w:ascii="宋体" w:hAnsi="宋体" w:eastAsia="宋体" w:cs="宋体"/>
          <w:spacing w:val="-4"/>
          <w:sz w:val="24"/>
          <w:szCs w:val="24"/>
          <w:highlight w:val="none"/>
          <w:lang w:val="en-US" w:eastAsia="zh-CN"/>
        </w:rPr>
        <w:t xml:space="preserve"> </w:t>
      </w:r>
      <w:r>
        <w:rPr>
          <w:rFonts w:ascii="宋体" w:hAnsi="宋体" w:eastAsia="宋体" w:cs="宋体"/>
          <w:spacing w:val="-4"/>
          <w:sz w:val="24"/>
          <w:szCs w:val="24"/>
          <w:highlight w:val="none"/>
        </w:rPr>
        <w:t>具体、明确的质疑事项和与质疑事项相关的请求；</w:t>
      </w:r>
    </w:p>
    <w:p w14:paraId="524C7A9E">
      <w:pPr>
        <w:spacing w:before="183" w:line="219" w:lineRule="auto"/>
        <w:ind w:left="446"/>
        <w:rPr>
          <w:rFonts w:ascii="宋体" w:hAnsi="宋体" w:eastAsia="宋体" w:cs="宋体"/>
          <w:sz w:val="24"/>
          <w:szCs w:val="24"/>
          <w:highlight w:val="none"/>
        </w:rPr>
      </w:pPr>
      <w:r>
        <w:rPr>
          <w:rFonts w:hint="eastAsia" w:ascii="宋体" w:hAnsi="宋体" w:eastAsia="宋体" w:cs="宋体"/>
          <w:spacing w:val="-9"/>
          <w:sz w:val="24"/>
          <w:szCs w:val="24"/>
          <w:highlight w:val="none"/>
          <w:lang w:val="en-US" w:eastAsia="zh-CN"/>
        </w:rPr>
        <w:t>4</w:t>
      </w:r>
      <w:r>
        <w:rPr>
          <w:rFonts w:ascii="宋体" w:hAnsi="宋体" w:eastAsia="宋体" w:cs="宋体"/>
          <w:spacing w:val="-9"/>
          <w:sz w:val="24"/>
          <w:szCs w:val="24"/>
          <w:highlight w:val="none"/>
        </w:rPr>
        <w:t>.4</w:t>
      </w:r>
      <w:r>
        <w:rPr>
          <w:rFonts w:ascii="宋体" w:hAnsi="宋体" w:eastAsia="宋体" w:cs="宋体"/>
          <w:spacing w:val="-39"/>
          <w:sz w:val="24"/>
          <w:szCs w:val="24"/>
          <w:highlight w:val="none"/>
        </w:rPr>
        <w:t xml:space="preserve"> </w:t>
      </w:r>
      <w:r>
        <w:rPr>
          <w:rFonts w:hint="eastAsia" w:ascii="宋体" w:hAnsi="宋体" w:eastAsia="宋体" w:cs="宋体"/>
          <w:spacing w:val="-39"/>
          <w:sz w:val="24"/>
          <w:szCs w:val="24"/>
          <w:highlight w:val="none"/>
          <w:lang w:val="en-US" w:eastAsia="zh-CN"/>
        </w:rPr>
        <w:t xml:space="preserve"> </w:t>
      </w:r>
      <w:r>
        <w:rPr>
          <w:rFonts w:ascii="宋体" w:hAnsi="宋体" w:eastAsia="宋体" w:cs="宋体"/>
          <w:spacing w:val="-9"/>
          <w:sz w:val="24"/>
          <w:szCs w:val="24"/>
          <w:highlight w:val="none"/>
        </w:rPr>
        <w:t>事实依据；</w:t>
      </w:r>
    </w:p>
    <w:p w14:paraId="46DB384F">
      <w:pPr>
        <w:spacing w:before="183" w:line="219" w:lineRule="auto"/>
        <w:ind w:left="446"/>
        <w:rPr>
          <w:rFonts w:ascii="宋体" w:hAnsi="宋体" w:eastAsia="宋体" w:cs="宋体"/>
          <w:sz w:val="24"/>
          <w:szCs w:val="24"/>
          <w:highlight w:val="none"/>
        </w:rPr>
      </w:pPr>
      <w:r>
        <w:rPr>
          <w:rFonts w:hint="eastAsia" w:ascii="宋体" w:hAnsi="宋体" w:eastAsia="宋体" w:cs="宋体"/>
          <w:spacing w:val="-7"/>
          <w:sz w:val="24"/>
          <w:szCs w:val="24"/>
          <w:highlight w:val="none"/>
          <w:lang w:val="en-US" w:eastAsia="zh-CN"/>
        </w:rPr>
        <w:t>4</w:t>
      </w:r>
      <w:r>
        <w:rPr>
          <w:rFonts w:ascii="宋体" w:hAnsi="宋体" w:eastAsia="宋体" w:cs="宋体"/>
          <w:spacing w:val="-7"/>
          <w:sz w:val="24"/>
          <w:szCs w:val="24"/>
          <w:highlight w:val="none"/>
        </w:rPr>
        <w:t>.5</w:t>
      </w:r>
      <w:r>
        <w:rPr>
          <w:rFonts w:hint="eastAsia" w:ascii="宋体" w:hAnsi="宋体" w:eastAsia="宋体" w:cs="宋体"/>
          <w:spacing w:val="-7"/>
          <w:sz w:val="24"/>
          <w:szCs w:val="24"/>
          <w:highlight w:val="none"/>
          <w:lang w:val="en-US" w:eastAsia="zh-CN"/>
        </w:rPr>
        <w:t xml:space="preserve"> </w:t>
      </w:r>
      <w:r>
        <w:rPr>
          <w:rFonts w:ascii="宋体" w:hAnsi="宋体" w:eastAsia="宋体" w:cs="宋体"/>
          <w:spacing w:val="-38"/>
          <w:sz w:val="24"/>
          <w:szCs w:val="24"/>
          <w:highlight w:val="none"/>
        </w:rPr>
        <w:t xml:space="preserve"> </w:t>
      </w:r>
      <w:r>
        <w:rPr>
          <w:rFonts w:ascii="宋体" w:hAnsi="宋体" w:eastAsia="宋体" w:cs="宋体"/>
          <w:spacing w:val="-7"/>
          <w:sz w:val="24"/>
          <w:szCs w:val="24"/>
          <w:highlight w:val="none"/>
        </w:rPr>
        <w:t>必要的法律依据；</w:t>
      </w:r>
    </w:p>
    <w:p w14:paraId="7B196203">
      <w:pPr>
        <w:spacing w:before="184" w:line="220" w:lineRule="auto"/>
        <w:ind w:left="446"/>
        <w:rPr>
          <w:rFonts w:ascii="宋体" w:hAnsi="宋体" w:eastAsia="宋体" w:cs="宋体"/>
          <w:sz w:val="24"/>
          <w:szCs w:val="24"/>
          <w:highlight w:val="none"/>
        </w:rPr>
      </w:pPr>
      <w:r>
        <w:rPr>
          <w:rFonts w:hint="eastAsia" w:ascii="宋体" w:hAnsi="宋体" w:eastAsia="宋体" w:cs="宋体"/>
          <w:spacing w:val="-7"/>
          <w:sz w:val="24"/>
          <w:szCs w:val="24"/>
          <w:highlight w:val="none"/>
          <w:lang w:val="en-US" w:eastAsia="zh-CN"/>
        </w:rPr>
        <w:t>4</w:t>
      </w:r>
      <w:r>
        <w:rPr>
          <w:rFonts w:ascii="宋体" w:hAnsi="宋体" w:eastAsia="宋体" w:cs="宋体"/>
          <w:spacing w:val="-7"/>
          <w:sz w:val="24"/>
          <w:szCs w:val="24"/>
          <w:highlight w:val="none"/>
        </w:rPr>
        <w:t>.6</w:t>
      </w:r>
      <w:r>
        <w:rPr>
          <w:rFonts w:hint="eastAsia" w:ascii="宋体" w:hAnsi="宋体" w:eastAsia="宋体" w:cs="宋体"/>
          <w:spacing w:val="-7"/>
          <w:sz w:val="24"/>
          <w:szCs w:val="24"/>
          <w:highlight w:val="none"/>
          <w:lang w:val="en-US" w:eastAsia="zh-CN"/>
        </w:rPr>
        <w:t xml:space="preserve"> </w:t>
      </w:r>
      <w:r>
        <w:rPr>
          <w:rFonts w:ascii="宋体" w:hAnsi="宋体" w:eastAsia="宋体" w:cs="宋体"/>
          <w:spacing w:val="-38"/>
          <w:sz w:val="24"/>
          <w:szCs w:val="24"/>
          <w:highlight w:val="none"/>
        </w:rPr>
        <w:t xml:space="preserve"> </w:t>
      </w:r>
      <w:r>
        <w:rPr>
          <w:rFonts w:ascii="宋体" w:hAnsi="宋体" w:eastAsia="宋体" w:cs="宋体"/>
          <w:spacing w:val="-7"/>
          <w:sz w:val="24"/>
          <w:szCs w:val="24"/>
          <w:highlight w:val="none"/>
        </w:rPr>
        <w:t>提出质疑的日期；</w:t>
      </w:r>
    </w:p>
    <w:p w14:paraId="50BBBF5C">
      <w:pPr>
        <w:spacing w:before="181" w:line="220" w:lineRule="auto"/>
        <w:ind w:left="446"/>
        <w:rPr>
          <w:rFonts w:ascii="宋体" w:hAnsi="宋体" w:eastAsia="宋体" w:cs="宋体"/>
          <w:sz w:val="24"/>
          <w:szCs w:val="24"/>
          <w:highlight w:val="none"/>
        </w:rPr>
      </w:pPr>
      <w:r>
        <w:rPr>
          <w:rFonts w:hint="eastAsia" w:ascii="宋体" w:hAnsi="宋体" w:eastAsia="宋体" w:cs="宋体"/>
          <w:spacing w:val="-6"/>
          <w:sz w:val="24"/>
          <w:szCs w:val="24"/>
          <w:highlight w:val="none"/>
          <w:lang w:val="en-US" w:eastAsia="zh-CN"/>
        </w:rPr>
        <w:t>4</w:t>
      </w:r>
      <w:r>
        <w:rPr>
          <w:rFonts w:ascii="宋体" w:hAnsi="宋体" w:eastAsia="宋体" w:cs="宋体"/>
          <w:spacing w:val="-6"/>
          <w:sz w:val="24"/>
          <w:szCs w:val="24"/>
          <w:highlight w:val="none"/>
        </w:rPr>
        <w:t>.7</w:t>
      </w:r>
      <w:r>
        <w:rPr>
          <w:rFonts w:ascii="宋体" w:hAnsi="宋体" w:eastAsia="宋体" w:cs="宋体"/>
          <w:spacing w:val="-39"/>
          <w:sz w:val="24"/>
          <w:szCs w:val="24"/>
          <w:highlight w:val="none"/>
        </w:rPr>
        <w:t xml:space="preserve"> </w:t>
      </w:r>
      <w:r>
        <w:rPr>
          <w:rFonts w:hint="eastAsia" w:ascii="宋体" w:hAnsi="宋体" w:eastAsia="宋体" w:cs="宋体"/>
          <w:spacing w:val="-39"/>
          <w:sz w:val="24"/>
          <w:szCs w:val="24"/>
          <w:highlight w:val="none"/>
          <w:lang w:val="en-US" w:eastAsia="zh-CN"/>
        </w:rPr>
        <w:t xml:space="preserve"> </w:t>
      </w:r>
      <w:r>
        <w:rPr>
          <w:rFonts w:ascii="宋体" w:hAnsi="宋体" w:eastAsia="宋体" w:cs="宋体"/>
          <w:spacing w:val="-6"/>
          <w:sz w:val="24"/>
          <w:szCs w:val="24"/>
          <w:highlight w:val="none"/>
        </w:rPr>
        <w:t>获取招标文件的凭证；</w:t>
      </w:r>
    </w:p>
    <w:p w14:paraId="139EBFEE">
      <w:pPr>
        <w:spacing w:before="181" w:line="220" w:lineRule="auto"/>
        <w:ind w:left="446"/>
        <w:rPr>
          <w:rFonts w:ascii="宋体" w:hAnsi="宋体" w:eastAsia="宋体" w:cs="宋体"/>
          <w:spacing w:val="-6"/>
          <w:sz w:val="24"/>
          <w:szCs w:val="24"/>
          <w:highlight w:val="none"/>
        </w:rPr>
      </w:pPr>
      <w:r>
        <w:rPr>
          <w:rFonts w:hint="eastAsia" w:ascii="宋体" w:hAnsi="宋体" w:eastAsia="宋体" w:cs="宋体"/>
          <w:spacing w:val="-3"/>
          <w:sz w:val="24"/>
          <w:szCs w:val="24"/>
          <w:highlight w:val="none"/>
          <w:lang w:val="en-US" w:eastAsia="zh-CN"/>
        </w:rPr>
        <w:t>4</w:t>
      </w:r>
      <w:r>
        <w:rPr>
          <w:rFonts w:ascii="宋体" w:hAnsi="宋体" w:eastAsia="宋体" w:cs="宋体"/>
          <w:spacing w:val="-3"/>
          <w:sz w:val="24"/>
          <w:szCs w:val="24"/>
          <w:highlight w:val="none"/>
        </w:rPr>
        <w:t>.8 以上资料</w:t>
      </w:r>
      <w:r>
        <w:rPr>
          <w:rFonts w:ascii="宋体" w:hAnsi="宋体" w:eastAsia="宋体" w:cs="宋体"/>
          <w:spacing w:val="-6"/>
          <w:sz w:val="24"/>
          <w:szCs w:val="24"/>
          <w:highlight w:val="none"/>
        </w:rPr>
        <w:t>一式二份（招标人、采购代理机构各执一份）。</w:t>
      </w:r>
    </w:p>
    <w:p w14:paraId="61E49A35">
      <w:pPr>
        <w:spacing w:before="181" w:line="220" w:lineRule="auto"/>
        <w:ind w:left="446"/>
        <w:rPr>
          <w:rFonts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5</w:t>
      </w:r>
      <w:r>
        <w:rPr>
          <w:rFonts w:ascii="宋体" w:hAnsi="宋体" w:eastAsia="宋体" w:cs="宋体"/>
          <w:spacing w:val="-6"/>
          <w:sz w:val="24"/>
          <w:szCs w:val="24"/>
          <w:highlight w:val="none"/>
        </w:rPr>
        <w:t>.供应商不得虚假质疑和恶意质疑，并对质疑内容的真实性承担责任。</w:t>
      </w:r>
    </w:p>
    <w:p w14:paraId="37A3B188">
      <w:pPr>
        <w:spacing w:before="181" w:line="220" w:lineRule="auto"/>
        <w:ind w:left="446"/>
        <w:rPr>
          <w:rFonts w:hint="eastAsia" w:ascii="宋体" w:hAnsi="宋体" w:eastAsia="宋体" w:cs="宋体"/>
          <w:b/>
          <w:bCs/>
          <w:spacing w:val="-6"/>
          <w:sz w:val="28"/>
          <w:szCs w:val="28"/>
          <w:highlight w:val="none"/>
          <w:lang w:val="en-US" w:eastAsia="zh-CN"/>
        </w:rPr>
      </w:pPr>
      <w:r>
        <w:rPr>
          <w:rFonts w:hint="eastAsia" w:ascii="宋体" w:hAnsi="宋体" w:eastAsia="宋体" w:cs="宋体"/>
          <w:b/>
          <w:bCs/>
          <w:spacing w:val="-6"/>
          <w:sz w:val="28"/>
          <w:szCs w:val="28"/>
          <w:highlight w:val="none"/>
          <w:lang w:val="en-US" w:eastAsia="zh-CN"/>
        </w:rPr>
        <w:t>二、投诉与处理</w:t>
      </w:r>
    </w:p>
    <w:p w14:paraId="0CF84038">
      <w:pPr>
        <w:keepNext w:val="0"/>
        <w:keepLines w:val="0"/>
        <w:pageBreakBefore w:val="0"/>
        <w:widowControl w:val="0"/>
        <w:kinsoku/>
        <w:wordWrap/>
        <w:overflowPunct/>
        <w:topLinePunct w:val="0"/>
        <w:autoSpaceDE/>
        <w:autoSpaceDN/>
        <w:bidi w:val="0"/>
        <w:adjustRightInd/>
        <w:snapToGrid/>
        <w:spacing w:before="231" w:line="360" w:lineRule="auto"/>
        <w:ind w:left="20" w:right="130" w:firstLine="498"/>
        <w:jc w:val="both"/>
        <w:textAlignment w:val="auto"/>
        <w:rPr>
          <w:rFonts w:ascii="宋体" w:hAnsi="宋体" w:eastAsia="宋体" w:cs="宋体"/>
          <w:sz w:val="24"/>
          <w:szCs w:val="24"/>
          <w:highlight w:val="none"/>
        </w:rPr>
      </w:pPr>
      <w:r>
        <w:rPr>
          <w:rFonts w:ascii="宋体" w:hAnsi="宋体" w:eastAsia="宋体" w:cs="宋体"/>
          <w:spacing w:val="-9"/>
          <w:sz w:val="24"/>
          <w:szCs w:val="24"/>
          <w:highlight w:val="none"/>
        </w:rPr>
        <w:t>1、质疑供应商对采购人、采购代理机构的答复不满意，或者采购人、采购</w:t>
      </w:r>
      <w:r>
        <w:rPr>
          <w:rFonts w:ascii="宋体" w:hAnsi="宋体" w:eastAsia="宋体" w:cs="宋体"/>
          <w:spacing w:val="-7"/>
          <w:sz w:val="24"/>
          <w:szCs w:val="24"/>
          <w:highlight w:val="none"/>
        </w:rPr>
        <w:t>代理机构未在规定时间内作出答复的，可以在答复期满后</w:t>
      </w:r>
      <w:r>
        <w:rPr>
          <w:rFonts w:ascii="宋体" w:hAnsi="宋体" w:eastAsia="宋体" w:cs="宋体"/>
          <w:spacing w:val="-32"/>
          <w:sz w:val="24"/>
          <w:szCs w:val="24"/>
          <w:highlight w:val="none"/>
        </w:rPr>
        <w:t xml:space="preserve"> </w:t>
      </w:r>
      <w:r>
        <w:rPr>
          <w:rFonts w:ascii="宋体" w:hAnsi="宋体" w:eastAsia="宋体" w:cs="宋体"/>
          <w:spacing w:val="-7"/>
          <w:sz w:val="24"/>
          <w:szCs w:val="24"/>
          <w:highlight w:val="none"/>
        </w:rPr>
        <w:t>15</w:t>
      </w:r>
      <w:r>
        <w:rPr>
          <w:rFonts w:ascii="宋体" w:hAnsi="宋体" w:eastAsia="宋体" w:cs="宋体"/>
          <w:spacing w:val="-51"/>
          <w:sz w:val="24"/>
          <w:szCs w:val="24"/>
          <w:highlight w:val="none"/>
        </w:rPr>
        <w:t xml:space="preserve"> </w:t>
      </w:r>
      <w:r>
        <w:rPr>
          <w:rFonts w:ascii="宋体" w:hAnsi="宋体" w:eastAsia="宋体" w:cs="宋体"/>
          <w:spacing w:val="-7"/>
          <w:sz w:val="24"/>
          <w:szCs w:val="24"/>
          <w:highlight w:val="none"/>
        </w:rPr>
        <w:t>个工作日内向本办</w:t>
      </w:r>
      <w:r>
        <w:rPr>
          <w:rFonts w:ascii="宋体" w:hAnsi="宋体" w:eastAsia="宋体" w:cs="宋体"/>
          <w:spacing w:val="-3"/>
          <w:sz w:val="24"/>
          <w:szCs w:val="24"/>
          <w:highlight w:val="none"/>
        </w:rPr>
        <w:t>法第六条规定的财政部门提起投诉。</w:t>
      </w:r>
    </w:p>
    <w:p w14:paraId="3A356AA4">
      <w:pPr>
        <w:keepNext w:val="0"/>
        <w:keepLines w:val="0"/>
        <w:pageBreakBefore w:val="0"/>
        <w:widowControl w:val="0"/>
        <w:kinsoku/>
        <w:wordWrap/>
        <w:overflowPunct/>
        <w:topLinePunct w:val="0"/>
        <w:autoSpaceDE/>
        <w:autoSpaceDN/>
        <w:bidi w:val="0"/>
        <w:adjustRightInd/>
        <w:snapToGrid/>
        <w:spacing w:before="182" w:line="360" w:lineRule="auto"/>
        <w:ind w:left="0"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2、质疑供应商对采购人、采购代理机构的答复不满意</w:t>
      </w:r>
      <w:r>
        <w:rPr>
          <w:rFonts w:hint="eastAsia" w:ascii="宋体" w:hAnsi="宋体" w:eastAsia="宋体" w:cs="宋体"/>
          <w:spacing w:val="0"/>
          <w:position w:val="0"/>
          <w:sz w:val="24"/>
          <w:szCs w:val="24"/>
          <w:highlight w:val="none"/>
          <w:lang w:eastAsia="zh-CN"/>
        </w:rPr>
        <w:t>，</w:t>
      </w:r>
      <w:r>
        <w:rPr>
          <w:rFonts w:ascii="宋体" w:hAnsi="宋体" w:eastAsia="宋体" w:cs="宋体"/>
          <w:spacing w:val="0"/>
          <w:position w:val="0"/>
          <w:sz w:val="24"/>
          <w:szCs w:val="24"/>
          <w:highlight w:val="none"/>
        </w:rPr>
        <w:t>或者采购人、采购代理机构未在规定时间内作出答复的，可以在答复期满后15个工作日内向财政部门提起投诉。</w:t>
      </w:r>
    </w:p>
    <w:p w14:paraId="20F21CBD">
      <w:pPr>
        <w:spacing w:before="182" w:line="360" w:lineRule="auto"/>
        <w:ind w:left="23" w:right="133" w:firstLine="482"/>
        <w:rPr>
          <w:rFonts w:ascii="宋体" w:hAnsi="宋体" w:eastAsia="宋体" w:cs="宋体"/>
          <w:sz w:val="24"/>
          <w:szCs w:val="24"/>
          <w:highlight w:val="none"/>
        </w:rPr>
      </w:pPr>
      <w:r>
        <w:rPr>
          <w:rFonts w:ascii="宋体" w:hAnsi="宋体" w:eastAsia="宋体" w:cs="宋体"/>
          <w:sz w:val="24"/>
          <w:szCs w:val="24"/>
          <w:highlight w:val="none"/>
        </w:rPr>
        <w:t>3、投诉人投诉时,应当提交投诉书和必要的证明材料，并按照被投诉采购</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人、采购代理机构（以下简称被投诉人）</w:t>
      </w:r>
      <w:r>
        <w:rPr>
          <w:rFonts w:ascii="宋体" w:hAnsi="宋体" w:eastAsia="宋体" w:cs="宋体"/>
          <w:spacing w:val="-39"/>
          <w:sz w:val="24"/>
          <w:szCs w:val="24"/>
          <w:highlight w:val="none"/>
        </w:rPr>
        <w:t xml:space="preserve"> </w:t>
      </w:r>
      <w:r>
        <w:rPr>
          <w:rFonts w:ascii="宋体" w:hAnsi="宋体" w:eastAsia="宋体" w:cs="宋体"/>
          <w:spacing w:val="-2"/>
          <w:sz w:val="24"/>
          <w:szCs w:val="24"/>
          <w:highlight w:val="none"/>
        </w:rPr>
        <w:t>和与投诉事项有关的供应商数量提供</w:t>
      </w:r>
    </w:p>
    <w:p w14:paraId="73B8FEC5">
      <w:pPr>
        <w:spacing w:before="1" w:line="218" w:lineRule="auto"/>
        <w:ind w:left="24"/>
        <w:rPr>
          <w:rFonts w:ascii="宋体" w:hAnsi="宋体" w:eastAsia="宋体" w:cs="宋体"/>
          <w:sz w:val="24"/>
          <w:szCs w:val="24"/>
          <w:highlight w:val="none"/>
        </w:rPr>
      </w:pPr>
      <w:r>
        <w:rPr>
          <w:rFonts w:ascii="宋体" w:hAnsi="宋体" w:eastAsia="宋体" w:cs="宋体"/>
          <w:spacing w:val="-3"/>
          <w:sz w:val="24"/>
          <w:szCs w:val="24"/>
          <w:highlight w:val="none"/>
        </w:rPr>
        <w:t>投诉书的副本。政府采购供应商投诉书范本下载地址：</w:t>
      </w:r>
    </w:p>
    <w:p w14:paraId="674061D6">
      <w:pPr>
        <w:spacing w:before="183" w:line="214" w:lineRule="auto"/>
        <w:ind w:left="498"/>
        <w:rPr>
          <w:rFonts w:ascii="宋体" w:hAnsi="宋体" w:eastAsia="宋体" w:cs="宋体"/>
          <w:sz w:val="24"/>
          <w:szCs w:val="24"/>
          <w:highlight w:val="none"/>
        </w:rPr>
      </w:pPr>
      <w:r>
        <w:rPr>
          <w:highlight w:val="none"/>
        </w:rPr>
        <w:fldChar w:fldCharType="begin"/>
      </w:r>
      <w:r>
        <w:rPr>
          <w:highlight w:val="none"/>
        </w:rPr>
        <w:instrText xml:space="preserve"> HYPERLINK "http://download.ccgp.gov.cn/2018/tousushufanben.zip" </w:instrText>
      </w:r>
      <w:r>
        <w:rPr>
          <w:highlight w:val="none"/>
        </w:rPr>
        <w:fldChar w:fldCharType="separate"/>
      </w:r>
      <w:r>
        <w:rPr>
          <w:rFonts w:ascii="宋体" w:hAnsi="宋体" w:eastAsia="宋体" w:cs="宋体"/>
          <w:sz w:val="24"/>
          <w:szCs w:val="24"/>
          <w:highlight w:val="none"/>
          <w:u w:val="single" w:color="auto"/>
        </w:rPr>
        <w:t>http://download.ccgp.gov.cn/2018/tousushufan</w:t>
      </w:r>
      <w:r>
        <w:rPr>
          <w:rFonts w:ascii="宋体" w:hAnsi="宋体" w:eastAsia="宋体" w:cs="宋体"/>
          <w:spacing w:val="-1"/>
          <w:sz w:val="24"/>
          <w:szCs w:val="24"/>
          <w:highlight w:val="none"/>
          <w:u w:val="single" w:color="auto"/>
        </w:rPr>
        <w:t>ben.zip</w:t>
      </w:r>
      <w:r>
        <w:rPr>
          <w:rFonts w:ascii="宋体" w:hAnsi="宋体" w:eastAsia="宋体" w:cs="宋体"/>
          <w:spacing w:val="-1"/>
          <w:sz w:val="24"/>
          <w:szCs w:val="24"/>
          <w:highlight w:val="none"/>
          <w:u w:val="single" w:color="auto"/>
        </w:rPr>
        <w:fldChar w:fldCharType="end"/>
      </w:r>
    </w:p>
    <w:p w14:paraId="11CAD15E">
      <w:pPr>
        <w:keepNext w:val="0"/>
        <w:keepLines w:val="0"/>
        <w:pageBreakBefore w:val="0"/>
        <w:widowControl w:val="0"/>
        <w:kinsoku/>
        <w:wordWrap/>
        <w:overflowPunct/>
        <w:topLinePunct w:val="0"/>
        <w:autoSpaceDE/>
        <w:autoSpaceDN/>
        <w:bidi w:val="0"/>
        <w:adjustRightInd/>
        <w:snapToGrid/>
        <w:spacing w:before="190" w:line="468" w:lineRule="exact"/>
        <w:ind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4、财政部门自收到投诉之日起30个工作日内，对投诉事项作出处理决定并公示。</w:t>
      </w:r>
    </w:p>
    <w:p w14:paraId="0927EF7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投诉人在全国范围12个月内三次以上投诉查无实据的，由财政部门列入不良行为记录名单。</w:t>
      </w:r>
    </w:p>
    <w:p w14:paraId="0E80A946">
      <w:pPr>
        <w:keepNext w:val="0"/>
        <w:keepLines w:val="0"/>
        <w:pageBreakBefore w:val="0"/>
        <w:widowControl w:val="0"/>
        <w:kinsoku/>
        <w:wordWrap/>
        <w:overflowPunct/>
        <w:topLinePunct w:val="0"/>
        <w:autoSpaceDE/>
        <w:autoSpaceDN/>
        <w:bidi w:val="0"/>
        <w:adjustRightInd/>
        <w:snapToGrid/>
        <w:spacing w:line="360" w:lineRule="auto"/>
        <w:ind w:left="0" w:firstLine="424" w:firstLineChars="200"/>
        <w:textAlignment w:val="auto"/>
        <w:rPr>
          <w:rFonts w:hint="eastAsia" w:ascii="宋体" w:hAnsi="宋体" w:eastAsia="宋体" w:cs="宋体"/>
          <w:sz w:val="24"/>
          <w:szCs w:val="24"/>
          <w:highlight w:val="none"/>
          <w:lang w:eastAsia="zh-CN"/>
        </w:rPr>
      </w:pPr>
      <w:r>
        <w:rPr>
          <w:rFonts w:ascii="宋体" w:hAnsi="宋体" w:eastAsia="宋体" w:cs="宋体"/>
          <w:spacing w:val="-14"/>
          <w:sz w:val="24"/>
          <w:szCs w:val="24"/>
          <w:highlight w:val="none"/>
        </w:rPr>
        <w:t>投诉人有财政部</w:t>
      </w:r>
      <w:r>
        <w:rPr>
          <w:rFonts w:ascii="宋体" w:hAnsi="宋体" w:eastAsia="宋体" w:cs="宋体"/>
          <w:spacing w:val="-48"/>
          <w:sz w:val="24"/>
          <w:szCs w:val="24"/>
          <w:highlight w:val="none"/>
        </w:rPr>
        <w:t xml:space="preserve"> </w:t>
      </w:r>
      <w:r>
        <w:rPr>
          <w:rFonts w:ascii="宋体" w:hAnsi="宋体" w:eastAsia="宋体" w:cs="宋体"/>
          <w:spacing w:val="-14"/>
          <w:sz w:val="24"/>
          <w:szCs w:val="24"/>
          <w:highlight w:val="none"/>
        </w:rPr>
        <w:t>94</w:t>
      </w:r>
      <w:r>
        <w:rPr>
          <w:rFonts w:ascii="宋体" w:hAnsi="宋体" w:eastAsia="宋体" w:cs="宋体"/>
          <w:spacing w:val="-45"/>
          <w:sz w:val="24"/>
          <w:szCs w:val="24"/>
          <w:highlight w:val="none"/>
        </w:rPr>
        <w:t xml:space="preserve"> </w:t>
      </w:r>
      <w:r>
        <w:rPr>
          <w:rFonts w:ascii="宋体" w:hAnsi="宋体" w:eastAsia="宋体" w:cs="宋体"/>
          <w:spacing w:val="-14"/>
          <w:sz w:val="24"/>
          <w:szCs w:val="24"/>
          <w:highlight w:val="none"/>
        </w:rPr>
        <w:t>号令第三十七条情形的，属于虚假、恶意投诉，由财政</w:t>
      </w:r>
      <w:bookmarkStart w:id="5" w:name="bookmark7"/>
      <w:bookmarkEnd w:id="5"/>
      <w:r>
        <w:rPr>
          <w:rFonts w:ascii="宋体" w:hAnsi="宋体" w:eastAsia="宋体" w:cs="宋体"/>
          <w:spacing w:val="-2"/>
          <w:sz w:val="24"/>
          <w:szCs w:val="24"/>
          <w:highlight w:val="none"/>
        </w:rPr>
        <w:t>部门列入不良行为记录名单，禁止其</w:t>
      </w:r>
      <w:r>
        <w:rPr>
          <w:rFonts w:ascii="宋体" w:hAnsi="宋体" w:eastAsia="宋体" w:cs="宋体"/>
          <w:spacing w:val="-26"/>
          <w:sz w:val="24"/>
          <w:szCs w:val="24"/>
          <w:highlight w:val="none"/>
        </w:rPr>
        <w:t xml:space="preserve"> </w:t>
      </w:r>
      <w:r>
        <w:rPr>
          <w:rFonts w:ascii="宋体" w:hAnsi="宋体" w:eastAsia="宋体" w:cs="宋体"/>
          <w:spacing w:val="-2"/>
          <w:sz w:val="24"/>
          <w:szCs w:val="24"/>
          <w:highlight w:val="none"/>
        </w:rPr>
        <w:t>1</w:t>
      </w:r>
      <w:r>
        <w:rPr>
          <w:rFonts w:ascii="宋体" w:hAnsi="宋体" w:eastAsia="宋体" w:cs="宋体"/>
          <w:spacing w:val="-41"/>
          <w:sz w:val="24"/>
          <w:szCs w:val="24"/>
          <w:highlight w:val="none"/>
        </w:rPr>
        <w:t xml:space="preserve"> </w:t>
      </w:r>
      <w:r>
        <w:rPr>
          <w:rFonts w:ascii="宋体" w:hAnsi="宋体" w:eastAsia="宋体" w:cs="宋体"/>
          <w:spacing w:val="-2"/>
          <w:sz w:val="24"/>
          <w:szCs w:val="24"/>
          <w:highlight w:val="none"/>
        </w:rPr>
        <w:t>至</w:t>
      </w:r>
      <w:r>
        <w:rPr>
          <w:rFonts w:ascii="宋体" w:hAnsi="宋体" w:eastAsia="宋体" w:cs="宋体"/>
          <w:spacing w:val="-38"/>
          <w:sz w:val="24"/>
          <w:szCs w:val="24"/>
          <w:highlight w:val="none"/>
        </w:rPr>
        <w:t xml:space="preserve"> </w:t>
      </w:r>
      <w:r>
        <w:rPr>
          <w:rFonts w:ascii="宋体" w:hAnsi="宋体" w:eastAsia="宋体" w:cs="宋体"/>
          <w:spacing w:val="-2"/>
          <w:sz w:val="24"/>
          <w:szCs w:val="24"/>
          <w:highlight w:val="none"/>
        </w:rPr>
        <w:t>3</w:t>
      </w:r>
      <w:r>
        <w:rPr>
          <w:rFonts w:ascii="宋体" w:hAnsi="宋体" w:eastAsia="宋体" w:cs="宋体"/>
          <w:spacing w:val="-43"/>
          <w:sz w:val="24"/>
          <w:szCs w:val="24"/>
          <w:highlight w:val="none"/>
        </w:rPr>
        <w:t xml:space="preserve"> </w:t>
      </w:r>
      <w:r>
        <w:rPr>
          <w:rFonts w:ascii="宋体" w:hAnsi="宋体" w:eastAsia="宋体" w:cs="宋体"/>
          <w:spacing w:val="-2"/>
          <w:sz w:val="24"/>
          <w:szCs w:val="24"/>
          <w:highlight w:val="none"/>
        </w:rPr>
        <w:t>年内参加政府采购活</w:t>
      </w:r>
      <w:r>
        <w:rPr>
          <w:rFonts w:ascii="宋体" w:hAnsi="宋体" w:eastAsia="宋体" w:cs="宋体"/>
          <w:spacing w:val="-3"/>
          <w:sz w:val="24"/>
          <w:szCs w:val="24"/>
          <w:highlight w:val="none"/>
        </w:rPr>
        <w:t>动。</w:t>
      </w:r>
    </w:p>
    <w:p w14:paraId="4643B133">
      <w:pPr>
        <w:spacing w:line="218" w:lineRule="auto"/>
        <w:rPr>
          <w:rFonts w:ascii="宋体" w:hAnsi="宋体" w:eastAsia="宋体" w:cs="宋体"/>
          <w:sz w:val="24"/>
          <w:szCs w:val="24"/>
          <w:highlight w:val="none"/>
        </w:rPr>
        <w:sectPr>
          <w:footerReference r:id="rId15" w:type="default"/>
          <w:pgSz w:w="11907" w:h="16839"/>
          <w:pgMar w:top="1431" w:right="1785" w:bottom="1569" w:left="1785" w:header="0" w:footer="1408" w:gutter="0"/>
          <w:pgNumType w:fmt="decimal"/>
          <w:cols w:space="720" w:num="1"/>
        </w:sectPr>
      </w:pPr>
    </w:p>
    <w:p w14:paraId="41562362">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479ADDB1">
      <w:pPr>
        <w:pStyle w:val="6"/>
        <w:spacing w:line="275" w:lineRule="auto"/>
        <w:rPr>
          <w:rFonts w:hint="eastAsia" w:ascii="宋体" w:hAnsi="宋体" w:eastAsia="宋体" w:cs="宋体"/>
          <w:b/>
          <w:bCs/>
          <w:spacing w:val="-4"/>
          <w:sz w:val="24"/>
          <w:szCs w:val="24"/>
          <w:highlight w:val="none"/>
          <w:lang w:val="en-US" w:eastAsia="zh-CN"/>
        </w:rPr>
      </w:pPr>
      <w:r>
        <w:rPr>
          <w:rFonts w:hint="eastAsia" w:ascii="宋体" w:hAnsi="宋体" w:eastAsia="宋体" w:cs="宋体"/>
          <w:b/>
          <w:bCs/>
          <w:spacing w:val="-4"/>
          <w:sz w:val="24"/>
          <w:szCs w:val="24"/>
          <w:highlight w:val="none"/>
          <w:lang w:val="en-US" w:eastAsia="zh-CN"/>
        </w:rPr>
        <w:t xml:space="preserve"> 一、项目概况</w:t>
      </w:r>
    </w:p>
    <w:p w14:paraId="5D54E10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项目名称：</w:t>
      </w:r>
      <w:r>
        <w:rPr>
          <w:rFonts w:hint="eastAsia" w:ascii="宋体" w:hAnsi="宋体" w:eastAsia="宋体" w:cs="宋体"/>
          <w:color w:val="auto"/>
          <w:spacing w:val="0"/>
          <w:sz w:val="24"/>
          <w:highlight w:val="none"/>
          <w:lang w:val="en-US" w:eastAsia="zh-CN"/>
        </w:rPr>
        <w:t>博爱健康管理中心建设睡眠中心采购项目</w:t>
      </w:r>
    </w:p>
    <w:p w14:paraId="33E9266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采购内容：多导睡眠记录仪、多导睡眠监测仪、经颅磁治疗仪（双人款）、微电流刺激仪、子午流柱中医定向透药仪等。</w:t>
      </w:r>
    </w:p>
    <w:p w14:paraId="7CDF2FD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质量标准：合格。</w:t>
      </w:r>
    </w:p>
    <w:p w14:paraId="77FE58C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合同履行期限：30日历天</w:t>
      </w:r>
    </w:p>
    <w:p w14:paraId="1E81AE06">
      <w:pPr>
        <w:pStyle w:val="6"/>
        <w:spacing w:line="275" w:lineRule="auto"/>
        <w:rPr>
          <w:rFonts w:hint="eastAsia" w:ascii="宋体" w:hAnsi="宋体" w:eastAsia="宋体" w:cs="宋体"/>
          <w:spacing w:val="-1"/>
          <w:sz w:val="24"/>
          <w:szCs w:val="24"/>
          <w:highlight w:val="none"/>
          <w:lang w:val="en-US" w:eastAsia="zh-CN"/>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highlight w:val="none"/>
          <w:lang w:val="en-US" w:eastAsia="zh-CN"/>
        </w:rPr>
        <w:t>二、技术参数要求</w:t>
      </w:r>
    </w:p>
    <w:p w14:paraId="43901037">
      <w:pPr>
        <w:keepNext w:val="0"/>
        <w:keepLines w:val="0"/>
        <w:pageBreakBefore w:val="0"/>
        <w:kinsoku/>
        <w:wordWrap/>
        <w:overflowPunct/>
        <w:topLinePunct w:val="0"/>
        <w:autoSpaceDE/>
        <w:autoSpaceDN/>
        <w:bidi w:val="0"/>
        <w:adjustRightInd/>
        <w:snapToGrid/>
        <w:spacing w:line="120" w:lineRule="auto"/>
        <w:rPr>
          <w:highlight w:val="none"/>
        </w:rPr>
      </w:pPr>
    </w:p>
    <w:tbl>
      <w:tblPr>
        <w:tblStyle w:val="17"/>
        <w:tblpPr w:leftFromText="180" w:rightFromText="180" w:vertAnchor="text" w:horzAnchor="page" w:tblpX="2415" w:tblpY="212"/>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95"/>
        <w:gridCol w:w="6039"/>
        <w:gridCol w:w="512"/>
        <w:gridCol w:w="512"/>
      </w:tblGrid>
      <w:tr w14:paraId="298C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00" w:type="dxa"/>
            <w:vAlign w:val="center"/>
          </w:tcPr>
          <w:p w14:paraId="2709342E">
            <w:pPr>
              <w:spacing w:line="240" w:lineRule="exact"/>
              <w:jc w:val="center"/>
              <w:textAlignment w:val="baseline"/>
              <w:rPr>
                <w:rFonts w:hint="eastAsia" w:ascii="宋体" w:hAnsi="宋体" w:cs="宋体" w:eastAsiaTheme="minorEastAsia"/>
                <w:b/>
                <w:sz w:val="20"/>
                <w:szCs w:val="21"/>
                <w:highlight w:val="none"/>
                <w:lang w:eastAsia="zh-CN"/>
              </w:rPr>
            </w:pPr>
            <w:r>
              <w:rPr>
                <w:rFonts w:hint="eastAsia" w:ascii="宋体" w:hAnsi="宋体" w:cs="宋体"/>
                <w:b/>
                <w:szCs w:val="21"/>
                <w:highlight w:val="none"/>
                <w:lang w:val="en-US" w:eastAsia="zh-CN"/>
              </w:rPr>
              <w:t>序号</w:t>
            </w:r>
          </w:p>
        </w:tc>
        <w:tc>
          <w:tcPr>
            <w:tcW w:w="1795" w:type="dxa"/>
            <w:vAlign w:val="center"/>
          </w:tcPr>
          <w:p w14:paraId="16C26C14">
            <w:pPr>
              <w:spacing w:line="240" w:lineRule="exact"/>
              <w:jc w:val="center"/>
              <w:textAlignment w:val="baseline"/>
              <w:rPr>
                <w:rFonts w:ascii="宋体" w:hAnsi="宋体" w:cs="宋体"/>
                <w:b/>
                <w:sz w:val="20"/>
                <w:szCs w:val="21"/>
                <w:highlight w:val="none"/>
              </w:rPr>
            </w:pPr>
            <w:r>
              <w:rPr>
                <w:rFonts w:hint="eastAsia" w:ascii="宋体" w:hAnsi="宋体" w:cs="宋体"/>
                <w:b/>
                <w:szCs w:val="21"/>
                <w:highlight w:val="none"/>
              </w:rPr>
              <w:t>模块名称</w:t>
            </w:r>
          </w:p>
        </w:tc>
        <w:tc>
          <w:tcPr>
            <w:tcW w:w="6039" w:type="dxa"/>
            <w:vAlign w:val="center"/>
          </w:tcPr>
          <w:p w14:paraId="36FE40A1">
            <w:pPr>
              <w:spacing w:line="240" w:lineRule="exact"/>
              <w:jc w:val="center"/>
              <w:textAlignment w:val="baseline"/>
              <w:rPr>
                <w:rFonts w:hint="eastAsia" w:ascii="宋体" w:hAnsi="宋体" w:cs="宋体" w:eastAsiaTheme="minorEastAsia"/>
                <w:b/>
                <w:sz w:val="20"/>
                <w:szCs w:val="21"/>
                <w:highlight w:val="none"/>
                <w:lang w:val="en-US" w:eastAsia="zh-CN"/>
              </w:rPr>
            </w:pPr>
            <w:r>
              <w:rPr>
                <w:rFonts w:hint="eastAsia" w:ascii="宋体" w:hAnsi="宋体" w:cs="宋体"/>
                <w:b/>
                <w:sz w:val="20"/>
                <w:szCs w:val="21"/>
                <w:highlight w:val="none"/>
                <w:lang w:val="en-US" w:eastAsia="zh-CN"/>
              </w:rPr>
              <w:t>技术要求</w:t>
            </w:r>
          </w:p>
        </w:tc>
        <w:tc>
          <w:tcPr>
            <w:tcW w:w="512" w:type="dxa"/>
            <w:vAlign w:val="center"/>
          </w:tcPr>
          <w:p w14:paraId="79E53C92">
            <w:pPr>
              <w:spacing w:line="240" w:lineRule="exact"/>
              <w:jc w:val="center"/>
              <w:textAlignment w:val="baseline"/>
              <w:rPr>
                <w:rFonts w:hint="default" w:ascii="宋体" w:hAnsi="宋体" w:cs="宋体"/>
                <w:b/>
                <w:sz w:val="20"/>
                <w:szCs w:val="21"/>
                <w:highlight w:val="none"/>
                <w:lang w:val="en-US" w:eastAsia="zh-CN"/>
              </w:rPr>
            </w:pPr>
            <w:r>
              <w:rPr>
                <w:rFonts w:hint="eastAsia" w:ascii="宋体" w:hAnsi="宋体" w:cs="宋体"/>
                <w:b/>
                <w:sz w:val="20"/>
                <w:szCs w:val="21"/>
                <w:highlight w:val="none"/>
                <w:lang w:val="en-US" w:eastAsia="zh-CN"/>
              </w:rPr>
              <w:t>单位</w:t>
            </w:r>
          </w:p>
        </w:tc>
        <w:tc>
          <w:tcPr>
            <w:tcW w:w="512" w:type="dxa"/>
            <w:vAlign w:val="center"/>
          </w:tcPr>
          <w:p w14:paraId="5ACE6535">
            <w:pPr>
              <w:spacing w:line="240" w:lineRule="exact"/>
              <w:jc w:val="center"/>
              <w:textAlignment w:val="baseline"/>
              <w:rPr>
                <w:rFonts w:hint="default" w:ascii="宋体" w:hAnsi="宋体" w:cs="宋体"/>
                <w:b/>
                <w:sz w:val="20"/>
                <w:szCs w:val="21"/>
                <w:highlight w:val="none"/>
                <w:lang w:val="en-US" w:eastAsia="zh-CN"/>
              </w:rPr>
            </w:pPr>
            <w:r>
              <w:rPr>
                <w:rFonts w:hint="eastAsia" w:ascii="宋体" w:hAnsi="宋体" w:cs="宋体"/>
                <w:b/>
                <w:sz w:val="20"/>
                <w:szCs w:val="21"/>
                <w:highlight w:val="none"/>
                <w:lang w:val="en-US" w:eastAsia="zh-CN"/>
              </w:rPr>
              <w:t>数量</w:t>
            </w:r>
          </w:p>
        </w:tc>
      </w:tr>
      <w:tr w14:paraId="30C9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14:paraId="0763C2E5">
            <w:pPr>
              <w:spacing w:line="360" w:lineRule="auto"/>
              <w:jc w:val="center"/>
              <w:textAlignment w:val="baseline"/>
              <w:rPr>
                <w:rFonts w:hint="default"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1</w:t>
            </w:r>
          </w:p>
        </w:tc>
        <w:tc>
          <w:tcPr>
            <w:tcW w:w="1795" w:type="dxa"/>
            <w:vAlign w:val="center"/>
          </w:tcPr>
          <w:p w14:paraId="1BF9711B">
            <w:pPr>
              <w:widowControl/>
              <w:spacing w:line="240" w:lineRule="exact"/>
              <w:jc w:val="center"/>
              <w:textAlignment w:val="center"/>
              <w:rPr>
                <w:rFonts w:ascii="宋体" w:hAnsi="宋体" w:cs="宋体"/>
                <w:sz w:val="21"/>
                <w:szCs w:val="21"/>
                <w:highlight w:val="none"/>
              </w:rPr>
            </w:pPr>
            <w:r>
              <w:rPr>
                <w:rFonts w:hint="eastAsia" w:ascii="宋体" w:hAnsi="宋体" w:cs="宋体"/>
                <w:sz w:val="21"/>
                <w:szCs w:val="21"/>
                <w:highlight w:val="none"/>
                <w:lang w:val="en-US" w:eastAsia="zh-CN"/>
              </w:rPr>
              <w:t>多导睡眠记录仪</w:t>
            </w:r>
          </w:p>
        </w:tc>
        <w:tc>
          <w:tcPr>
            <w:tcW w:w="6039" w:type="dxa"/>
          </w:tcPr>
          <w:p w14:paraId="475DA670">
            <w:pPr>
              <w:pStyle w:val="10"/>
              <w:numPr>
                <w:ilvl w:val="0"/>
                <w:numId w:val="0"/>
              </w:numPr>
              <w:rPr>
                <w:rFonts w:hint="eastAsia"/>
                <w:highlight w:val="none"/>
              </w:rPr>
            </w:pPr>
            <w:r>
              <w:rPr>
                <w:rFonts w:hint="eastAsia" w:ascii="宋体" w:hAnsi="Courier New" w:eastAsiaTheme="minorEastAsia" w:cstheme="minorBidi"/>
                <w:kern w:val="2"/>
                <w:sz w:val="21"/>
                <w:szCs w:val="21"/>
                <w:highlight w:val="none"/>
                <w:lang w:val="en-US" w:eastAsia="zh-CN" w:bidi="ar-SA"/>
              </w:rPr>
              <w:t>一、</w:t>
            </w:r>
            <w:r>
              <w:rPr>
                <w:rFonts w:hint="eastAsia"/>
                <w:highlight w:val="none"/>
              </w:rPr>
              <w:t>总体要求：</w:t>
            </w:r>
          </w:p>
          <w:p w14:paraId="6E21A0BF">
            <w:pPr>
              <w:pStyle w:val="10"/>
              <w:numPr>
                <w:ilvl w:val="0"/>
                <w:numId w:val="0"/>
              </w:numPr>
              <w:rPr>
                <w:rFonts w:hint="eastAsia"/>
                <w:highlight w:val="none"/>
              </w:rPr>
            </w:pPr>
            <w:r>
              <w:rPr>
                <w:rFonts w:hint="eastAsia"/>
                <w:highlight w:val="none"/>
              </w:rPr>
              <w:t>设备全新原装进口，适用于新生儿、儿童及成人的多导睡眠监测。</w:t>
            </w:r>
          </w:p>
          <w:p w14:paraId="4C718AF8">
            <w:pPr>
              <w:pStyle w:val="10"/>
              <w:numPr>
                <w:ilvl w:val="0"/>
                <w:numId w:val="0"/>
              </w:numPr>
              <w:rPr>
                <w:rFonts w:hint="eastAsia"/>
                <w:highlight w:val="none"/>
              </w:rPr>
            </w:pPr>
            <w:r>
              <w:rPr>
                <w:rFonts w:hint="eastAsia"/>
                <w:highlight w:val="none"/>
                <w:lang w:val="en-US" w:eastAsia="zh-CN"/>
              </w:rPr>
              <w:t>二、</w:t>
            </w:r>
            <w:r>
              <w:rPr>
                <w:rFonts w:hint="eastAsia"/>
                <w:highlight w:val="none"/>
              </w:rPr>
              <w:t>硬件需求：</w:t>
            </w:r>
          </w:p>
          <w:p w14:paraId="3212E867">
            <w:pPr>
              <w:pStyle w:val="10"/>
              <w:numPr>
                <w:ilvl w:val="0"/>
                <w:numId w:val="0"/>
              </w:numPr>
              <w:rPr>
                <w:rFonts w:hint="eastAsia"/>
                <w:highlight w:val="none"/>
                <w:lang w:eastAsia="zh-CN"/>
              </w:rPr>
            </w:pPr>
            <w:r>
              <w:rPr>
                <w:rFonts w:hint="eastAsia"/>
                <w:highlight w:val="none"/>
                <w:lang w:val="en-US" w:eastAsia="zh-CN"/>
              </w:rPr>
              <w:t>1、</w:t>
            </w:r>
            <w:r>
              <w:rPr>
                <w:rFonts w:hint="eastAsia"/>
                <w:highlight w:val="none"/>
              </w:rPr>
              <w:t>导联数≥</w:t>
            </w:r>
            <w:r>
              <w:rPr>
                <w:rFonts w:hint="eastAsia"/>
                <w:highlight w:val="none"/>
                <w:lang w:val="en-US" w:eastAsia="zh-CN"/>
              </w:rPr>
              <w:t>80</w:t>
            </w:r>
            <w:r>
              <w:rPr>
                <w:rFonts w:hint="eastAsia"/>
                <w:highlight w:val="none"/>
              </w:rPr>
              <w:t>导：脑电</w:t>
            </w:r>
            <w:r>
              <w:rPr>
                <w:rFonts w:hint="eastAsia"/>
                <w:highlight w:val="none"/>
                <w:lang w:val="en-US" w:eastAsia="zh-CN"/>
              </w:rPr>
              <w:t>≥32</w:t>
            </w:r>
            <w:r>
              <w:rPr>
                <w:rFonts w:hint="eastAsia"/>
                <w:highlight w:val="none"/>
              </w:rPr>
              <w:t>、眼电</w:t>
            </w:r>
            <w:r>
              <w:rPr>
                <w:rFonts w:hint="eastAsia"/>
                <w:highlight w:val="none"/>
                <w:lang w:val="en-US" w:eastAsia="zh-CN"/>
              </w:rPr>
              <w:t>≥</w:t>
            </w:r>
            <w:r>
              <w:rPr>
                <w:rFonts w:hint="eastAsia"/>
                <w:highlight w:val="none"/>
              </w:rPr>
              <w:t>2、心电</w:t>
            </w:r>
            <w:r>
              <w:rPr>
                <w:rFonts w:hint="eastAsia"/>
                <w:highlight w:val="none"/>
                <w:lang w:val="en-US" w:eastAsia="zh-CN"/>
              </w:rPr>
              <w:t>≥</w:t>
            </w:r>
            <w:r>
              <w:rPr>
                <w:rFonts w:hint="eastAsia"/>
                <w:highlight w:val="none"/>
              </w:rPr>
              <w:t>2、下颌肌电</w:t>
            </w:r>
            <w:r>
              <w:rPr>
                <w:rFonts w:hint="eastAsia"/>
                <w:highlight w:val="none"/>
                <w:lang w:val="en-US" w:eastAsia="zh-CN"/>
              </w:rPr>
              <w:t>≥</w:t>
            </w:r>
            <w:r>
              <w:rPr>
                <w:rFonts w:hint="eastAsia"/>
                <w:highlight w:val="none"/>
              </w:rPr>
              <w:t>6、持续阻抗、腿动</w:t>
            </w:r>
            <w:r>
              <w:rPr>
                <w:rFonts w:hint="eastAsia"/>
                <w:highlight w:val="none"/>
                <w:lang w:val="en-US" w:eastAsia="zh-CN"/>
              </w:rPr>
              <w:t>≥4</w:t>
            </w:r>
            <w:r>
              <w:rPr>
                <w:rFonts w:hint="eastAsia"/>
                <w:highlight w:val="none"/>
              </w:rPr>
              <w:t>、</w:t>
            </w:r>
            <w:r>
              <w:rPr>
                <w:rFonts w:hint="eastAsia"/>
                <w:highlight w:val="none"/>
                <w:lang w:val="en-US" w:eastAsia="zh-CN"/>
              </w:rPr>
              <w:t>血氧饱和度</w:t>
            </w:r>
            <w:r>
              <w:rPr>
                <w:rFonts w:hint="eastAsia"/>
                <w:highlight w:val="none"/>
              </w:rPr>
              <w:t>、脉搏率、脉搏波、热敏式气流、胸式呼吸</w:t>
            </w:r>
            <w:r>
              <w:rPr>
                <w:rFonts w:hint="eastAsia"/>
                <w:highlight w:val="none"/>
                <w:lang w:val="en-US" w:eastAsia="zh-CN"/>
              </w:rPr>
              <w:t>≥</w:t>
            </w:r>
            <w:r>
              <w:rPr>
                <w:rFonts w:hint="eastAsia"/>
                <w:highlight w:val="none"/>
              </w:rPr>
              <w:t>2、腹式呼吸、麦克风鼾声、压力</w:t>
            </w:r>
            <w:r>
              <w:rPr>
                <w:rFonts w:hint="eastAsia"/>
                <w:highlight w:val="none"/>
                <w:lang w:eastAsia="zh-CN"/>
              </w:rPr>
              <w:t>、</w:t>
            </w:r>
            <w:r>
              <w:rPr>
                <w:rFonts w:hint="eastAsia"/>
                <w:highlight w:val="none"/>
              </w:rPr>
              <w:t>压力式气流</w:t>
            </w:r>
            <w:r>
              <w:rPr>
                <w:rFonts w:hint="eastAsia"/>
                <w:highlight w:val="none"/>
                <w:lang w:eastAsia="zh-CN"/>
              </w:rPr>
              <w:t>、</w:t>
            </w:r>
            <w:r>
              <w:rPr>
                <w:rFonts w:hint="eastAsia"/>
                <w:highlight w:val="none"/>
              </w:rPr>
              <w:t>压力式鼾声、躯体活动XYZ</w:t>
            </w:r>
            <w:r>
              <w:rPr>
                <w:rFonts w:hint="eastAsia"/>
                <w:highlight w:val="none"/>
                <w:lang w:val="en-US" w:eastAsia="zh-CN"/>
              </w:rPr>
              <w:t>≥</w:t>
            </w:r>
            <w:r>
              <w:rPr>
                <w:rFonts w:hint="eastAsia"/>
                <w:highlight w:val="none"/>
              </w:rPr>
              <w:t>3、体位</w:t>
            </w:r>
            <w:r>
              <w:rPr>
                <w:rFonts w:hint="eastAsia"/>
                <w:highlight w:val="none"/>
                <w:lang w:val="en-US" w:eastAsia="zh-CN"/>
              </w:rPr>
              <w:t>≥5</w:t>
            </w:r>
            <w:r>
              <w:rPr>
                <w:rFonts w:hint="eastAsia"/>
                <w:highlight w:val="none"/>
              </w:rPr>
              <w:t>、患者标记、环境光强</w:t>
            </w:r>
            <w:r>
              <w:rPr>
                <w:rFonts w:hint="eastAsia"/>
                <w:highlight w:val="none"/>
                <w:lang w:eastAsia="zh-CN"/>
              </w:rPr>
              <w:t>、</w:t>
            </w:r>
            <w:r>
              <w:rPr>
                <w:rFonts w:hint="eastAsia"/>
                <w:highlight w:val="none"/>
              </w:rPr>
              <w:t>相位角、外接信号AUX、P</w:t>
            </w:r>
            <w:r>
              <w:rPr>
                <w:rFonts w:hint="eastAsia"/>
                <w:highlight w:val="none"/>
                <w:lang w:val="en-US" w:eastAsia="zh-CN"/>
              </w:rPr>
              <w:t>TT≥3</w:t>
            </w:r>
            <w:r>
              <w:rPr>
                <w:rFonts w:hint="eastAsia"/>
                <w:highlight w:val="none"/>
              </w:rPr>
              <w:t>、HRV</w:t>
            </w:r>
            <w:r>
              <w:rPr>
                <w:rFonts w:hint="eastAsia"/>
                <w:highlight w:val="none"/>
                <w:lang w:val="en-US" w:eastAsia="zh-CN"/>
              </w:rPr>
              <w:t>≥</w:t>
            </w:r>
            <w:r>
              <w:rPr>
                <w:rFonts w:hint="eastAsia"/>
                <w:highlight w:val="none"/>
              </w:rPr>
              <w:t>3、呼吸频率、电池电量、睡眠分期可信度、血压</w:t>
            </w:r>
            <w:r>
              <w:rPr>
                <w:rFonts w:hint="eastAsia"/>
                <w:highlight w:val="none"/>
                <w:lang w:val="en-US" w:eastAsia="zh-CN"/>
              </w:rPr>
              <w:t>≥3</w:t>
            </w:r>
            <w:r>
              <w:rPr>
                <w:rFonts w:hint="eastAsia"/>
                <w:highlight w:val="none"/>
              </w:rPr>
              <w:t>、膈肌肌电</w:t>
            </w:r>
            <w:r>
              <w:rPr>
                <w:rFonts w:hint="eastAsia"/>
                <w:highlight w:val="none"/>
                <w:lang w:val="en-US" w:eastAsia="zh-CN"/>
              </w:rPr>
              <w:t>≥</w:t>
            </w:r>
            <w:r>
              <w:rPr>
                <w:rFonts w:hint="eastAsia"/>
                <w:highlight w:val="none"/>
              </w:rPr>
              <w:t>2、视频、音频、脑电能量</w:t>
            </w:r>
            <w:r>
              <w:rPr>
                <w:rFonts w:hint="eastAsia"/>
                <w:highlight w:val="none"/>
                <w:lang w:val="en-US" w:eastAsia="zh-CN"/>
              </w:rPr>
              <w:t>≥</w:t>
            </w:r>
            <w:r>
              <w:rPr>
                <w:rFonts w:hint="eastAsia"/>
                <w:highlight w:val="none"/>
              </w:rPr>
              <w:t>8、潮气量、分钟通气量、呼吸频率、PAP压力、PAP漏气、PAP流速、AFV、CAP、I-EMG、SumRIP</w:t>
            </w:r>
            <w:r>
              <w:rPr>
                <w:rFonts w:hint="eastAsia"/>
                <w:highlight w:val="none"/>
                <w:lang w:eastAsia="zh-CN"/>
              </w:rPr>
              <w:t>。</w:t>
            </w:r>
          </w:p>
          <w:p w14:paraId="3FDC0AB3">
            <w:pPr>
              <w:pStyle w:val="10"/>
              <w:numPr>
                <w:ilvl w:val="0"/>
                <w:numId w:val="0"/>
              </w:numPr>
              <w:rPr>
                <w:rFonts w:hint="eastAsia"/>
                <w:highlight w:val="none"/>
                <w:lang w:val="en-US" w:eastAsia="zh-CN"/>
              </w:rPr>
            </w:pPr>
            <w:r>
              <w:rPr>
                <w:rFonts w:hint="eastAsia"/>
                <w:highlight w:val="none"/>
                <w:lang w:val="en-US" w:eastAsia="zh-CN"/>
              </w:rPr>
              <w:t>2、扩展通道：</w:t>
            </w:r>
            <w:r>
              <w:rPr>
                <w:rFonts w:hint="eastAsia"/>
                <w:highlight w:val="none"/>
              </w:rPr>
              <w:t>1胃食道PH监测</w:t>
            </w:r>
            <w:r>
              <w:rPr>
                <w:rFonts w:hint="eastAsia"/>
                <w:highlight w:val="none"/>
                <w:lang w:eastAsia="zh-CN"/>
              </w:rPr>
              <w:t>、</w:t>
            </w:r>
            <w:r>
              <w:rPr>
                <w:rFonts w:hint="eastAsia"/>
                <w:highlight w:val="none"/>
              </w:rPr>
              <w:t>2呼末二氧化碳</w:t>
            </w:r>
            <w:r>
              <w:rPr>
                <w:rFonts w:hint="eastAsia"/>
                <w:highlight w:val="none"/>
                <w:lang w:eastAsia="zh-CN"/>
              </w:rPr>
              <w:t>、</w:t>
            </w:r>
            <w:r>
              <w:rPr>
                <w:rFonts w:hint="eastAsia"/>
                <w:highlight w:val="none"/>
                <w:lang w:val="en-US" w:eastAsia="zh-CN"/>
              </w:rPr>
              <w:t>3</w:t>
            </w:r>
            <w:r>
              <w:rPr>
                <w:rFonts w:hint="eastAsia"/>
                <w:highlight w:val="none"/>
              </w:rPr>
              <w:t>食道压监测</w:t>
            </w:r>
            <w:r>
              <w:rPr>
                <w:rFonts w:hint="eastAsia"/>
                <w:highlight w:val="none"/>
                <w:lang w:eastAsia="zh-CN"/>
              </w:rPr>
              <w:t>、</w:t>
            </w:r>
            <w:r>
              <w:rPr>
                <w:rFonts w:hint="eastAsia"/>
                <w:highlight w:val="none"/>
                <w:lang w:val="en-US" w:eastAsia="zh-CN"/>
              </w:rPr>
              <w:t>4</w:t>
            </w:r>
            <w:r>
              <w:rPr>
                <w:rFonts w:hint="eastAsia"/>
                <w:highlight w:val="none"/>
              </w:rPr>
              <w:t>闪光刺激器</w:t>
            </w:r>
            <w:r>
              <w:rPr>
                <w:rFonts w:hint="eastAsia"/>
                <w:highlight w:val="none"/>
                <w:lang w:eastAsia="zh-CN"/>
              </w:rPr>
              <w:t>、</w:t>
            </w:r>
            <w:r>
              <w:rPr>
                <w:rFonts w:hint="eastAsia"/>
                <w:highlight w:val="none"/>
                <w:lang w:val="en-US" w:eastAsia="zh-CN"/>
              </w:rPr>
              <w:t>5.</w:t>
            </w:r>
            <w:r>
              <w:rPr>
                <w:rFonts w:hint="eastAsia"/>
                <w:highlight w:val="none"/>
              </w:rPr>
              <w:t>PBI心电Holter专用软件</w:t>
            </w:r>
            <w:r>
              <w:rPr>
                <w:rFonts w:hint="eastAsia"/>
                <w:highlight w:val="none"/>
                <w:lang w:eastAsia="zh-CN"/>
              </w:rPr>
              <w:t>、</w:t>
            </w:r>
            <w:r>
              <w:rPr>
                <w:rFonts w:hint="eastAsia"/>
                <w:highlight w:val="none"/>
                <w:lang w:val="en-US" w:eastAsia="zh-CN"/>
              </w:rPr>
              <w:t>6</w:t>
            </w:r>
            <w:r>
              <w:rPr>
                <w:rFonts w:hint="eastAsia"/>
                <w:highlight w:val="none"/>
              </w:rPr>
              <w:t>呼吸气体速度描计</w:t>
            </w:r>
            <w:r>
              <w:rPr>
                <w:rFonts w:hint="eastAsia"/>
                <w:highlight w:val="none"/>
                <w:lang w:eastAsia="zh-CN"/>
              </w:rPr>
              <w:t>、</w:t>
            </w:r>
            <w:r>
              <w:rPr>
                <w:rFonts w:hint="eastAsia"/>
                <w:highlight w:val="none"/>
                <w:lang w:val="en-US" w:eastAsia="zh-CN"/>
              </w:rPr>
              <w:t>7</w:t>
            </w:r>
            <w:r>
              <w:rPr>
                <w:rFonts w:hint="eastAsia"/>
                <w:highlight w:val="none"/>
              </w:rPr>
              <w:t>真皮电位监测EDA</w:t>
            </w:r>
            <w:r>
              <w:rPr>
                <w:rFonts w:hint="eastAsia"/>
                <w:highlight w:val="none"/>
                <w:lang w:eastAsia="zh-CN"/>
              </w:rPr>
              <w:t>、</w:t>
            </w:r>
            <w:r>
              <w:rPr>
                <w:rFonts w:hint="eastAsia"/>
                <w:highlight w:val="none"/>
              </w:rPr>
              <w:t>9</w:t>
            </w:r>
            <w:r>
              <w:rPr>
                <w:rFonts w:hint="eastAsia"/>
                <w:highlight w:val="none"/>
                <w:lang w:val="en-US" w:eastAsia="zh-CN"/>
              </w:rPr>
              <w:t>.</w:t>
            </w:r>
            <w:r>
              <w:rPr>
                <w:rFonts w:hint="eastAsia"/>
                <w:highlight w:val="none"/>
              </w:rPr>
              <w:t>肛温监测</w:t>
            </w:r>
            <w:r>
              <w:rPr>
                <w:rFonts w:hint="eastAsia"/>
                <w:highlight w:val="none"/>
                <w:lang w:eastAsia="zh-CN"/>
              </w:rPr>
              <w:t>、</w:t>
            </w:r>
            <w:r>
              <w:rPr>
                <w:rFonts w:hint="eastAsia"/>
                <w:highlight w:val="none"/>
                <w:lang w:val="en-US" w:eastAsia="zh-CN"/>
              </w:rPr>
              <w:t>10.</w:t>
            </w:r>
            <w:r>
              <w:rPr>
                <w:rFonts w:hint="eastAsia"/>
                <w:highlight w:val="none"/>
              </w:rPr>
              <w:t>耳温监测</w:t>
            </w:r>
            <w:r>
              <w:rPr>
                <w:rFonts w:hint="eastAsia"/>
                <w:highlight w:val="none"/>
                <w:lang w:eastAsia="zh-CN"/>
              </w:rPr>
              <w:t>、</w:t>
            </w:r>
            <w:r>
              <w:rPr>
                <w:rFonts w:hint="eastAsia"/>
                <w:highlight w:val="none"/>
                <w:lang w:val="en-US" w:eastAsia="zh-CN"/>
              </w:rPr>
              <w:t>11、</w:t>
            </w:r>
            <w:r>
              <w:rPr>
                <w:rFonts w:hint="eastAsia"/>
                <w:highlight w:val="none"/>
              </w:rPr>
              <w:t>NPT监测（男性性功能监测）</w:t>
            </w:r>
            <w:r>
              <w:rPr>
                <w:rFonts w:hint="eastAsia"/>
                <w:highlight w:val="none"/>
                <w:lang w:eastAsia="zh-CN"/>
              </w:rPr>
              <w:t>、</w:t>
            </w:r>
            <w:r>
              <w:rPr>
                <w:rFonts w:hint="eastAsia"/>
                <w:highlight w:val="none"/>
              </w:rPr>
              <w:t>12经皮二氧化碳</w:t>
            </w:r>
            <w:r>
              <w:rPr>
                <w:rFonts w:hint="eastAsia"/>
                <w:highlight w:val="none"/>
                <w:lang w:val="en-US" w:eastAsia="zh-CN"/>
              </w:rPr>
              <w:t>13、</w:t>
            </w:r>
            <w:r>
              <w:rPr>
                <w:rFonts w:hint="eastAsia"/>
                <w:highlight w:val="none"/>
              </w:rPr>
              <w:t>VR场景</w:t>
            </w:r>
            <w:r>
              <w:rPr>
                <w:rFonts w:hint="eastAsia"/>
                <w:highlight w:val="none"/>
                <w:lang w:val="en-US" w:eastAsia="zh-CN"/>
              </w:rPr>
              <w:t>模拟导航驾驶。</w:t>
            </w:r>
          </w:p>
          <w:p w14:paraId="1F75309E">
            <w:pPr>
              <w:pStyle w:val="10"/>
              <w:numPr>
                <w:ilvl w:val="0"/>
                <w:numId w:val="0"/>
              </w:numPr>
              <w:rPr>
                <w:rFonts w:hint="default"/>
                <w:highlight w:val="none"/>
                <w:lang w:val="en-US" w:eastAsia="zh-CN"/>
              </w:rPr>
            </w:pPr>
            <w:r>
              <w:rPr>
                <w:rFonts w:hint="eastAsia"/>
                <w:highlight w:val="none"/>
                <w:lang w:val="en-US" w:eastAsia="zh-CN"/>
              </w:rPr>
              <w:t>3、设备主机具备屏幕，屏幕尺寸≥2英吋，可实时显示血氧、脉率、电量、记录时间等监测数据。</w:t>
            </w:r>
          </w:p>
          <w:p w14:paraId="6A34F64D">
            <w:pPr>
              <w:pStyle w:val="10"/>
              <w:numPr>
                <w:ilvl w:val="0"/>
                <w:numId w:val="0"/>
              </w:numPr>
              <w:rPr>
                <w:rFonts w:hint="eastAsia"/>
                <w:highlight w:val="none"/>
                <w:lang w:val="en-US" w:eastAsia="zh-CN"/>
              </w:rPr>
            </w:pPr>
            <w:r>
              <w:rPr>
                <w:rFonts w:hint="eastAsia"/>
                <w:highlight w:val="none"/>
                <w:lang w:val="en-US" w:eastAsia="zh-CN"/>
              </w:rPr>
              <w:t>4、</w:t>
            </w:r>
            <w:r>
              <w:rPr>
                <w:rFonts w:hint="eastAsia"/>
                <w:highlight w:val="none"/>
              </w:rPr>
              <w:t>设备</w:t>
            </w:r>
            <w:r>
              <w:rPr>
                <w:rFonts w:hint="eastAsia"/>
                <w:highlight w:val="none"/>
                <w:lang w:val="en-US" w:eastAsia="zh-CN"/>
              </w:rPr>
              <w:t>配备</w:t>
            </w:r>
            <w:r>
              <w:rPr>
                <w:rFonts w:hint="eastAsia"/>
                <w:highlight w:val="none"/>
              </w:rPr>
              <w:t>远程无线传输技术，通</w:t>
            </w:r>
            <w:r>
              <w:rPr>
                <w:rFonts w:hint="eastAsia"/>
                <w:highlight w:val="none"/>
                <w:lang w:val="en-US" w:eastAsia="zh-CN"/>
              </w:rPr>
              <w:t>过</w:t>
            </w:r>
            <w:r>
              <w:rPr>
                <w:rFonts w:hint="eastAsia"/>
                <w:highlight w:val="none"/>
              </w:rPr>
              <w:t>蓝牙以及信号接收器模块实时无线数据传输，患者无活动阻碍，可在睡眠监测室自由活动，</w:t>
            </w:r>
            <w:r>
              <w:rPr>
                <w:rFonts w:hint="eastAsia"/>
                <w:highlight w:val="none"/>
                <w:lang w:val="en-US" w:eastAsia="zh-CN"/>
              </w:rPr>
              <w:t>减少</w:t>
            </w:r>
            <w:r>
              <w:rPr>
                <w:rFonts w:hint="eastAsia"/>
                <w:highlight w:val="none"/>
              </w:rPr>
              <w:t>患者因受床旁单元束缚而不便起夜的困扰，减轻</w:t>
            </w:r>
            <w:r>
              <w:rPr>
                <w:rFonts w:hint="eastAsia"/>
                <w:highlight w:val="none"/>
                <w:lang w:val="en-US" w:eastAsia="zh-CN"/>
              </w:rPr>
              <w:t>患者</w:t>
            </w:r>
            <w:r>
              <w:rPr>
                <w:rFonts w:hint="eastAsia"/>
                <w:highlight w:val="none"/>
              </w:rPr>
              <w:t>首夜效应</w:t>
            </w:r>
            <w:r>
              <w:rPr>
                <w:rFonts w:hint="eastAsia"/>
                <w:highlight w:val="none"/>
                <w:lang w:eastAsia="zh-CN"/>
              </w:rPr>
              <w:t>，</w:t>
            </w:r>
            <w:r>
              <w:rPr>
                <w:rFonts w:hint="eastAsia"/>
                <w:highlight w:val="none"/>
                <w:lang w:val="en-US" w:eastAsia="zh-CN"/>
              </w:rPr>
              <w:t>以便于临床采集分析患者最真实睡眠数据。</w:t>
            </w:r>
          </w:p>
          <w:p w14:paraId="5AD42BB2">
            <w:pPr>
              <w:pStyle w:val="10"/>
              <w:numPr>
                <w:ilvl w:val="0"/>
                <w:numId w:val="0"/>
              </w:numPr>
              <w:rPr>
                <w:rFonts w:hint="eastAsia"/>
                <w:highlight w:val="none"/>
                <w:lang w:eastAsia="zh-CN"/>
              </w:rPr>
            </w:pPr>
            <w:r>
              <w:rPr>
                <w:rFonts w:hint="eastAsia"/>
                <w:highlight w:val="none"/>
                <w:lang w:val="en-US" w:eastAsia="zh-CN"/>
              </w:rPr>
              <w:t>5、</w:t>
            </w:r>
            <w:r>
              <w:rPr>
                <w:rFonts w:hint="eastAsia"/>
                <w:highlight w:val="none"/>
              </w:rPr>
              <w:t>采样频率≥4</w:t>
            </w:r>
            <w:r>
              <w:rPr>
                <w:rFonts w:hint="eastAsia"/>
                <w:highlight w:val="none"/>
                <w:lang w:val="en-US" w:eastAsia="zh-CN"/>
              </w:rPr>
              <w:t>K</w:t>
            </w:r>
            <w:r>
              <w:rPr>
                <w:rFonts w:hint="eastAsia"/>
                <w:highlight w:val="none"/>
              </w:rPr>
              <w:t>HZ，存储频率≥2</w:t>
            </w:r>
            <w:r>
              <w:rPr>
                <w:rFonts w:hint="eastAsia"/>
                <w:highlight w:val="none"/>
                <w:lang w:val="en-US" w:eastAsia="zh-CN"/>
              </w:rPr>
              <w:t>K</w:t>
            </w:r>
            <w:r>
              <w:rPr>
                <w:rFonts w:hint="eastAsia"/>
                <w:highlight w:val="none"/>
              </w:rPr>
              <w:t>HZ</w:t>
            </w:r>
            <w:r>
              <w:rPr>
                <w:rFonts w:hint="eastAsia"/>
                <w:highlight w:val="none"/>
                <w:lang w:eastAsia="zh-CN"/>
              </w:rPr>
              <w:t>。</w:t>
            </w:r>
          </w:p>
          <w:p w14:paraId="45B047CC">
            <w:pPr>
              <w:pStyle w:val="10"/>
              <w:numPr>
                <w:ilvl w:val="0"/>
                <w:numId w:val="0"/>
              </w:numPr>
              <w:rPr>
                <w:rFonts w:hint="eastAsia"/>
                <w:highlight w:val="none"/>
              </w:rPr>
            </w:pPr>
            <w:r>
              <w:rPr>
                <w:rFonts w:hint="eastAsia"/>
                <w:highlight w:val="none"/>
                <w:lang w:val="en-US" w:eastAsia="zh-CN"/>
              </w:rPr>
              <w:t>6、</w:t>
            </w:r>
            <w:r>
              <w:rPr>
                <w:rFonts w:hint="eastAsia"/>
                <w:highlight w:val="none"/>
              </w:rPr>
              <w:t>采样精度：</w:t>
            </w:r>
            <w:r>
              <w:rPr>
                <w:rFonts w:hint="eastAsia"/>
                <w:highlight w:val="none"/>
                <w:lang w:val="en-US" w:eastAsia="zh-CN"/>
              </w:rPr>
              <w:t>≥24</w:t>
            </w:r>
            <w:r>
              <w:rPr>
                <w:rFonts w:hint="eastAsia"/>
                <w:highlight w:val="none"/>
              </w:rPr>
              <w:t>位bit。</w:t>
            </w:r>
          </w:p>
          <w:p w14:paraId="17ACD971">
            <w:pPr>
              <w:pStyle w:val="10"/>
              <w:numPr>
                <w:ilvl w:val="0"/>
                <w:numId w:val="0"/>
              </w:numPr>
              <w:rPr>
                <w:rFonts w:hint="eastAsia"/>
                <w:highlight w:val="none"/>
              </w:rPr>
            </w:pPr>
            <w:r>
              <w:rPr>
                <w:rFonts w:hint="eastAsia"/>
                <w:highlight w:val="none"/>
                <w:lang w:val="en-US" w:eastAsia="zh-CN"/>
              </w:rPr>
              <w:t>7、脑电</w:t>
            </w:r>
            <w:r>
              <w:rPr>
                <w:rFonts w:hint="eastAsia"/>
                <w:highlight w:val="none"/>
              </w:rPr>
              <w:t>显示分辨率</w:t>
            </w:r>
            <w:r>
              <w:rPr>
                <w:rFonts w:hint="eastAsia"/>
                <w:highlight w:val="none"/>
                <w:lang w:eastAsia="zh-CN"/>
              </w:rPr>
              <w:t>：</w:t>
            </w:r>
            <w:r>
              <w:rPr>
                <w:rFonts w:hint="eastAsia"/>
                <w:highlight w:val="none"/>
              </w:rPr>
              <w:t>≥1μV，</w:t>
            </w:r>
            <w:r>
              <w:rPr>
                <w:rFonts w:hint="eastAsia"/>
                <w:highlight w:val="none"/>
                <w:lang w:val="en-US" w:eastAsia="zh-CN"/>
              </w:rPr>
              <w:t>动态量程输入≥</w:t>
            </w:r>
            <w:r>
              <w:rPr>
                <w:rFonts w:hint="eastAsia"/>
                <w:highlight w:val="none"/>
              </w:rPr>
              <w:t xml:space="preserve">800µV </w:t>
            </w:r>
          </w:p>
          <w:p w14:paraId="205DCD9C">
            <w:pPr>
              <w:pStyle w:val="10"/>
              <w:numPr>
                <w:ilvl w:val="0"/>
                <w:numId w:val="0"/>
              </w:numPr>
              <w:rPr>
                <w:rFonts w:hint="eastAsia"/>
                <w:highlight w:val="none"/>
              </w:rPr>
            </w:pPr>
            <w:r>
              <w:rPr>
                <w:rFonts w:hint="eastAsia"/>
                <w:highlight w:val="none"/>
                <w:lang w:val="en-US" w:eastAsia="zh-CN"/>
              </w:rPr>
              <w:t>8、</w:t>
            </w:r>
            <w:r>
              <w:rPr>
                <w:rFonts w:hint="eastAsia"/>
                <w:highlight w:val="none"/>
              </w:rPr>
              <w:t xml:space="preserve">共模抑制比 </w:t>
            </w:r>
            <w:r>
              <w:rPr>
                <w:rFonts w:hint="eastAsia"/>
                <w:highlight w:val="none"/>
                <w:lang w:eastAsia="zh-CN"/>
              </w:rPr>
              <w:t>：</w:t>
            </w:r>
            <w:r>
              <w:rPr>
                <w:rFonts w:hint="eastAsia"/>
                <w:highlight w:val="none"/>
              </w:rPr>
              <w:t>CMRR ≥ 1</w:t>
            </w:r>
            <w:r>
              <w:rPr>
                <w:rFonts w:hint="eastAsia"/>
                <w:highlight w:val="none"/>
                <w:lang w:val="en-US" w:eastAsia="zh-CN"/>
              </w:rPr>
              <w:t>10</w:t>
            </w:r>
            <w:r>
              <w:rPr>
                <w:rFonts w:hint="eastAsia"/>
                <w:highlight w:val="none"/>
              </w:rPr>
              <w:t xml:space="preserve"> db。</w:t>
            </w:r>
          </w:p>
          <w:p w14:paraId="61736158">
            <w:pPr>
              <w:pStyle w:val="10"/>
              <w:numPr>
                <w:ilvl w:val="0"/>
                <w:numId w:val="0"/>
              </w:numPr>
              <w:rPr>
                <w:rFonts w:hint="eastAsia"/>
                <w:highlight w:val="none"/>
              </w:rPr>
            </w:pPr>
            <w:r>
              <w:rPr>
                <w:rFonts w:hint="eastAsia"/>
                <w:highlight w:val="none"/>
                <w:lang w:val="en-US" w:eastAsia="zh-CN"/>
              </w:rPr>
              <w:t>9、</w:t>
            </w:r>
            <w:r>
              <w:rPr>
                <w:rFonts w:hint="eastAsia"/>
                <w:highlight w:val="none"/>
              </w:rPr>
              <w:t xml:space="preserve">电路噪音 </w:t>
            </w:r>
            <w:r>
              <w:rPr>
                <w:rFonts w:hint="eastAsia"/>
                <w:highlight w:val="none"/>
                <w:lang w:eastAsia="zh-CN"/>
              </w:rPr>
              <w:t>：</w:t>
            </w:r>
            <w:r>
              <w:rPr>
                <w:rFonts w:hint="eastAsia"/>
                <w:highlight w:val="none"/>
              </w:rPr>
              <w:t>≤0.</w:t>
            </w:r>
            <w:r>
              <w:rPr>
                <w:rFonts w:hint="eastAsia"/>
                <w:highlight w:val="none"/>
                <w:lang w:val="en-US" w:eastAsia="zh-CN"/>
              </w:rPr>
              <w:t>5</w:t>
            </w:r>
            <w:r>
              <w:rPr>
                <w:rFonts w:hint="eastAsia"/>
                <w:highlight w:val="none"/>
              </w:rPr>
              <w:t>μV。</w:t>
            </w:r>
          </w:p>
          <w:p w14:paraId="0AF64398">
            <w:pPr>
              <w:pStyle w:val="10"/>
              <w:numPr>
                <w:ilvl w:val="0"/>
                <w:numId w:val="0"/>
              </w:numPr>
              <w:rPr>
                <w:rFonts w:hint="eastAsia"/>
                <w:highlight w:val="none"/>
                <w:lang w:val="en-US" w:eastAsia="zh-CN"/>
              </w:rPr>
            </w:pPr>
            <w:r>
              <w:rPr>
                <w:rFonts w:hint="eastAsia"/>
                <w:highlight w:val="none"/>
                <w:lang w:val="en-US" w:eastAsia="zh-CN"/>
              </w:rPr>
              <w:t>10、</w:t>
            </w:r>
            <w:r>
              <w:rPr>
                <w:rFonts w:hint="eastAsia"/>
                <w:highlight w:val="none"/>
                <w:lang w:val="en-US" w:eastAsia="zh-Hans"/>
              </w:rPr>
              <w:t>主机传感器接口配置机械锁芯，每个传感器锁芯都有防误插设计，并在每个接口处标注传感器接口名称以及图标颜色。</w:t>
            </w:r>
          </w:p>
          <w:p w14:paraId="7794F415">
            <w:pPr>
              <w:pStyle w:val="10"/>
              <w:numPr>
                <w:ilvl w:val="0"/>
                <w:numId w:val="0"/>
              </w:numPr>
              <w:rPr>
                <w:rFonts w:hint="eastAsia"/>
                <w:highlight w:val="none"/>
                <w:lang w:val="en-US" w:eastAsia="zh-CN"/>
              </w:rPr>
            </w:pPr>
            <w:r>
              <w:rPr>
                <w:rFonts w:hint="eastAsia"/>
                <w:highlight w:val="none"/>
                <w:lang w:val="en-US" w:eastAsia="zh-CN"/>
              </w:rPr>
              <w:t>11、</w:t>
            </w:r>
            <w:r>
              <w:rPr>
                <w:rFonts w:hint="eastAsia"/>
                <w:highlight w:val="none"/>
              </w:rPr>
              <w:t>主机</w:t>
            </w:r>
            <w:r>
              <w:rPr>
                <w:rFonts w:hint="eastAsia"/>
                <w:highlight w:val="none"/>
                <w:lang w:val="en-US" w:eastAsia="zh-CN"/>
              </w:rPr>
              <w:t>采用高性能循环充</w:t>
            </w:r>
            <w:r>
              <w:rPr>
                <w:rFonts w:hint="eastAsia"/>
                <w:highlight w:val="none"/>
              </w:rPr>
              <w:t>电池</w:t>
            </w:r>
            <w:r>
              <w:rPr>
                <w:rFonts w:hint="eastAsia"/>
                <w:highlight w:val="none"/>
                <w:lang w:val="en-US" w:eastAsia="zh-CN"/>
              </w:rPr>
              <w:t>支持≥120小时数据记录。</w:t>
            </w:r>
          </w:p>
          <w:p w14:paraId="73D02FDC">
            <w:pPr>
              <w:pStyle w:val="10"/>
              <w:numPr>
                <w:ilvl w:val="0"/>
                <w:numId w:val="0"/>
              </w:numPr>
              <w:rPr>
                <w:rFonts w:hint="eastAsia"/>
                <w:highlight w:val="none"/>
                <w:lang w:val="en-US" w:eastAsia="zh-CN"/>
              </w:rPr>
            </w:pPr>
            <w:r>
              <w:rPr>
                <w:rFonts w:hint="eastAsia"/>
                <w:highlight w:val="none"/>
                <w:lang w:val="en-US" w:eastAsia="zh-CN"/>
              </w:rPr>
              <w:t>12、设备支持POE网线供电传输数据。</w:t>
            </w:r>
          </w:p>
          <w:p w14:paraId="1808351A">
            <w:pPr>
              <w:pStyle w:val="10"/>
              <w:numPr>
                <w:ilvl w:val="0"/>
                <w:numId w:val="0"/>
              </w:numPr>
              <w:rPr>
                <w:rFonts w:hint="eastAsia"/>
                <w:highlight w:val="none"/>
                <w:lang w:val="en-US" w:eastAsia="zh-CN"/>
              </w:rPr>
            </w:pPr>
            <w:r>
              <w:rPr>
                <w:rFonts w:hint="eastAsia"/>
                <w:highlight w:val="none"/>
                <w:lang w:val="en-US" w:eastAsia="zh-CN"/>
              </w:rPr>
              <w:t>13、设备配备工业级闪存卡存储备份患者数据，闪存卡≥2GB并支持1TB实时数据传输。</w:t>
            </w:r>
          </w:p>
          <w:p w14:paraId="0FA51E31">
            <w:pPr>
              <w:pStyle w:val="10"/>
              <w:numPr>
                <w:ilvl w:val="0"/>
                <w:numId w:val="0"/>
              </w:numPr>
              <w:rPr>
                <w:rFonts w:hint="eastAsia"/>
                <w:highlight w:val="none"/>
              </w:rPr>
            </w:pPr>
            <w:r>
              <w:rPr>
                <w:rFonts w:hint="eastAsia"/>
                <w:highlight w:val="none"/>
                <w:lang w:val="en-US" w:eastAsia="zh-CN"/>
              </w:rPr>
              <w:t>14、主机内置三维加速度XYZ传感器及</w:t>
            </w:r>
            <w:r>
              <w:rPr>
                <w:rFonts w:hint="eastAsia"/>
                <w:highlight w:val="none"/>
              </w:rPr>
              <w:t>体位传感器，无需外接探头即可捕捉患者的五个体位变化（仰卧、俯卧、左侧卧、右侧卧、坐起）。</w:t>
            </w:r>
          </w:p>
          <w:p w14:paraId="0E1E90BE">
            <w:pPr>
              <w:pStyle w:val="10"/>
              <w:numPr>
                <w:ilvl w:val="0"/>
                <w:numId w:val="0"/>
              </w:numPr>
              <w:rPr>
                <w:rFonts w:hint="eastAsia"/>
                <w:highlight w:val="none"/>
              </w:rPr>
            </w:pPr>
            <w:r>
              <w:rPr>
                <w:rFonts w:hint="eastAsia"/>
                <w:highlight w:val="none"/>
                <w:lang w:val="en-US" w:eastAsia="zh-CN"/>
              </w:rPr>
              <w:t>15、主机体积≤140X70X28 mm，重量≤220克（带电池），整套系统都安装在患者身上（包括主机以及传感器），监测过程中患者可在睡眠室自由活动。</w:t>
            </w:r>
          </w:p>
          <w:p w14:paraId="4581F3B4">
            <w:pPr>
              <w:pStyle w:val="10"/>
              <w:numPr>
                <w:ilvl w:val="0"/>
                <w:numId w:val="0"/>
              </w:numPr>
              <w:rPr>
                <w:rFonts w:hint="eastAsia"/>
                <w:highlight w:val="none"/>
              </w:rPr>
            </w:pPr>
            <w:r>
              <w:rPr>
                <w:rFonts w:hint="eastAsia"/>
                <w:highlight w:val="none"/>
                <w:lang w:val="en-US" w:eastAsia="zh-CN"/>
              </w:rPr>
              <w:t>16、</w:t>
            </w:r>
            <w:r>
              <w:rPr>
                <w:rFonts w:hint="eastAsia"/>
                <w:highlight w:val="none"/>
              </w:rPr>
              <w:t>主机具备定时开机，定时关机功能，可根据患者的睡眠时间来设置记录时长，主机自动开机并配有待机指示灯提醒，在达到记录时长之后设备自动关机实现自动化记录睡眠。</w:t>
            </w:r>
          </w:p>
          <w:p w14:paraId="192EB88F">
            <w:pPr>
              <w:pStyle w:val="10"/>
              <w:numPr>
                <w:ilvl w:val="0"/>
                <w:numId w:val="0"/>
              </w:numPr>
              <w:rPr>
                <w:rFonts w:hint="eastAsia"/>
                <w:highlight w:val="none"/>
              </w:rPr>
            </w:pPr>
            <w:r>
              <w:rPr>
                <w:rFonts w:hint="eastAsia"/>
                <w:highlight w:val="none"/>
                <w:lang w:val="en-US" w:eastAsia="zh-CN"/>
              </w:rPr>
              <w:t>17、</w:t>
            </w:r>
            <w:r>
              <w:rPr>
                <w:rFonts w:hint="eastAsia"/>
                <w:highlight w:val="none"/>
              </w:rPr>
              <w:t>主机具备手动停止记录功能，可在意外情况发生时临床医护人员可随时终止记录并保证数据的有效存储。</w:t>
            </w:r>
          </w:p>
          <w:p w14:paraId="781188A9">
            <w:pPr>
              <w:pStyle w:val="10"/>
              <w:numPr>
                <w:ilvl w:val="0"/>
                <w:numId w:val="0"/>
              </w:numPr>
              <w:rPr>
                <w:rFonts w:hint="eastAsia"/>
                <w:highlight w:val="none"/>
                <w:lang w:val="en-US" w:eastAsia="zh-CN"/>
              </w:rPr>
            </w:pPr>
            <w:r>
              <w:rPr>
                <w:rFonts w:hint="eastAsia"/>
                <w:highlight w:val="none"/>
                <w:lang w:val="en-US" w:eastAsia="zh-CN"/>
              </w:rPr>
              <w:t>18、主机支持平板电脑查房功能，同时支持一拖六同步检测数据。</w:t>
            </w:r>
          </w:p>
          <w:p w14:paraId="53A70EEB">
            <w:pPr>
              <w:pStyle w:val="10"/>
              <w:numPr>
                <w:ilvl w:val="0"/>
                <w:numId w:val="0"/>
              </w:numPr>
              <w:rPr>
                <w:rFonts w:hint="eastAsia"/>
                <w:highlight w:val="none"/>
                <w:lang w:eastAsia="zh-CN"/>
              </w:rPr>
            </w:pPr>
            <w:r>
              <w:rPr>
                <w:rFonts w:hint="eastAsia"/>
                <w:highlight w:val="none"/>
                <w:lang w:val="en-US" w:eastAsia="zh-CN"/>
              </w:rPr>
              <w:t>19、</w:t>
            </w:r>
            <w:r>
              <w:rPr>
                <w:rFonts w:hint="eastAsia"/>
                <w:highlight w:val="none"/>
              </w:rPr>
              <w:t>设备</w:t>
            </w:r>
            <w:r>
              <w:rPr>
                <w:rFonts w:hint="eastAsia"/>
                <w:highlight w:val="none"/>
                <w:lang w:val="en-US" w:eastAsia="zh-CN"/>
              </w:rPr>
              <w:t>内置</w:t>
            </w:r>
            <w:r>
              <w:rPr>
                <w:rFonts w:hint="eastAsia"/>
                <w:highlight w:val="none"/>
              </w:rPr>
              <w:t>连续无创血压监测功能，可监测连续的、每搏的血压波形趋势和数值，无需通过其它扩展通道外接血压计而进行测量；在实时在线监测状态下，可实时查看收缩压与舒张压数值</w:t>
            </w:r>
            <w:r>
              <w:rPr>
                <w:rFonts w:hint="eastAsia"/>
                <w:highlight w:val="none"/>
                <w:lang w:eastAsia="zh-CN"/>
              </w:rPr>
              <w:t>。</w:t>
            </w:r>
          </w:p>
          <w:p w14:paraId="71235C20">
            <w:pPr>
              <w:pStyle w:val="10"/>
              <w:numPr>
                <w:ilvl w:val="0"/>
                <w:numId w:val="0"/>
              </w:numPr>
              <w:rPr>
                <w:rFonts w:hint="eastAsia"/>
                <w:highlight w:val="none"/>
              </w:rPr>
            </w:pPr>
            <w:r>
              <w:rPr>
                <w:rFonts w:hint="eastAsia"/>
                <w:highlight w:val="none"/>
                <w:lang w:val="en-US" w:eastAsia="zh-CN"/>
              </w:rPr>
              <w:t>20、</w:t>
            </w:r>
            <w:r>
              <w:rPr>
                <w:rFonts w:hint="eastAsia"/>
                <w:highlight w:val="none"/>
              </w:rPr>
              <w:t>主机可连接12导联诊断级心电模块，导联需具备（V1/V2/V3/V4/V5/V6、ECGRA、ECGLL、ECGLA、GND等），并同时可监测患者的胸腹呼吸，鼻气流&amp;热敏，腿动、活动度，血氧，血压等监测。</w:t>
            </w:r>
          </w:p>
          <w:p w14:paraId="35B1AC81">
            <w:pPr>
              <w:pStyle w:val="10"/>
              <w:numPr>
                <w:ilvl w:val="0"/>
                <w:numId w:val="0"/>
              </w:numPr>
              <w:rPr>
                <w:rFonts w:hint="eastAsia"/>
                <w:highlight w:val="none"/>
                <w:lang w:val="en-US" w:eastAsia="zh-CN"/>
              </w:rPr>
            </w:pPr>
            <w:r>
              <w:rPr>
                <w:rFonts w:hint="eastAsia"/>
                <w:highlight w:val="none"/>
                <w:lang w:val="en-US" w:eastAsia="zh-CN"/>
              </w:rPr>
              <w:t>21、主机支持5G物联网功能，可自动升级主机固件。</w:t>
            </w:r>
          </w:p>
          <w:p w14:paraId="6DD89890">
            <w:pPr>
              <w:pStyle w:val="10"/>
              <w:numPr>
                <w:ilvl w:val="0"/>
                <w:numId w:val="0"/>
              </w:numPr>
              <w:rPr>
                <w:rFonts w:hint="eastAsia"/>
                <w:highlight w:val="none"/>
                <w:lang w:val="en-US" w:eastAsia="zh-CN"/>
              </w:rPr>
            </w:pPr>
            <w:r>
              <w:rPr>
                <w:rFonts w:hint="eastAsia"/>
                <w:highlight w:val="none"/>
                <w:lang w:val="en-US" w:eastAsia="zh-CN"/>
              </w:rPr>
              <w:t>22、配备高清红外IP网络视频系统，采用H.264，MPEG-4 ，MJPG多种视频数据压缩方式，系统支持多角度调节可监测房间整体或局部视频信息，记录桢频支持2K分辨率，系统支持剪辑修改导出视频数据，方便保存。</w:t>
            </w:r>
          </w:p>
          <w:p w14:paraId="5E315D34">
            <w:pPr>
              <w:pStyle w:val="10"/>
              <w:numPr>
                <w:ilvl w:val="0"/>
                <w:numId w:val="0"/>
              </w:numPr>
              <w:rPr>
                <w:rFonts w:hint="default"/>
                <w:highlight w:val="none"/>
                <w:lang w:val="en-US" w:eastAsia="zh-CN"/>
              </w:rPr>
            </w:pPr>
            <w:r>
              <w:rPr>
                <w:rFonts w:hint="eastAsia"/>
                <w:highlight w:val="none"/>
                <w:lang w:val="en-US" w:eastAsia="zh-CN"/>
              </w:rPr>
              <w:t>23、设备具备闪光刺激器接口，可以控制外部的闪光刺激器，以特定的时间间隔或模式向受试者发出闪光，以诱发特定的脑电活动，从而进行研究和分析。</w:t>
            </w:r>
          </w:p>
          <w:p w14:paraId="7882811F">
            <w:pPr>
              <w:pStyle w:val="10"/>
              <w:numPr>
                <w:ilvl w:val="0"/>
                <w:numId w:val="0"/>
              </w:numPr>
              <w:rPr>
                <w:rFonts w:hint="eastAsia"/>
                <w:highlight w:val="none"/>
                <w:lang w:val="en-US" w:eastAsia="zh-CN"/>
              </w:rPr>
            </w:pPr>
            <w:r>
              <w:rPr>
                <w:rFonts w:hint="eastAsia"/>
                <w:highlight w:val="none"/>
                <w:lang w:val="en-US" w:eastAsia="zh-CN"/>
              </w:rPr>
              <w:t>24、设备具备事件按钮接口允许操作者在实验过程中手动记录特定的事件或标。</w:t>
            </w:r>
          </w:p>
          <w:p w14:paraId="358B4736">
            <w:pPr>
              <w:pStyle w:val="10"/>
              <w:numPr>
                <w:ilvl w:val="0"/>
                <w:numId w:val="0"/>
              </w:numPr>
              <w:rPr>
                <w:rFonts w:hint="default"/>
                <w:highlight w:val="none"/>
                <w:lang w:val="en-US"/>
              </w:rPr>
            </w:pPr>
            <w:r>
              <w:rPr>
                <w:rFonts w:hint="eastAsia"/>
                <w:highlight w:val="none"/>
                <w:lang w:val="en-US" w:eastAsia="zh-CN"/>
              </w:rPr>
              <w:t>25、设备具备Trigger接口用于触发其他设备（如视频记录器）的启动，或者在特定的生理事件发生时（如呼吸暂停）标记时间点，以便后续分析。</w:t>
            </w:r>
          </w:p>
          <w:p w14:paraId="645DD5CE">
            <w:pPr>
              <w:pStyle w:val="10"/>
              <w:numPr>
                <w:ilvl w:val="0"/>
                <w:numId w:val="0"/>
              </w:numPr>
              <w:rPr>
                <w:rFonts w:hint="eastAsia"/>
                <w:highlight w:val="none"/>
              </w:rPr>
            </w:pPr>
            <w:r>
              <w:rPr>
                <w:rFonts w:hint="eastAsia"/>
                <w:highlight w:val="none"/>
                <w:lang w:val="en-US" w:eastAsia="zh-CN"/>
              </w:rPr>
              <w:t>三、睡眠软件系统要求</w:t>
            </w:r>
            <w:r>
              <w:rPr>
                <w:rFonts w:hint="eastAsia"/>
                <w:highlight w:val="none"/>
              </w:rPr>
              <w:t>：</w:t>
            </w:r>
          </w:p>
          <w:p w14:paraId="4454B4C1">
            <w:pPr>
              <w:pStyle w:val="10"/>
              <w:numPr>
                <w:ilvl w:val="0"/>
                <w:numId w:val="0"/>
              </w:numPr>
              <w:rPr>
                <w:rFonts w:hint="eastAsia"/>
                <w:highlight w:val="none"/>
                <w:lang w:val="en-US" w:eastAsia="zh-CN"/>
              </w:rPr>
            </w:pPr>
            <w:r>
              <w:rPr>
                <w:rFonts w:hint="eastAsia"/>
                <w:highlight w:val="none"/>
                <w:lang w:val="en-US" w:eastAsia="zh-CN"/>
              </w:rPr>
              <w:t xml:space="preserve">1、软件系统具备AASM3.0标准，支持R&amp;K 和 AASM 多种分析模式，全中文操作界面、全中文报告，并具有婴幼儿、儿童、成人三种分析功能。 </w:t>
            </w:r>
          </w:p>
          <w:p w14:paraId="2F8E6AC1">
            <w:pPr>
              <w:pStyle w:val="10"/>
              <w:numPr>
                <w:ilvl w:val="0"/>
                <w:numId w:val="0"/>
              </w:numPr>
              <w:rPr>
                <w:rFonts w:hint="eastAsia"/>
                <w:highlight w:val="none"/>
                <w:lang w:val="en-US" w:eastAsia="zh-CN"/>
              </w:rPr>
            </w:pPr>
            <w:r>
              <w:rPr>
                <w:rFonts w:hint="eastAsia"/>
                <w:highlight w:val="none"/>
                <w:lang w:val="en-US" w:eastAsia="zh-CN"/>
              </w:rPr>
              <w:t>2、软件系统支持在在线监测患者数据时同步分析数据或打开分析以往数据，软件支持人工智能AI算法分析及人工分析等多种分析模式。</w:t>
            </w:r>
          </w:p>
          <w:p w14:paraId="78F5700A">
            <w:pPr>
              <w:pStyle w:val="10"/>
              <w:numPr>
                <w:ilvl w:val="0"/>
                <w:numId w:val="0"/>
              </w:numPr>
              <w:rPr>
                <w:rFonts w:hint="eastAsia"/>
                <w:highlight w:val="none"/>
                <w:lang w:val="en-US" w:eastAsia="zh-CN"/>
              </w:rPr>
            </w:pPr>
            <w:r>
              <w:rPr>
                <w:rFonts w:hint="eastAsia"/>
                <w:highlight w:val="none"/>
                <w:lang w:val="en-US" w:eastAsia="zh-CN"/>
              </w:rPr>
              <w:t>3、软件支持高频信号（脑电、眼电、心电、肌电）与低频信号（血压、血氧、口鼻气流、热敏气流、RIP胸腹呼吸、麦克风鼾声、体位、腿动等），支持30秒、1分钟、3分钟、5分钟、10分钟、30分钟、支持≥16种扫描速度模式，支持上下分屏显示高频与低频信号，便于医护人员观察数据。</w:t>
            </w:r>
          </w:p>
          <w:p w14:paraId="5508BD93">
            <w:pPr>
              <w:pStyle w:val="10"/>
              <w:numPr>
                <w:ilvl w:val="0"/>
                <w:numId w:val="0"/>
              </w:numPr>
              <w:rPr>
                <w:rFonts w:hint="eastAsia"/>
                <w:highlight w:val="none"/>
                <w:lang w:val="en-US" w:eastAsia="zh-CN"/>
              </w:rPr>
            </w:pPr>
            <w:r>
              <w:rPr>
                <w:rFonts w:hint="eastAsia"/>
                <w:highlight w:val="none"/>
                <w:lang w:val="en-US" w:eastAsia="zh-CN"/>
              </w:rPr>
              <w:t>4、软件支持实时传输记录数据时发生异常电生理信号声光报警功能，可设置例如血压、血氧、脉率等最高最低值，低于设置阈值软件会自动在显示器前警报提示，同时支持在线模式下显示患者实时AHI指数RDI指数计算功能，方便临床进行分夜诊疗。</w:t>
            </w:r>
          </w:p>
          <w:p w14:paraId="12D61729">
            <w:pPr>
              <w:pStyle w:val="10"/>
              <w:numPr>
                <w:ilvl w:val="0"/>
                <w:numId w:val="0"/>
              </w:numPr>
              <w:rPr>
                <w:rFonts w:hint="eastAsia"/>
                <w:highlight w:val="none"/>
                <w:lang w:val="en-US" w:eastAsia="zh-CN"/>
              </w:rPr>
            </w:pPr>
            <w:r>
              <w:rPr>
                <w:rFonts w:hint="eastAsia"/>
                <w:highlight w:val="none"/>
                <w:lang w:val="en-US" w:eastAsia="zh-CN"/>
              </w:rPr>
              <w:t>5、软件系统具备生物反馈/神经反馈功能，可在线监测时可打开单独的生物反馈/神经反馈界面，进行生物反馈/神经反馈治疗，可反馈治疗的信号包括脑电频率、心率、心率变异性、胸腹呼吸。可通过声音、图形和数值形式来反馈治疗效果。</w:t>
            </w:r>
          </w:p>
          <w:p w14:paraId="22FE1E91">
            <w:pPr>
              <w:pStyle w:val="10"/>
              <w:numPr>
                <w:ilvl w:val="0"/>
                <w:numId w:val="0"/>
              </w:numPr>
              <w:rPr>
                <w:rFonts w:hint="eastAsia"/>
                <w:highlight w:val="none"/>
                <w:lang w:val="en-US" w:eastAsia="zh-CN"/>
              </w:rPr>
            </w:pPr>
            <w:r>
              <w:rPr>
                <w:rFonts w:hint="eastAsia"/>
                <w:highlight w:val="none"/>
                <w:lang w:val="en-US" w:eastAsia="zh-CN"/>
              </w:rPr>
              <w:t>6、软件系统</w:t>
            </w:r>
            <w:r>
              <w:rPr>
                <w:rFonts w:hint="eastAsia"/>
                <w:highlight w:val="none"/>
              </w:rPr>
              <w:t>具</w:t>
            </w:r>
            <w:r>
              <w:rPr>
                <w:rFonts w:hint="eastAsia"/>
                <w:highlight w:val="none"/>
                <w:lang w:val="en-US" w:eastAsia="zh-CN"/>
              </w:rPr>
              <w:t>心率变异性分析功能：可分析结果包括时域结果：平均RR间期、RRSD、SD1、SD2、SD1/SD2，和频域结果：HF、LF、LF/HF。</w:t>
            </w:r>
          </w:p>
          <w:p w14:paraId="22C61911">
            <w:pPr>
              <w:pStyle w:val="10"/>
              <w:numPr>
                <w:ilvl w:val="0"/>
                <w:numId w:val="0"/>
              </w:numPr>
              <w:rPr>
                <w:rFonts w:hint="eastAsia"/>
                <w:highlight w:val="none"/>
              </w:rPr>
            </w:pPr>
            <w:r>
              <w:rPr>
                <w:rFonts w:hint="eastAsia"/>
                <w:highlight w:val="none"/>
                <w:lang w:val="en-US" w:eastAsia="zh-CN"/>
              </w:rPr>
              <w:t>7、</w:t>
            </w:r>
            <w:r>
              <w:rPr>
                <w:rFonts w:hint="eastAsia"/>
                <w:highlight w:val="none"/>
              </w:rPr>
              <w:t>软件</w:t>
            </w:r>
            <w:r>
              <w:rPr>
                <w:rFonts w:hint="eastAsia"/>
                <w:highlight w:val="none"/>
                <w:lang w:val="en-US" w:eastAsia="zh-CN"/>
              </w:rPr>
              <w:t>系统</w:t>
            </w:r>
            <w:r>
              <w:rPr>
                <w:rFonts w:hint="eastAsia"/>
                <w:highlight w:val="none"/>
              </w:rPr>
              <w:t>具有胸腹相位角分析功能，通过计算胸腹相位角的度数，并出具相位角分析报告，便于医务人员诊断矛盾呼吸和上气道阻力综合症，方便比较不同患者和同一患者治疗前后的变化；及患者气流探头脱落时，也可以根据胸腹相位角的度数计算呼吸暂停指数。</w:t>
            </w:r>
          </w:p>
          <w:p w14:paraId="1444D2A1">
            <w:pPr>
              <w:pStyle w:val="10"/>
              <w:numPr>
                <w:ilvl w:val="0"/>
                <w:numId w:val="0"/>
              </w:numPr>
              <w:rPr>
                <w:rFonts w:hint="eastAsia"/>
                <w:highlight w:val="none"/>
              </w:rPr>
            </w:pPr>
            <w:r>
              <w:rPr>
                <w:rFonts w:hint="eastAsia"/>
                <w:highlight w:val="none"/>
                <w:lang w:val="en-US" w:eastAsia="zh-CN"/>
              </w:rPr>
              <w:t>8、</w:t>
            </w:r>
            <w:r>
              <w:rPr>
                <w:rFonts w:hint="eastAsia"/>
                <w:highlight w:val="none"/>
              </w:rPr>
              <w:t>软件</w:t>
            </w:r>
            <w:r>
              <w:rPr>
                <w:rFonts w:hint="eastAsia"/>
                <w:highlight w:val="none"/>
                <w:lang w:val="en-US" w:eastAsia="zh-CN"/>
              </w:rPr>
              <w:t>系统</w:t>
            </w:r>
            <w:r>
              <w:rPr>
                <w:rFonts w:hint="eastAsia"/>
                <w:highlight w:val="none"/>
              </w:rPr>
              <w:t>具有心电散点图分析功能，将心率RR与RR(n+1)间期显示于坐标轴中，根据单象限散点图分布情况来辅助诊断窦性心搏、室性早搏、心房颤动等相关病症。</w:t>
            </w:r>
          </w:p>
          <w:p w14:paraId="6EB37144">
            <w:pPr>
              <w:pStyle w:val="10"/>
              <w:numPr>
                <w:ilvl w:val="0"/>
                <w:numId w:val="0"/>
              </w:numPr>
              <w:rPr>
                <w:rFonts w:hint="eastAsia"/>
                <w:highlight w:val="none"/>
              </w:rPr>
            </w:pPr>
            <w:r>
              <w:rPr>
                <w:rFonts w:hint="eastAsia"/>
                <w:highlight w:val="none"/>
                <w:lang w:val="en-US" w:eastAsia="zh-CN"/>
              </w:rPr>
              <w:t>9、软件系统</w:t>
            </w:r>
            <w:r>
              <w:rPr>
                <w:rFonts w:hint="eastAsia"/>
                <w:highlight w:val="none"/>
              </w:rPr>
              <w:t>具有鼾声频率分析、鼾声频谱或功率图功能，可选配采样频率达4096Hz的高频鼾声探头，采集到的鼾声进行FFT（快速傅里叶变换）分析，通过分析患者鼾声频谱图可以推断患者阻塞部位，大大提高手术成功率，设备可同时监测压力式鼾声和麦克风鼾声两种信号，当鼻气流管脱落时，可使用喉部麦克风传感器进行鼾声采集备份；同时具有鼾声频率分析、鼾声频谱或功率图功能。</w:t>
            </w:r>
          </w:p>
          <w:p w14:paraId="3B8C22B0">
            <w:pPr>
              <w:pStyle w:val="10"/>
              <w:numPr>
                <w:ilvl w:val="0"/>
                <w:numId w:val="0"/>
              </w:numPr>
              <w:rPr>
                <w:rFonts w:hint="eastAsia"/>
                <w:highlight w:val="none"/>
              </w:rPr>
            </w:pPr>
            <w:r>
              <w:rPr>
                <w:rFonts w:hint="eastAsia"/>
                <w:highlight w:val="none"/>
                <w:lang w:val="en-US" w:eastAsia="zh-CN"/>
              </w:rPr>
              <w:t>10、</w:t>
            </w:r>
            <w:r>
              <w:rPr>
                <w:rFonts w:hint="eastAsia"/>
                <w:highlight w:val="none"/>
              </w:rPr>
              <w:t>软件</w:t>
            </w:r>
            <w:r>
              <w:rPr>
                <w:rFonts w:hint="eastAsia"/>
                <w:highlight w:val="none"/>
                <w:lang w:val="en-US" w:eastAsia="zh-CN"/>
              </w:rPr>
              <w:t>系统</w:t>
            </w:r>
            <w:r>
              <w:rPr>
                <w:rFonts w:hint="eastAsia"/>
                <w:highlight w:val="none"/>
              </w:rPr>
              <w:t>具有高精度3D脑电地形图和癫痫棘波分析功能：将传统的二维脑电波形转换成三维彩色脑电地形图，通过傅里叶计算转换，得出相应脑电波频率的强度显示区域即脑电功率谱图，可根据频谱图辅助诊断脑震荡、神经衰弱、精神分裂症等原发性或继发性脑病，且可播放或打印出相关脑电地形图谱；癫痫病发作时的棘波分析功能，可结合动态血压，辅助诊断患者因中枢神经兴奋与抑制失衡时，异常放电所引起的血压和相关睡眠参数的变化。</w:t>
            </w:r>
          </w:p>
          <w:p w14:paraId="2C15362B">
            <w:pPr>
              <w:pStyle w:val="10"/>
              <w:numPr>
                <w:ilvl w:val="0"/>
                <w:numId w:val="0"/>
              </w:numPr>
              <w:rPr>
                <w:rFonts w:hint="eastAsia"/>
                <w:highlight w:val="none"/>
                <w:lang w:val="en-US" w:eastAsia="zh-CN"/>
              </w:rPr>
            </w:pPr>
            <w:r>
              <w:rPr>
                <w:rFonts w:hint="eastAsia"/>
                <w:highlight w:val="none"/>
                <w:lang w:val="en-US" w:eastAsia="zh-CN"/>
              </w:rPr>
              <w:t>11、睡眠软件系统具备：睡眠分期、呼吸事件、血压事件、心血管事件分析、体位分析、腿动分析、觉醒、清醒事件分析、鼾声事件分析、血氧事件分析、CAP循环交替分析、呻吟事件分析等。</w:t>
            </w:r>
          </w:p>
          <w:p w14:paraId="5F2843BD">
            <w:pPr>
              <w:pStyle w:val="10"/>
              <w:numPr>
                <w:ilvl w:val="0"/>
                <w:numId w:val="0"/>
              </w:numPr>
              <w:rPr>
                <w:rFonts w:hint="eastAsia"/>
                <w:highlight w:val="none"/>
              </w:rPr>
            </w:pPr>
            <w:r>
              <w:rPr>
                <w:rFonts w:hint="eastAsia"/>
                <w:highlight w:val="none"/>
                <w:lang w:val="en-US" w:eastAsia="zh-CN"/>
              </w:rPr>
              <w:t>12、软件具备基于脉搏传导时间（PTT）血压监测技术，可实时同步</w:t>
            </w:r>
            <w:r>
              <w:rPr>
                <w:rFonts w:hint="eastAsia"/>
                <w:highlight w:val="none"/>
              </w:rPr>
              <w:t>睡眠数据如脑电、心电、气流、胸腹运动、腿动、血氧饱和度、脉搏等，同时且同屏显示于睡眠分析软件上，有助于医务人员可实时关注患者病情及血压的变化情况；监测完毕后，可结合整晚的睡眠数据给出完整的动态睡眠血压报告。</w:t>
            </w:r>
          </w:p>
          <w:p w14:paraId="0ACDE34E">
            <w:pPr>
              <w:pStyle w:val="10"/>
              <w:numPr>
                <w:ilvl w:val="0"/>
                <w:numId w:val="0"/>
              </w:numPr>
              <w:rPr>
                <w:rFonts w:hint="eastAsia"/>
                <w:highlight w:val="none"/>
                <w:lang w:val="en-US" w:eastAsia="zh-CN"/>
              </w:rPr>
            </w:pPr>
            <w:r>
              <w:rPr>
                <w:rFonts w:hint="eastAsia"/>
                <w:highlight w:val="none"/>
                <w:lang w:val="en-US" w:eastAsia="zh-CN"/>
              </w:rPr>
              <w:t>13、软件系统回放功能支持</w:t>
            </w:r>
            <w:r>
              <w:rPr>
                <w:rFonts w:hint="eastAsia"/>
                <w:highlight w:val="none"/>
              </w:rPr>
              <w:t>以</w:t>
            </w:r>
            <w:r>
              <w:rPr>
                <w:rFonts w:hint="eastAsia"/>
                <w:highlight w:val="none"/>
                <w:lang w:val="en-US" w:eastAsia="zh-CN"/>
              </w:rPr>
              <w:t>颜色</w:t>
            </w:r>
            <w:r>
              <w:rPr>
                <w:rFonts w:hint="eastAsia"/>
                <w:highlight w:val="none"/>
              </w:rPr>
              <w:t>标记睡眠</w:t>
            </w:r>
            <w:r>
              <w:rPr>
                <w:rFonts w:hint="eastAsia"/>
                <w:highlight w:val="none"/>
                <w:lang w:val="en-US" w:eastAsia="zh-CN"/>
              </w:rPr>
              <w:t>节律中</w:t>
            </w:r>
            <w:r>
              <w:rPr>
                <w:rFonts w:hint="eastAsia"/>
                <w:highlight w:val="none"/>
              </w:rPr>
              <w:t>各</w:t>
            </w:r>
            <w:r>
              <w:rPr>
                <w:rFonts w:hint="eastAsia"/>
                <w:highlight w:val="none"/>
                <w:lang w:val="en-US" w:eastAsia="zh-CN"/>
              </w:rPr>
              <w:t>睡眠</w:t>
            </w:r>
            <w:r>
              <w:rPr>
                <w:rFonts w:hint="eastAsia"/>
                <w:highlight w:val="none"/>
              </w:rPr>
              <w:t>期</w:t>
            </w:r>
            <w:r>
              <w:rPr>
                <w:rFonts w:hint="eastAsia"/>
                <w:highlight w:val="none"/>
                <w:lang w:eastAsia="zh-CN"/>
              </w:rPr>
              <w:t>的</w:t>
            </w:r>
            <w:r>
              <w:rPr>
                <w:rFonts w:hint="eastAsia"/>
                <w:highlight w:val="none"/>
              </w:rPr>
              <w:t>纺锤波Spindles，K复合波，Delta波，REM 期的反相眼球运动等</w:t>
            </w:r>
            <w:r>
              <w:rPr>
                <w:rFonts w:hint="eastAsia"/>
                <w:highlight w:val="none"/>
                <w:lang w:eastAsia="zh-CN"/>
              </w:rPr>
              <w:t>，</w:t>
            </w:r>
            <w:r>
              <w:rPr>
                <w:rFonts w:hint="eastAsia"/>
                <w:highlight w:val="none"/>
              </w:rPr>
              <w:t>为医生进行睡眠分期提供帮助，并</w:t>
            </w:r>
            <w:r>
              <w:rPr>
                <w:rFonts w:hint="eastAsia"/>
                <w:highlight w:val="none"/>
                <w:lang w:val="en-US" w:eastAsia="zh-CN"/>
              </w:rPr>
              <w:t>支持任意品牌呼吸机，</w:t>
            </w:r>
            <w:r>
              <w:rPr>
                <w:rFonts w:hint="eastAsia"/>
                <w:highlight w:val="none"/>
              </w:rPr>
              <w:t>可进行远程呼吸机压力滴定、</w:t>
            </w:r>
            <w:r>
              <w:rPr>
                <w:rFonts w:hint="eastAsia"/>
                <w:highlight w:val="none"/>
                <w:lang w:val="en-US" w:eastAsia="zh-CN"/>
              </w:rPr>
              <w:t>多次小睡实验</w:t>
            </w:r>
            <w:r>
              <w:rPr>
                <w:rFonts w:hint="eastAsia"/>
                <w:highlight w:val="none"/>
              </w:rPr>
              <w:t>（MSLT）和清醒维持试验（MWT）</w:t>
            </w:r>
            <w:r>
              <w:rPr>
                <w:rFonts w:hint="eastAsia"/>
                <w:highlight w:val="none"/>
                <w:lang w:val="en-US" w:eastAsia="zh-CN"/>
              </w:rPr>
              <w:t>及分夜诊疗（Spilt night）。</w:t>
            </w:r>
          </w:p>
          <w:p w14:paraId="5AD5C3E1">
            <w:pPr>
              <w:pStyle w:val="10"/>
              <w:numPr>
                <w:ilvl w:val="0"/>
                <w:numId w:val="0"/>
              </w:numPr>
              <w:rPr>
                <w:rFonts w:hint="eastAsia"/>
                <w:highlight w:val="none"/>
              </w:rPr>
            </w:pPr>
            <w:r>
              <w:rPr>
                <w:rFonts w:hint="eastAsia"/>
                <w:highlight w:val="none"/>
                <w:lang w:val="en-US" w:eastAsia="zh-CN"/>
              </w:rPr>
              <w:t>14、软件系统具备数据库及学术研究管理软件，数据管理包括：复制数据、移动数据、删除数据、剪辑数据、合并片段数据、刻录数据、</w:t>
            </w:r>
            <w:r>
              <w:rPr>
                <w:rFonts w:hint="eastAsia"/>
                <w:highlight w:val="none"/>
              </w:rPr>
              <w:t>患者原始数据可导出EDF、RIFF、EXE文件，同时可将所需要的原始和分析数据的波形及趋势直接导出为图片格式。</w:t>
            </w:r>
          </w:p>
          <w:p w14:paraId="48703784">
            <w:pPr>
              <w:pStyle w:val="10"/>
              <w:numPr>
                <w:ilvl w:val="0"/>
                <w:numId w:val="0"/>
              </w:numPr>
              <w:rPr>
                <w:rFonts w:hint="eastAsia"/>
                <w:highlight w:val="none"/>
                <w:lang w:val="en-US" w:eastAsia="zh-CN"/>
              </w:rPr>
            </w:pPr>
            <w:r>
              <w:rPr>
                <w:rFonts w:hint="eastAsia"/>
                <w:highlight w:val="none"/>
                <w:lang w:val="en-US" w:eastAsia="zh-CN"/>
              </w:rPr>
              <w:t>15、软件系统具备内置国际睡眠障碍分类第3版（ISCD3），包括所有睡眠障碍诊断标准和疾病代码，可直接选取疾病名称和代码插入患者报告中。</w:t>
            </w:r>
          </w:p>
          <w:p w14:paraId="03F2EFF9">
            <w:pPr>
              <w:pStyle w:val="10"/>
              <w:numPr>
                <w:ilvl w:val="0"/>
                <w:numId w:val="0"/>
              </w:numPr>
              <w:rPr>
                <w:rFonts w:hint="eastAsia"/>
                <w:highlight w:val="none"/>
                <w:lang w:val="en-US" w:eastAsia="zh-CN"/>
              </w:rPr>
            </w:pPr>
            <w:r>
              <w:rPr>
                <w:rFonts w:hint="eastAsia"/>
                <w:highlight w:val="none"/>
                <w:lang w:val="en-US" w:eastAsia="zh-CN"/>
              </w:rPr>
              <w:t>16、软件系统具备可自动分析呼吸容量，包括潮气量和分钟通气量。</w:t>
            </w:r>
          </w:p>
          <w:p w14:paraId="57F04BC0">
            <w:pPr>
              <w:pStyle w:val="10"/>
              <w:numPr>
                <w:ilvl w:val="0"/>
                <w:numId w:val="0"/>
              </w:numPr>
              <w:rPr>
                <w:rFonts w:hint="eastAsia"/>
                <w:highlight w:val="none"/>
                <w:lang w:eastAsia="zh-CN"/>
              </w:rPr>
            </w:pPr>
            <w:r>
              <w:rPr>
                <w:rFonts w:hint="eastAsia"/>
                <w:highlight w:val="none"/>
                <w:lang w:val="en-US" w:eastAsia="zh-CN"/>
              </w:rPr>
              <w:t>17、软件系统具备可自动或手动分析磨牙事件，包括时相性和紧张性磨牙。</w:t>
            </w:r>
          </w:p>
          <w:p w14:paraId="3A35F5D6">
            <w:pPr>
              <w:pStyle w:val="10"/>
              <w:numPr>
                <w:ilvl w:val="0"/>
                <w:numId w:val="0"/>
              </w:numPr>
              <w:rPr>
                <w:rFonts w:hint="eastAsia"/>
                <w:highlight w:val="none"/>
                <w:lang w:eastAsia="zh-CN"/>
              </w:rPr>
            </w:pPr>
            <w:r>
              <w:rPr>
                <w:rFonts w:hint="eastAsia"/>
                <w:highlight w:val="none"/>
                <w:lang w:val="en-US" w:eastAsia="zh-CN"/>
              </w:rPr>
              <w:t>18、软件系统具备</w:t>
            </w:r>
            <w:r>
              <w:rPr>
                <w:rFonts w:hint="eastAsia"/>
                <w:highlight w:val="none"/>
                <w:lang w:eastAsia="zh-CN"/>
              </w:rPr>
              <w:t>分析</w:t>
            </w:r>
            <w:r>
              <w:rPr>
                <w:rFonts w:hint="eastAsia"/>
                <w:highlight w:val="none"/>
                <w:lang w:val="en-US" w:eastAsia="zh-CN"/>
              </w:rPr>
              <w:t>任意品牌呼吸机厂家</w:t>
            </w:r>
            <w:r>
              <w:rPr>
                <w:rFonts w:hint="eastAsia"/>
                <w:highlight w:val="none"/>
                <w:lang w:eastAsia="zh-CN"/>
              </w:rPr>
              <w:t>CPAP、Bi-Level、Auto-ASV、SV等正压通气参数数据，并在报告中以不同参数统计显示各种睡眠事件的次数与指数。</w:t>
            </w:r>
          </w:p>
          <w:p w14:paraId="79C880FE">
            <w:pPr>
              <w:pStyle w:val="10"/>
              <w:numPr>
                <w:ilvl w:val="0"/>
                <w:numId w:val="0"/>
              </w:numPr>
              <w:rPr>
                <w:rFonts w:hint="eastAsia"/>
                <w:highlight w:val="none"/>
                <w:lang w:eastAsia="zh-CN"/>
              </w:rPr>
            </w:pPr>
            <w:r>
              <w:rPr>
                <w:rFonts w:hint="eastAsia"/>
                <w:highlight w:val="none"/>
                <w:lang w:val="en-US" w:eastAsia="zh-CN"/>
              </w:rPr>
              <w:t>软件系统具备</w:t>
            </w:r>
            <w:r>
              <w:rPr>
                <w:rFonts w:hint="eastAsia"/>
                <w:highlight w:val="none"/>
                <w:lang w:eastAsia="zh-CN"/>
              </w:rPr>
              <w:t>可进行CO2数据（旁流或经皮）分析，依据设定的阈值自动判断低碳酸血和高碳酸血以及通气不足。</w:t>
            </w:r>
          </w:p>
          <w:p w14:paraId="782C6A35">
            <w:pPr>
              <w:pStyle w:val="10"/>
              <w:numPr>
                <w:ilvl w:val="0"/>
                <w:numId w:val="0"/>
              </w:numPr>
              <w:rPr>
                <w:rFonts w:hint="eastAsia"/>
                <w:highlight w:val="none"/>
              </w:rPr>
            </w:pPr>
            <w:r>
              <w:rPr>
                <w:rFonts w:hint="eastAsia"/>
                <w:highlight w:val="none"/>
                <w:lang w:val="en-US" w:eastAsia="zh-CN"/>
              </w:rPr>
              <w:t>19、</w:t>
            </w:r>
            <w:r>
              <w:rPr>
                <w:rFonts w:hint="eastAsia"/>
                <w:highlight w:val="none"/>
              </w:rPr>
              <w:t>软件</w:t>
            </w:r>
            <w:r>
              <w:rPr>
                <w:rFonts w:hint="eastAsia"/>
                <w:highlight w:val="none"/>
                <w:lang w:val="en-US" w:eastAsia="zh-CN"/>
              </w:rPr>
              <w:t>系统</w:t>
            </w:r>
            <w:r>
              <w:rPr>
                <w:rFonts w:hint="eastAsia"/>
                <w:highlight w:val="none"/>
              </w:rPr>
              <w:t>具备教学模式，可保存多个操作者的判定结果，并可直观的进行数据对比，适用于科室教学，同时在出现不同分析结果屏时软件自动用颜色编辑方便临床对比，并可双击该颜色标记快速跳转到当前帧，并在分析结束可打印对比报告。</w:t>
            </w:r>
          </w:p>
          <w:p w14:paraId="617F4B8E">
            <w:pPr>
              <w:pStyle w:val="10"/>
              <w:numPr>
                <w:ilvl w:val="0"/>
                <w:numId w:val="0"/>
              </w:numPr>
              <w:rPr>
                <w:rFonts w:hint="eastAsia"/>
                <w:highlight w:val="none"/>
                <w:lang w:eastAsia="zh-CN"/>
              </w:rPr>
            </w:pPr>
            <w:r>
              <w:rPr>
                <w:rFonts w:hint="eastAsia"/>
                <w:highlight w:val="none"/>
                <w:lang w:val="en-US" w:eastAsia="zh-CN"/>
              </w:rPr>
              <w:t>20、</w:t>
            </w:r>
            <w:r>
              <w:rPr>
                <w:rFonts w:hint="eastAsia"/>
                <w:highlight w:val="none"/>
              </w:rPr>
              <w:t>软件</w:t>
            </w:r>
            <w:r>
              <w:rPr>
                <w:rFonts w:hint="eastAsia"/>
                <w:highlight w:val="none"/>
                <w:lang w:val="en-US" w:eastAsia="zh-CN"/>
              </w:rPr>
              <w:t>系统</w:t>
            </w:r>
            <w:r>
              <w:rPr>
                <w:rFonts w:hint="eastAsia"/>
                <w:highlight w:val="none"/>
              </w:rPr>
              <w:t>具备所有分析结果均可出具在报告中</w:t>
            </w:r>
            <w:r>
              <w:rPr>
                <w:rFonts w:hint="eastAsia"/>
                <w:highlight w:val="none"/>
                <w:lang w:eastAsia="zh-CN"/>
              </w:rPr>
              <w:t>，</w:t>
            </w:r>
            <w:r>
              <w:rPr>
                <w:rFonts w:hint="eastAsia"/>
                <w:highlight w:val="none"/>
              </w:rPr>
              <w:t>报告模板可自定义，包括章节自选型报告模板，或完全自定义报告模板内置标准PSG报告、MSLT（多次小睡潜伏期试验</w:t>
            </w:r>
            <w:r>
              <w:rPr>
                <w:rFonts w:hint="eastAsia"/>
                <w:highlight w:val="none"/>
                <w:lang w:eastAsia="zh-CN"/>
              </w:rPr>
              <w:t>，</w:t>
            </w:r>
            <w:r>
              <w:rPr>
                <w:rFonts w:hint="eastAsia"/>
                <w:highlight w:val="none"/>
              </w:rPr>
              <w:t>报告和MWT（醒觉维持试验）报告模板</w:t>
            </w:r>
            <w:r>
              <w:rPr>
                <w:rFonts w:hint="eastAsia"/>
                <w:highlight w:val="none"/>
                <w:lang w:eastAsia="zh-CN"/>
              </w:rPr>
              <w:t>，</w:t>
            </w:r>
            <w:r>
              <w:rPr>
                <w:rFonts w:hint="eastAsia"/>
                <w:highlight w:val="none"/>
              </w:rPr>
              <w:t>报告模板可采用软件内置模板，或者Word格式模板</w:t>
            </w:r>
            <w:r>
              <w:rPr>
                <w:rFonts w:hint="eastAsia"/>
                <w:highlight w:val="none"/>
                <w:lang w:eastAsia="zh-CN"/>
              </w:rPr>
              <w:t>：</w:t>
            </w:r>
            <w:r>
              <w:rPr>
                <w:rFonts w:hint="eastAsia"/>
                <w:highlight w:val="none"/>
              </w:rPr>
              <w:t>报告结果可导出为SPSS格式、Excel格式或Word格式可以多种语言出具报告</w:t>
            </w:r>
            <w:r>
              <w:rPr>
                <w:rFonts w:hint="eastAsia"/>
                <w:highlight w:val="none"/>
                <w:lang w:eastAsia="zh-CN"/>
              </w:rPr>
              <w:t>。</w:t>
            </w:r>
          </w:p>
          <w:p w14:paraId="71A34278">
            <w:pPr>
              <w:pStyle w:val="10"/>
              <w:numPr>
                <w:ilvl w:val="0"/>
                <w:numId w:val="0"/>
              </w:numPr>
              <w:rPr>
                <w:rFonts w:hint="eastAsia"/>
                <w:highlight w:val="none"/>
                <w:lang w:eastAsia="zh-CN"/>
              </w:rPr>
            </w:pPr>
            <w:r>
              <w:rPr>
                <w:rFonts w:hint="eastAsia"/>
                <w:highlight w:val="none"/>
                <w:lang w:val="en-US" w:eastAsia="zh-CN"/>
              </w:rPr>
              <w:t>21、</w:t>
            </w:r>
            <w:r>
              <w:rPr>
                <w:rFonts w:hint="eastAsia"/>
                <w:highlight w:val="none"/>
              </w:rPr>
              <w:t>软件</w:t>
            </w:r>
            <w:r>
              <w:rPr>
                <w:rFonts w:hint="eastAsia"/>
                <w:highlight w:val="none"/>
                <w:lang w:val="en-US" w:eastAsia="zh-CN"/>
              </w:rPr>
              <w:t>系统</w:t>
            </w:r>
            <w:r>
              <w:rPr>
                <w:rFonts w:hint="eastAsia"/>
                <w:highlight w:val="none"/>
              </w:rPr>
              <w:t>具备内置ESS、RLS-DI、STOP-Bang调查问卷，问卷结果可直接保存到报告中可在报告中包括趋势图、心电散点图、原始数据片段等图形</w:t>
            </w:r>
            <w:r>
              <w:rPr>
                <w:rFonts w:hint="eastAsia"/>
                <w:highlight w:val="none"/>
                <w:lang w:eastAsia="zh-CN"/>
              </w:rPr>
              <w:t>。</w:t>
            </w:r>
          </w:p>
          <w:p w14:paraId="73DA43EE">
            <w:pPr>
              <w:pStyle w:val="10"/>
              <w:numPr>
                <w:ilvl w:val="0"/>
                <w:numId w:val="0"/>
              </w:numPr>
              <w:rPr>
                <w:rFonts w:hint="eastAsia"/>
                <w:highlight w:val="none"/>
                <w:lang w:eastAsia="zh-CN"/>
              </w:rPr>
            </w:pPr>
            <w:r>
              <w:rPr>
                <w:rFonts w:hint="eastAsia"/>
                <w:highlight w:val="none"/>
              </w:rPr>
              <w:t>软件</w:t>
            </w:r>
            <w:r>
              <w:rPr>
                <w:rFonts w:hint="eastAsia"/>
                <w:highlight w:val="none"/>
                <w:lang w:val="en-US" w:eastAsia="zh-CN"/>
              </w:rPr>
              <w:t>系统</w:t>
            </w:r>
            <w:r>
              <w:rPr>
                <w:rFonts w:hint="eastAsia"/>
                <w:highlight w:val="none"/>
              </w:rPr>
              <w:t>具备可在报告中以总结图形显示睡眠中各种情况的严重程度，包括呼吸、打鼾、血氧、腿动、血压、觉醒、睡眠潜伏期/效率、睡眠期，不同严重程度采用不同颜色进行显示</w:t>
            </w:r>
            <w:r>
              <w:rPr>
                <w:rFonts w:hint="eastAsia"/>
                <w:highlight w:val="none"/>
                <w:lang w:eastAsia="zh-CN"/>
              </w:rPr>
              <w:t>。</w:t>
            </w:r>
          </w:p>
          <w:p w14:paraId="567970BA">
            <w:pPr>
              <w:pStyle w:val="10"/>
              <w:numPr>
                <w:ilvl w:val="0"/>
                <w:numId w:val="0"/>
              </w:numPr>
              <w:rPr>
                <w:rFonts w:hint="eastAsia"/>
                <w:highlight w:val="none"/>
              </w:rPr>
            </w:pPr>
            <w:r>
              <w:rPr>
                <w:rFonts w:hint="eastAsia"/>
                <w:highlight w:val="none"/>
                <w:lang w:val="en-US" w:eastAsia="zh-CN"/>
              </w:rPr>
              <w:t>22、软件系统每帧都有纺锤波</w:t>
            </w:r>
            <w:r>
              <w:rPr>
                <w:rFonts w:hint="eastAsia"/>
                <w:highlight w:val="none"/>
              </w:rPr>
              <w:t>Spindles</w:t>
            </w:r>
            <w:r>
              <w:rPr>
                <w:rFonts w:hint="eastAsia"/>
                <w:highlight w:val="none"/>
                <w:lang w:val="en-US" w:eastAsia="zh-CN"/>
              </w:rPr>
              <w:t>、Delta波的自动数量统计百分比，方便临判断每一帧睡眠分期。</w:t>
            </w:r>
          </w:p>
          <w:p w14:paraId="15B446F0">
            <w:pPr>
              <w:pStyle w:val="10"/>
              <w:numPr>
                <w:ilvl w:val="0"/>
                <w:numId w:val="0"/>
              </w:numPr>
              <w:rPr>
                <w:rFonts w:hint="eastAsia"/>
                <w:highlight w:val="none"/>
              </w:rPr>
            </w:pPr>
            <w:r>
              <w:rPr>
                <w:rFonts w:hint="eastAsia"/>
                <w:highlight w:val="none"/>
                <w:lang w:val="en-US" w:eastAsia="zh-CN"/>
              </w:rPr>
              <w:t>23、软件系统兼容所有进口多导睡眠产品厂家的</w:t>
            </w:r>
            <w:r>
              <w:rPr>
                <w:rFonts w:hint="eastAsia"/>
                <w:highlight w:val="none"/>
              </w:rPr>
              <w:t>数据</w:t>
            </w:r>
            <w:r>
              <w:rPr>
                <w:rFonts w:hint="eastAsia"/>
                <w:highlight w:val="none"/>
                <w:lang w:eastAsia="zh-CN"/>
              </w:rPr>
              <w:t>，</w:t>
            </w:r>
            <w:r>
              <w:rPr>
                <w:rFonts w:hint="eastAsia"/>
                <w:highlight w:val="none"/>
                <w:lang w:val="en-US" w:eastAsia="zh-CN"/>
              </w:rPr>
              <w:t>患者</w:t>
            </w:r>
            <w:r>
              <w:rPr>
                <w:rFonts w:hint="eastAsia"/>
                <w:highlight w:val="none"/>
              </w:rPr>
              <w:t>数据可转成欧洲标准数据 EDF格式输出、</w:t>
            </w:r>
            <w:r>
              <w:rPr>
                <w:rFonts w:hint="eastAsia"/>
                <w:highlight w:val="none"/>
                <w:lang w:val="en-US" w:eastAsia="zh-CN"/>
              </w:rPr>
              <w:t>RIFF格式输出、</w:t>
            </w:r>
            <w:r>
              <w:rPr>
                <w:rFonts w:hint="eastAsia"/>
                <w:highlight w:val="none"/>
              </w:rPr>
              <w:t>MATLAB</w:t>
            </w:r>
            <w:r>
              <w:rPr>
                <w:rFonts w:hint="eastAsia"/>
                <w:highlight w:val="none"/>
                <w:lang w:eastAsia="zh-CN"/>
              </w:rPr>
              <w:t>、Mathematica、Maple</w:t>
            </w:r>
            <w:r>
              <w:rPr>
                <w:rFonts w:hint="eastAsia"/>
                <w:highlight w:val="none"/>
                <w:lang w:val="en-US" w:eastAsia="zh-CN"/>
              </w:rPr>
              <w:t>三大教学软件</w:t>
            </w:r>
            <w:r>
              <w:rPr>
                <w:rFonts w:hint="eastAsia"/>
                <w:highlight w:val="none"/>
              </w:rPr>
              <w:t>格式输出、ASCII格式输出。睡眠分期、呼吸事件</w:t>
            </w:r>
            <w:r>
              <w:rPr>
                <w:rFonts w:hint="eastAsia"/>
                <w:highlight w:val="none"/>
                <w:lang w:eastAsia="zh-CN"/>
              </w:rPr>
              <w:t>、</w:t>
            </w:r>
            <w:r>
              <w:rPr>
                <w:rFonts w:hint="eastAsia"/>
                <w:highlight w:val="none"/>
                <w:lang w:val="en-US" w:eastAsia="zh-CN"/>
              </w:rPr>
              <w:t>血压事件、血氧事件、体动体位事件等</w:t>
            </w:r>
            <w:r>
              <w:rPr>
                <w:rFonts w:hint="eastAsia"/>
                <w:highlight w:val="none"/>
              </w:rPr>
              <w:t xml:space="preserve">分析结果可以输出 ASCII 或 </w:t>
            </w:r>
            <w:r>
              <w:rPr>
                <w:rFonts w:hint="eastAsia"/>
                <w:highlight w:val="none"/>
                <w:lang w:val="en-US" w:eastAsia="zh-CN"/>
              </w:rPr>
              <w:t>EXE、TXT</w:t>
            </w:r>
            <w:r>
              <w:rPr>
                <w:rFonts w:hint="eastAsia"/>
                <w:highlight w:val="none"/>
              </w:rPr>
              <w:t>文件，便于导入分析结果用于科研。</w:t>
            </w:r>
          </w:p>
          <w:p w14:paraId="3C49679B">
            <w:pPr>
              <w:pStyle w:val="10"/>
              <w:numPr>
                <w:ilvl w:val="0"/>
                <w:numId w:val="0"/>
              </w:numPr>
              <w:rPr>
                <w:rFonts w:hint="eastAsia"/>
                <w:highlight w:val="none"/>
              </w:rPr>
            </w:pPr>
            <w:r>
              <w:rPr>
                <w:rFonts w:hint="eastAsia"/>
                <w:highlight w:val="none"/>
                <w:lang w:val="en-US" w:eastAsia="zh-CN"/>
              </w:rPr>
              <w:t>24、软件系统</w:t>
            </w:r>
            <w:r>
              <w:rPr>
                <w:rFonts w:hint="default"/>
                <w:highlight w:val="none"/>
                <w:lang w:val="en-US" w:eastAsia="zh-CN"/>
              </w:rPr>
              <w:t>具有快速傅里叶变换（FFT）功能，可进行不同频率的脑电能量分析。脑电能量分析的频率段支持自定义，频率段数量≥8个</w:t>
            </w:r>
            <w:r>
              <w:rPr>
                <w:rFonts w:hint="eastAsia"/>
                <w:highlight w:val="none"/>
                <w:lang w:val="en-US" w:eastAsia="zh-CN"/>
              </w:rPr>
              <w:t>。</w:t>
            </w:r>
          </w:p>
          <w:p w14:paraId="498303D7">
            <w:pPr>
              <w:pStyle w:val="10"/>
              <w:numPr>
                <w:ilvl w:val="0"/>
                <w:numId w:val="0"/>
              </w:numPr>
              <w:rPr>
                <w:rFonts w:hint="eastAsia"/>
                <w:highlight w:val="none"/>
              </w:rPr>
            </w:pPr>
            <w:r>
              <w:rPr>
                <w:rFonts w:hint="eastAsia"/>
                <w:highlight w:val="none"/>
                <w:lang w:val="en-US" w:eastAsia="zh-CN"/>
              </w:rPr>
              <w:t>25、</w:t>
            </w:r>
            <w:r>
              <w:rPr>
                <w:rFonts w:hint="eastAsia"/>
                <w:highlight w:val="none"/>
              </w:rPr>
              <w:t>软件支持定义≥1</w:t>
            </w:r>
            <w:r>
              <w:rPr>
                <w:rFonts w:hint="eastAsia"/>
                <w:highlight w:val="none"/>
                <w:lang w:val="en-US" w:eastAsia="zh-CN"/>
              </w:rPr>
              <w:t>68</w:t>
            </w:r>
            <w:r>
              <w:rPr>
                <w:rFonts w:hint="eastAsia"/>
                <w:highlight w:val="none"/>
              </w:rPr>
              <w:t>个标签页以及标语，并可在实时监测过程中编辑新的定标事件。</w:t>
            </w:r>
          </w:p>
          <w:p w14:paraId="6596E1FC">
            <w:pPr>
              <w:pStyle w:val="10"/>
              <w:numPr>
                <w:ilvl w:val="0"/>
                <w:numId w:val="0"/>
              </w:numPr>
              <w:rPr>
                <w:rFonts w:hint="eastAsia"/>
                <w:highlight w:val="none"/>
              </w:rPr>
            </w:pPr>
            <w:r>
              <w:rPr>
                <w:rFonts w:hint="eastAsia"/>
                <w:highlight w:val="none"/>
                <w:lang w:val="en-US" w:eastAsia="zh-CN"/>
              </w:rPr>
              <w:t>26、</w:t>
            </w:r>
            <w:r>
              <w:rPr>
                <w:rFonts w:hint="eastAsia"/>
                <w:highlight w:val="none"/>
              </w:rPr>
              <w:t>软件具备可选式报告模板生成方式，用户可根据需求自由选择需要出具的报告内容，无需额外制作模板，可自定义关注事件并结合在报告中呈现。</w:t>
            </w:r>
          </w:p>
          <w:p w14:paraId="4A82CD8D">
            <w:pPr>
              <w:pStyle w:val="10"/>
              <w:numPr>
                <w:ilvl w:val="0"/>
                <w:numId w:val="0"/>
              </w:numPr>
              <w:rPr>
                <w:rFonts w:hint="eastAsia"/>
                <w:highlight w:val="none"/>
              </w:rPr>
            </w:pPr>
            <w:r>
              <w:rPr>
                <w:rFonts w:hint="eastAsia"/>
                <w:highlight w:val="none"/>
                <w:lang w:val="en-US" w:eastAsia="zh-CN"/>
              </w:rPr>
              <w:t>27、</w:t>
            </w:r>
            <w:r>
              <w:rPr>
                <w:rFonts w:hint="eastAsia"/>
                <w:highlight w:val="none"/>
              </w:rPr>
              <w:t>软件可选择全中文操作界面，同时具备≥8个国家的语言</w:t>
            </w:r>
            <w:r>
              <w:rPr>
                <w:rFonts w:hint="eastAsia"/>
                <w:highlight w:val="none"/>
                <w:lang w:eastAsia="zh-CN"/>
              </w:rPr>
              <w:t>（包括中文、德语、英语、芬兰语、法语、希腊语、意大利语、日语、挪威语、波兰语、俄语、西班牙语、瑞典语、土耳其语）</w:t>
            </w:r>
            <w:r>
              <w:rPr>
                <w:rFonts w:hint="eastAsia"/>
                <w:highlight w:val="none"/>
              </w:rPr>
              <w:t>，并在切换该国家语言时报告模板内容自动切换到当前国家，用户无需额外制作报告模板。</w:t>
            </w:r>
          </w:p>
          <w:p w14:paraId="12072E6C">
            <w:pPr>
              <w:pStyle w:val="10"/>
              <w:numPr>
                <w:ilvl w:val="0"/>
                <w:numId w:val="0"/>
              </w:numPr>
              <w:rPr>
                <w:rFonts w:hint="eastAsia"/>
                <w:highlight w:val="none"/>
              </w:rPr>
            </w:pPr>
            <w:r>
              <w:rPr>
                <w:rFonts w:hint="eastAsia"/>
                <w:highlight w:val="none"/>
                <w:lang w:val="en-US" w:eastAsia="zh-CN"/>
              </w:rPr>
              <w:t>28、</w:t>
            </w:r>
            <w:r>
              <w:rPr>
                <w:rFonts w:hint="eastAsia"/>
                <w:highlight w:val="none"/>
              </w:rPr>
              <w:t>软件可直接将患者原始数据和分析数据导出为</w:t>
            </w:r>
            <w:r>
              <w:rPr>
                <w:rFonts w:hint="eastAsia"/>
                <w:highlight w:val="none"/>
                <w:lang w:val="en-US" w:eastAsia="zh-CN"/>
              </w:rPr>
              <w:t>EXE</w:t>
            </w:r>
            <w:r>
              <w:rPr>
                <w:rFonts w:hint="eastAsia"/>
                <w:highlight w:val="none"/>
              </w:rPr>
              <w:t>可执行文件，无需安装专门或设备自带睡眠分析软件，即可在任意电脑上打开患者数据进行数据查看和报告打印。</w:t>
            </w:r>
          </w:p>
          <w:p w14:paraId="5FEB54B5">
            <w:pPr>
              <w:pStyle w:val="10"/>
              <w:numPr>
                <w:ilvl w:val="0"/>
                <w:numId w:val="0"/>
              </w:numPr>
              <w:rPr>
                <w:rFonts w:hint="eastAsia"/>
                <w:highlight w:val="none"/>
              </w:rPr>
            </w:pPr>
            <w:r>
              <w:rPr>
                <w:rFonts w:hint="eastAsia"/>
                <w:highlight w:val="none"/>
                <w:lang w:val="en-US" w:eastAsia="zh-CN"/>
              </w:rPr>
              <w:t>29、</w:t>
            </w:r>
            <w:r>
              <w:rPr>
                <w:rFonts w:hint="eastAsia"/>
                <w:highlight w:val="none"/>
              </w:rPr>
              <w:t>软件在自动睡眠分期的同时，给出自动分析指标“睡眠分期可信度”，可信度以数值和颜色表示。（绿色：可信度高；黄色：可信度中；红色：可信度低）</w:t>
            </w:r>
          </w:p>
          <w:p w14:paraId="6A6174B0">
            <w:pPr>
              <w:pStyle w:val="10"/>
              <w:numPr>
                <w:ilvl w:val="0"/>
                <w:numId w:val="0"/>
              </w:numPr>
              <w:rPr>
                <w:rFonts w:hint="eastAsia"/>
                <w:highlight w:val="none"/>
              </w:rPr>
            </w:pPr>
            <w:r>
              <w:rPr>
                <w:rFonts w:hint="eastAsia"/>
                <w:highlight w:val="none"/>
                <w:lang w:val="en-US" w:eastAsia="zh-CN"/>
              </w:rPr>
              <w:t>30、</w:t>
            </w:r>
            <w:r>
              <w:rPr>
                <w:rFonts w:hint="eastAsia"/>
                <w:highlight w:val="none"/>
              </w:rPr>
              <w:t>软件支持自动升级功能，联网即可自动更新软件版本。</w:t>
            </w:r>
          </w:p>
          <w:p w14:paraId="24012483">
            <w:pPr>
              <w:pStyle w:val="10"/>
              <w:numPr>
                <w:ilvl w:val="0"/>
                <w:numId w:val="0"/>
              </w:numPr>
              <w:rPr>
                <w:rFonts w:hint="eastAsia"/>
                <w:highlight w:val="none"/>
                <w:lang w:val="en-US" w:eastAsia="zh-CN"/>
              </w:rPr>
            </w:pPr>
            <w:r>
              <w:rPr>
                <w:rFonts w:hint="eastAsia"/>
                <w:highlight w:val="none"/>
                <w:lang w:val="en-US" w:eastAsia="zh-CN"/>
              </w:rPr>
              <w:t>四、视频脑电图软件分析功能：</w:t>
            </w:r>
          </w:p>
          <w:p w14:paraId="12AF4F5B">
            <w:pPr>
              <w:pStyle w:val="10"/>
              <w:numPr>
                <w:ilvl w:val="0"/>
                <w:numId w:val="0"/>
              </w:numPr>
              <w:rPr>
                <w:rFonts w:hint="eastAsia"/>
                <w:highlight w:val="none"/>
                <w:lang w:val="en-US" w:eastAsia="zh-CN"/>
              </w:rPr>
            </w:pPr>
            <w:r>
              <w:rPr>
                <w:rFonts w:hint="eastAsia"/>
                <w:highlight w:val="none"/>
                <w:lang w:val="en-US" w:eastAsia="zh-CN"/>
              </w:rPr>
              <w:t>1、软件具备设定显示的灵敏度（波形电压与显示高度之比），灵敏度至少可选5μV/mm、7μV/mm、10μV/mm、15μV/mm、20μV/mm，或自定义设置。</w:t>
            </w:r>
          </w:p>
          <w:p w14:paraId="47161771">
            <w:pPr>
              <w:pStyle w:val="10"/>
              <w:numPr>
                <w:ilvl w:val="0"/>
                <w:numId w:val="0"/>
              </w:numPr>
              <w:rPr>
                <w:rFonts w:hint="default"/>
                <w:highlight w:val="none"/>
                <w:lang w:val="en-US" w:eastAsia="zh-CN"/>
              </w:rPr>
            </w:pPr>
            <w:r>
              <w:rPr>
                <w:rFonts w:hint="eastAsia"/>
                <w:highlight w:val="none"/>
                <w:lang w:val="en-US" w:eastAsia="zh-CN"/>
              </w:rPr>
              <w:t>2、软件具备</w:t>
            </w:r>
            <w:r>
              <w:rPr>
                <w:rFonts w:hint="default"/>
                <w:highlight w:val="none"/>
                <w:lang w:val="en-US" w:eastAsia="zh-CN"/>
              </w:rPr>
              <w:t>设定显示的走纸速度（屏幕宽度与显示的记录时间之比），走纸速度至少可选5mm/s、10mm/s、15mm/s、30mm/s，或自定义</w:t>
            </w:r>
            <w:r>
              <w:rPr>
                <w:rFonts w:hint="eastAsia"/>
                <w:highlight w:val="none"/>
                <w:lang w:val="en-US" w:eastAsia="zh-CN"/>
              </w:rPr>
              <w:t>。</w:t>
            </w:r>
          </w:p>
          <w:p w14:paraId="65C66004">
            <w:pPr>
              <w:pStyle w:val="10"/>
              <w:numPr>
                <w:ilvl w:val="0"/>
                <w:numId w:val="0"/>
              </w:numPr>
              <w:rPr>
                <w:rFonts w:hint="default"/>
                <w:highlight w:val="none"/>
                <w:lang w:val="en-US" w:eastAsia="zh-CN"/>
              </w:rPr>
            </w:pPr>
            <w:r>
              <w:rPr>
                <w:rFonts w:hint="eastAsia"/>
                <w:highlight w:val="none"/>
                <w:lang w:val="en-US" w:eastAsia="zh-CN"/>
              </w:rPr>
              <w:t>3、</w:t>
            </w:r>
            <w:r>
              <w:rPr>
                <w:rFonts w:hint="default"/>
                <w:highlight w:val="none"/>
                <w:lang w:val="en-US" w:eastAsia="zh-CN"/>
              </w:rPr>
              <w:t>软件具备不同颜色和长度的柱形图以及阻抗导联数值显示、回放电极阻抗。</w:t>
            </w:r>
          </w:p>
          <w:p w14:paraId="7B5456F6">
            <w:pPr>
              <w:pStyle w:val="10"/>
              <w:numPr>
                <w:ilvl w:val="0"/>
                <w:numId w:val="0"/>
              </w:numPr>
              <w:rPr>
                <w:rFonts w:hint="default"/>
                <w:highlight w:val="none"/>
                <w:lang w:val="en-US" w:eastAsia="zh-CN"/>
              </w:rPr>
            </w:pPr>
            <w:r>
              <w:rPr>
                <w:rFonts w:hint="eastAsia"/>
                <w:highlight w:val="none"/>
                <w:lang w:val="en-US" w:eastAsia="zh-CN"/>
              </w:rPr>
              <w:t>4、软件具备</w:t>
            </w:r>
            <w:r>
              <w:rPr>
                <w:rFonts w:hint="default"/>
                <w:highlight w:val="none"/>
                <w:lang w:val="en-US" w:eastAsia="zh-CN"/>
              </w:rPr>
              <w:t>记录回放时具有滤波功能，包括：高通滤波、低通滤波、陷波滤波、心电伪差滤波。滤波参数可保存为模板。</w:t>
            </w:r>
          </w:p>
          <w:p w14:paraId="3780EBF6">
            <w:pPr>
              <w:pStyle w:val="10"/>
              <w:numPr>
                <w:ilvl w:val="0"/>
                <w:numId w:val="0"/>
              </w:numPr>
              <w:rPr>
                <w:rFonts w:hint="default"/>
                <w:highlight w:val="none"/>
                <w:lang w:val="en-US" w:eastAsia="zh-CN"/>
              </w:rPr>
            </w:pPr>
            <w:r>
              <w:rPr>
                <w:rFonts w:hint="eastAsia"/>
                <w:highlight w:val="none"/>
                <w:lang w:val="en-US" w:eastAsia="zh-CN"/>
              </w:rPr>
              <w:t>5、</w:t>
            </w:r>
            <w:r>
              <w:rPr>
                <w:rFonts w:hint="default"/>
                <w:highlight w:val="none"/>
                <w:lang w:val="en-US" w:eastAsia="zh-CN"/>
              </w:rPr>
              <w:t>软件具备可按与上次记录查看时完全相同的方式显示记录数据和趋势图</w:t>
            </w:r>
            <w:r>
              <w:rPr>
                <w:rFonts w:hint="eastAsia"/>
                <w:highlight w:val="none"/>
                <w:lang w:val="en-US" w:eastAsia="zh-CN"/>
              </w:rPr>
              <w:t>。</w:t>
            </w:r>
          </w:p>
          <w:p w14:paraId="5FAF1D49">
            <w:pPr>
              <w:pStyle w:val="10"/>
              <w:numPr>
                <w:ilvl w:val="0"/>
                <w:numId w:val="0"/>
              </w:numPr>
              <w:rPr>
                <w:rFonts w:hint="default"/>
                <w:highlight w:val="none"/>
                <w:lang w:val="en-US" w:eastAsia="zh-CN"/>
              </w:rPr>
            </w:pPr>
            <w:r>
              <w:rPr>
                <w:rFonts w:hint="eastAsia"/>
                <w:highlight w:val="none"/>
                <w:lang w:val="en-US" w:eastAsia="zh-CN"/>
              </w:rPr>
              <w:t>6、</w:t>
            </w:r>
            <w:r>
              <w:rPr>
                <w:rFonts w:hint="default"/>
                <w:highlight w:val="none"/>
                <w:lang w:val="en-US" w:eastAsia="zh-CN"/>
              </w:rPr>
              <w:t>软件具备可按与在线监测时完全相同的方式回放显示记录数据</w:t>
            </w:r>
            <w:r>
              <w:rPr>
                <w:rFonts w:hint="eastAsia"/>
                <w:highlight w:val="none"/>
                <w:lang w:val="en-US" w:eastAsia="zh-CN"/>
              </w:rPr>
              <w:t>。</w:t>
            </w:r>
          </w:p>
          <w:p w14:paraId="1FBA5538">
            <w:pPr>
              <w:pStyle w:val="10"/>
              <w:numPr>
                <w:ilvl w:val="0"/>
                <w:numId w:val="0"/>
              </w:numPr>
              <w:rPr>
                <w:rFonts w:hint="default"/>
                <w:highlight w:val="none"/>
                <w:lang w:val="en-US" w:eastAsia="zh-CN"/>
              </w:rPr>
            </w:pPr>
            <w:r>
              <w:rPr>
                <w:rFonts w:hint="eastAsia"/>
                <w:highlight w:val="none"/>
                <w:lang w:val="en-US" w:eastAsia="zh-CN"/>
              </w:rPr>
              <w:t>7、</w:t>
            </w:r>
            <w:r>
              <w:rPr>
                <w:rFonts w:hint="default"/>
                <w:highlight w:val="none"/>
                <w:lang w:val="en-US" w:eastAsia="zh-CN"/>
              </w:rPr>
              <w:t>软件具备原始数据和趋势图的显示，包括导联顺序、显示高度、走纸速度等可保存为显示模板，方便以后调用</w:t>
            </w:r>
            <w:r>
              <w:rPr>
                <w:rFonts w:hint="eastAsia"/>
                <w:highlight w:val="none"/>
                <w:lang w:val="en-US" w:eastAsia="zh-CN"/>
              </w:rPr>
              <w:t>。</w:t>
            </w:r>
          </w:p>
          <w:p w14:paraId="7502C975">
            <w:pPr>
              <w:pStyle w:val="10"/>
              <w:numPr>
                <w:ilvl w:val="0"/>
                <w:numId w:val="0"/>
              </w:numPr>
              <w:rPr>
                <w:rFonts w:hint="default"/>
                <w:highlight w:val="none"/>
                <w:lang w:val="en-US" w:eastAsia="zh-CN"/>
              </w:rPr>
            </w:pPr>
            <w:r>
              <w:rPr>
                <w:rFonts w:hint="eastAsia"/>
                <w:highlight w:val="none"/>
                <w:lang w:val="en-US" w:eastAsia="zh-CN"/>
              </w:rPr>
              <w:t>8、</w:t>
            </w:r>
            <w:r>
              <w:rPr>
                <w:rFonts w:hint="default"/>
                <w:highlight w:val="none"/>
                <w:lang w:val="en-US" w:eastAsia="zh-CN"/>
              </w:rPr>
              <w:t>软件具备通过点击界面可选择要使用的显示模板</w:t>
            </w:r>
          </w:p>
          <w:p w14:paraId="54C2D4E0">
            <w:pPr>
              <w:pStyle w:val="10"/>
              <w:numPr>
                <w:ilvl w:val="0"/>
                <w:numId w:val="0"/>
              </w:numPr>
              <w:rPr>
                <w:rFonts w:hint="default"/>
                <w:highlight w:val="none"/>
                <w:lang w:val="en-US" w:eastAsia="zh-CN"/>
              </w:rPr>
            </w:pPr>
            <w:r>
              <w:rPr>
                <w:rFonts w:hint="eastAsia"/>
                <w:highlight w:val="none"/>
                <w:lang w:val="en-US" w:eastAsia="zh-CN"/>
              </w:rPr>
              <w:t>9、</w:t>
            </w:r>
            <w:r>
              <w:rPr>
                <w:rFonts w:hint="default"/>
                <w:highlight w:val="none"/>
                <w:lang w:val="en-US" w:eastAsia="zh-CN"/>
              </w:rPr>
              <w:t>软件具备通过点击界面可选择要显示的导联</w:t>
            </w:r>
          </w:p>
          <w:p w14:paraId="6EB89158">
            <w:pPr>
              <w:pStyle w:val="10"/>
              <w:numPr>
                <w:ilvl w:val="0"/>
                <w:numId w:val="0"/>
              </w:numPr>
              <w:rPr>
                <w:rFonts w:hint="eastAsia"/>
                <w:highlight w:val="none"/>
                <w:lang w:val="en-US" w:eastAsia="zh-CN"/>
              </w:rPr>
            </w:pPr>
            <w:r>
              <w:rPr>
                <w:rFonts w:hint="eastAsia"/>
                <w:highlight w:val="none"/>
                <w:lang w:val="en-US" w:eastAsia="zh-CN"/>
              </w:rPr>
              <w:t>10、</w:t>
            </w:r>
            <w:r>
              <w:rPr>
                <w:rFonts w:hint="default"/>
                <w:highlight w:val="none"/>
                <w:lang w:val="en-US" w:eastAsia="zh-CN"/>
              </w:rPr>
              <w:t>软件具备可手动或自动翻页显示原始数据，速度应有1s/屏，2s/屏，5s/屏，10s/屏，15s/屏，20s/屏，30s/屏，1min/屏，2min/屏，3min/屏，5min/屏，10min/屏，15min/屏，30min/屏，1h/屏，2h/屏</w:t>
            </w:r>
            <w:r>
              <w:rPr>
                <w:rFonts w:hint="eastAsia"/>
                <w:highlight w:val="none"/>
                <w:lang w:val="en-US" w:eastAsia="zh-CN"/>
              </w:rPr>
              <w:t>。</w:t>
            </w:r>
          </w:p>
          <w:p w14:paraId="01EAA587">
            <w:pPr>
              <w:pStyle w:val="10"/>
              <w:numPr>
                <w:ilvl w:val="0"/>
                <w:numId w:val="0"/>
              </w:numPr>
              <w:rPr>
                <w:rFonts w:hint="default"/>
                <w:highlight w:val="none"/>
                <w:lang w:val="en-US" w:eastAsia="zh-CN"/>
              </w:rPr>
            </w:pPr>
            <w:r>
              <w:rPr>
                <w:rFonts w:hint="eastAsia"/>
                <w:highlight w:val="none"/>
                <w:lang w:val="en-US" w:eastAsia="zh-CN"/>
              </w:rPr>
              <w:t>11、</w:t>
            </w:r>
            <w:r>
              <w:rPr>
                <w:rFonts w:hint="default"/>
                <w:highlight w:val="none"/>
                <w:lang w:val="en-US" w:eastAsia="zh-CN"/>
              </w:rPr>
              <w:t>软件具备不同的速率滚动显示原始数据</w:t>
            </w:r>
            <w:r>
              <w:rPr>
                <w:rFonts w:hint="eastAsia"/>
                <w:highlight w:val="none"/>
                <w:lang w:val="en-US" w:eastAsia="zh-CN"/>
              </w:rPr>
              <w:t>。</w:t>
            </w:r>
          </w:p>
          <w:p w14:paraId="3BFE4100">
            <w:pPr>
              <w:pStyle w:val="10"/>
              <w:numPr>
                <w:ilvl w:val="0"/>
                <w:numId w:val="0"/>
              </w:numPr>
              <w:rPr>
                <w:rFonts w:hint="default"/>
                <w:highlight w:val="none"/>
                <w:lang w:val="en-US" w:eastAsia="zh-CN"/>
              </w:rPr>
            </w:pPr>
            <w:r>
              <w:rPr>
                <w:rFonts w:hint="eastAsia"/>
                <w:highlight w:val="none"/>
                <w:lang w:val="en-US" w:eastAsia="zh-CN"/>
              </w:rPr>
              <w:t>12、</w:t>
            </w:r>
            <w:r>
              <w:rPr>
                <w:rFonts w:hint="default"/>
                <w:highlight w:val="none"/>
                <w:lang w:val="en-US" w:eastAsia="zh-CN"/>
              </w:rPr>
              <w:t>软件具备通过输入帧编号快速跳转到特定帧</w:t>
            </w:r>
            <w:r>
              <w:rPr>
                <w:rFonts w:hint="eastAsia"/>
                <w:highlight w:val="none"/>
                <w:lang w:val="en-US" w:eastAsia="zh-CN"/>
              </w:rPr>
              <w:t>。</w:t>
            </w:r>
          </w:p>
          <w:p w14:paraId="198BCD9F">
            <w:pPr>
              <w:pStyle w:val="10"/>
              <w:numPr>
                <w:ilvl w:val="0"/>
                <w:numId w:val="0"/>
              </w:numPr>
              <w:rPr>
                <w:rFonts w:hint="default"/>
                <w:highlight w:val="none"/>
                <w:lang w:val="en-US" w:eastAsia="zh-CN"/>
              </w:rPr>
            </w:pPr>
            <w:r>
              <w:rPr>
                <w:rFonts w:hint="eastAsia"/>
                <w:highlight w:val="none"/>
                <w:lang w:val="en-US" w:eastAsia="zh-CN"/>
              </w:rPr>
              <w:t>13、</w:t>
            </w:r>
            <w:r>
              <w:rPr>
                <w:rFonts w:hint="default"/>
                <w:highlight w:val="none"/>
                <w:lang w:val="en-US" w:eastAsia="zh-CN"/>
              </w:rPr>
              <w:t>软件具备在原始数据窗口显示所有的标识，包括开灯和关灯标识</w:t>
            </w:r>
            <w:r>
              <w:rPr>
                <w:rFonts w:hint="eastAsia"/>
                <w:highlight w:val="none"/>
                <w:lang w:val="en-US" w:eastAsia="zh-CN"/>
              </w:rPr>
              <w:t>。</w:t>
            </w:r>
          </w:p>
          <w:p w14:paraId="3AC3FD4D">
            <w:pPr>
              <w:pStyle w:val="10"/>
              <w:numPr>
                <w:ilvl w:val="0"/>
                <w:numId w:val="0"/>
              </w:numPr>
              <w:rPr>
                <w:rFonts w:hint="eastAsia"/>
                <w:highlight w:val="none"/>
                <w:lang w:val="en-US" w:eastAsia="zh-CN"/>
              </w:rPr>
            </w:pPr>
            <w:r>
              <w:rPr>
                <w:rFonts w:hint="eastAsia"/>
                <w:highlight w:val="none"/>
                <w:lang w:val="en-US" w:eastAsia="zh-CN"/>
              </w:rPr>
              <w:t>14、</w:t>
            </w:r>
            <w:r>
              <w:rPr>
                <w:rFonts w:hint="default"/>
                <w:highlight w:val="none"/>
                <w:lang w:val="en-US" w:eastAsia="zh-CN"/>
              </w:rPr>
              <w:t>软件具备突出显示所有的极值事件，例如最长呼吸暂停</w:t>
            </w:r>
            <w:r>
              <w:rPr>
                <w:rFonts w:hint="eastAsia"/>
                <w:highlight w:val="none"/>
                <w:lang w:val="en-US" w:eastAsia="zh-CN"/>
              </w:rPr>
              <w:t>。</w:t>
            </w:r>
          </w:p>
          <w:p w14:paraId="5ADFA8BD">
            <w:pPr>
              <w:pStyle w:val="10"/>
              <w:numPr>
                <w:ilvl w:val="0"/>
                <w:numId w:val="0"/>
              </w:numPr>
              <w:rPr>
                <w:rFonts w:hint="default"/>
                <w:highlight w:val="none"/>
                <w:lang w:val="en-US" w:eastAsia="zh-CN"/>
              </w:rPr>
            </w:pPr>
            <w:r>
              <w:rPr>
                <w:rFonts w:hint="eastAsia"/>
                <w:highlight w:val="none"/>
                <w:lang w:val="en-US" w:eastAsia="zh-CN"/>
              </w:rPr>
              <w:t>15、</w:t>
            </w:r>
            <w:r>
              <w:rPr>
                <w:rFonts w:hint="default"/>
                <w:highlight w:val="none"/>
                <w:lang w:val="en-US" w:eastAsia="zh-CN"/>
              </w:rPr>
              <w:t>软件具备所有事件的指数可基于TST时间或SPT时间进行切换显示</w:t>
            </w:r>
            <w:r>
              <w:rPr>
                <w:rFonts w:hint="eastAsia"/>
                <w:highlight w:val="none"/>
                <w:lang w:val="en-US" w:eastAsia="zh-CN"/>
              </w:rPr>
              <w:t>。</w:t>
            </w:r>
          </w:p>
          <w:p w14:paraId="6C7F5413">
            <w:pPr>
              <w:pStyle w:val="10"/>
              <w:numPr>
                <w:ilvl w:val="0"/>
                <w:numId w:val="0"/>
              </w:numPr>
              <w:rPr>
                <w:rFonts w:hint="eastAsia"/>
                <w:highlight w:val="none"/>
                <w:lang w:val="en-US" w:eastAsia="zh-CN"/>
              </w:rPr>
            </w:pPr>
            <w:r>
              <w:rPr>
                <w:rFonts w:hint="eastAsia"/>
                <w:highlight w:val="none"/>
                <w:lang w:val="en-US" w:eastAsia="zh-CN"/>
              </w:rPr>
              <w:t>16、</w:t>
            </w:r>
            <w:r>
              <w:rPr>
                <w:rFonts w:hint="default"/>
                <w:highlight w:val="none"/>
                <w:lang w:val="en-US" w:eastAsia="zh-CN"/>
              </w:rPr>
              <w:t>软件具备可快捷切换导联的显示与否</w:t>
            </w:r>
            <w:r>
              <w:rPr>
                <w:rFonts w:hint="eastAsia"/>
                <w:highlight w:val="none"/>
                <w:lang w:val="en-US" w:eastAsia="zh-CN"/>
              </w:rPr>
              <w:t>。</w:t>
            </w:r>
          </w:p>
          <w:p w14:paraId="41B28299">
            <w:pPr>
              <w:pStyle w:val="10"/>
              <w:numPr>
                <w:ilvl w:val="0"/>
                <w:numId w:val="0"/>
              </w:numPr>
              <w:rPr>
                <w:rFonts w:hint="default"/>
                <w:highlight w:val="none"/>
                <w:lang w:val="en-US" w:eastAsia="zh-CN"/>
              </w:rPr>
            </w:pPr>
            <w:r>
              <w:rPr>
                <w:rFonts w:hint="eastAsia"/>
                <w:highlight w:val="none"/>
                <w:lang w:val="en-US" w:eastAsia="zh-CN"/>
              </w:rPr>
              <w:t>17、</w:t>
            </w:r>
            <w:r>
              <w:rPr>
                <w:rFonts w:hint="default"/>
                <w:highlight w:val="none"/>
                <w:lang w:val="en-US" w:eastAsia="zh-CN"/>
              </w:rPr>
              <w:t>软件具备高频信号和低频信号可在2个单独窗口以不同时间轴进行显示</w:t>
            </w:r>
            <w:r>
              <w:rPr>
                <w:rFonts w:hint="eastAsia"/>
                <w:highlight w:val="none"/>
                <w:lang w:val="en-US" w:eastAsia="zh-CN"/>
              </w:rPr>
              <w:t>。</w:t>
            </w:r>
          </w:p>
          <w:p w14:paraId="1D38E1FF">
            <w:pPr>
              <w:pStyle w:val="10"/>
              <w:numPr>
                <w:ilvl w:val="0"/>
                <w:numId w:val="0"/>
              </w:numPr>
              <w:rPr>
                <w:rFonts w:hint="eastAsia"/>
                <w:highlight w:val="none"/>
                <w:lang w:val="en-US" w:eastAsia="zh-CN"/>
              </w:rPr>
            </w:pPr>
            <w:r>
              <w:rPr>
                <w:rFonts w:hint="eastAsia"/>
                <w:highlight w:val="none"/>
                <w:lang w:val="en-US" w:eastAsia="zh-CN"/>
              </w:rPr>
              <w:t>18、</w:t>
            </w:r>
            <w:r>
              <w:rPr>
                <w:rFonts w:hint="default"/>
                <w:highlight w:val="none"/>
                <w:lang w:val="en-US" w:eastAsia="zh-CN"/>
              </w:rPr>
              <w:t>软件具备可通过鼠标拖曳改变导联的显示顺序</w:t>
            </w:r>
            <w:r>
              <w:rPr>
                <w:rFonts w:hint="eastAsia"/>
                <w:highlight w:val="none"/>
                <w:lang w:val="en-US" w:eastAsia="zh-CN"/>
              </w:rPr>
              <w:t>。</w:t>
            </w:r>
          </w:p>
          <w:p w14:paraId="2D40A389">
            <w:pPr>
              <w:pStyle w:val="10"/>
              <w:numPr>
                <w:ilvl w:val="0"/>
                <w:numId w:val="0"/>
              </w:numPr>
              <w:rPr>
                <w:rFonts w:hint="default"/>
                <w:highlight w:val="none"/>
                <w:lang w:val="en-US" w:eastAsia="zh-CN"/>
              </w:rPr>
            </w:pPr>
            <w:r>
              <w:rPr>
                <w:rFonts w:hint="eastAsia"/>
                <w:highlight w:val="none"/>
                <w:lang w:val="en-US" w:eastAsia="zh-CN"/>
              </w:rPr>
              <w:t>19、</w:t>
            </w:r>
            <w:r>
              <w:rPr>
                <w:rFonts w:hint="default"/>
                <w:highlight w:val="none"/>
                <w:lang w:val="en-US" w:eastAsia="zh-CN"/>
              </w:rPr>
              <w:t>软件具备单独改变导联的显示高度</w:t>
            </w:r>
            <w:r>
              <w:rPr>
                <w:rFonts w:hint="eastAsia"/>
                <w:highlight w:val="none"/>
                <w:lang w:val="en-US" w:eastAsia="zh-CN"/>
              </w:rPr>
              <w:t>。</w:t>
            </w:r>
          </w:p>
          <w:p w14:paraId="51BCF263">
            <w:pPr>
              <w:pStyle w:val="10"/>
              <w:numPr>
                <w:ilvl w:val="0"/>
                <w:numId w:val="0"/>
              </w:numPr>
              <w:rPr>
                <w:rFonts w:hint="eastAsia"/>
                <w:highlight w:val="none"/>
                <w:lang w:val="en-US" w:eastAsia="zh-CN"/>
              </w:rPr>
            </w:pPr>
            <w:r>
              <w:rPr>
                <w:rFonts w:hint="eastAsia"/>
                <w:highlight w:val="none"/>
                <w:lang w:val="en-US" w:eastAsia="zh-CN"/>
              </w:rPr>
              <w:t>20、</w:t>
            </w:r>
            <w:r>
              <w:rPr>
                <w:rFonts w:hint="default"/>
                <w:highlight w:val="none"/>
                <w:lang w:val="en-US" w:eastAsia="zh-CN"/>
              </w:rPr>
              <w:t>软件具备单独改变导联的显示颜色</w:t>
            </w:r>
            <w:r>
              <w:rPr>
                <w:rFonts w:hint="eastAsia"/>
                <w:highlight w:val="none"/>
                <w:lang w:val="en-US" w:eastAsia="zh-CN"/>
              </w:rPr>
              <w:t>。</w:t>
            </w:r>
          </w:p>
          <w:p w14:paraId="5CC5132F">
            <w:pPr>
              <w:pStyle w:val="10"/>
              <w:numPr>
                <w:ilvl w:val="0"/>
                <w:numId w:val="0"/>
              </w:numPr>
              <w:rPr>
                <w:rFonts w:hint="default"/>
                <w:highlight w:val="none"/>
                <w:lang w:val="en-US" w:eastAsia="zh-CN"/>
              </w:rPr>
            </w:pPr>
            <w:r>
              <w:rPr>
                <w:rFonts w:hint="eastAsia"/>
                <w:highlight w:val="none"/>
                <w:lang w:val="en-US" w:eastAsia="zh-CN"/>
              </w:rPr>
              <w:t>21、</w:t>
            </w:r>
            <w:r>
              <w:rPr>
                <w:rFonts w:hint="default"/>
                <w:highlight w:val="none"/>
                <w:lang w:val="en-US" w:eastAsia="zh-CN"/>
              </w:rPr>
              <w:t>软件具备可按时间设定用户区域，不同用户区域在原始数据窗口以不同背景颜色进行显示</w:t>
            </w:r>
            <w:r>
              <w:rPr>
                <w:rFonts w:hint="eastAsia"/>
                <w:highlight w:val="none"/>
                <w:lang w:val="en-US" w:eastAsia="zh-CN"/>
              </w:rPr>
              <w:t>。</w:t>
            </w:r>
          </w:p>
          <w:p w14:paraId="7A15C11F">
            <w:pPr>
              <w:pStyle w:val="10"/>
              <w:numPr>
                <w:ilvl w:val="0"/>
                <w:numId w:val="0"/>
              </w:numPr>
              <w:rPr>
                <w:rFonts w:hint="eastAsia"/>
                <w:highlight w:val="none"/>
                <w:lang w:val="en-US" w:eastAsia="zh-CN"/>
              </w:rPr>
            </w:pPr>
            <w:r>
              <w:rPr>
                <w:rFonts w:hint="eastAsia"/>
                <w:highlight w:val="none"/>
                <w:lang w:val="en-US" w:eastAsia="zh-CN"/>
              </w:rPr>
              <w:t>22、</w:t>
            </w:r>
            <w:r>
              <w:rPr>
                <w:rFonts w:hint="default"/>
                <w:highlight w:val="none"/>
                <w:lang w:val="en-US" w:eastAsia="zh-CN"/>
              </w:rPr>
              <w:t>软件具备在所有脑电/眼电导联上显示75μV标尺线</w:t>
            </w:r>
            <w:r>
              <w:rPr>
                <w:rFonts w:hint="eastAsia"/>
                <w:highlight w:val="none"/>
                <w:lang w:val="en-US" w:eastAsia="zh-CN"/>
              </w:rPr>
              <w:t>。</w:t>
            </w:r>
          </w:p>
          <w:p w14:paraId="79BCD246">
            <w:pPr>
              <w:pStyle w:val="10"/>
              <w:numPr>
                <w:ilvl w:val="0"/>
                <w:numId w:val="0"/>
              </w:numPr>
              <w:rPr>
                <w:rFonts w:hint="default"/>
                <w:highlight w:val="none"/>
                <w:lang w:val="en-US" w:eastAsia="zh-CN"/>
              </w:rPr>
            </w:pPr>
            <w:r>
              <w:rPr>
                <w:rFonts w:hint="eastAsia"/>
                <w:highlight w:val="none"/>
                <w:lang w:val="en-US" w:eastAsia="zh-CN"/>
              </w:rPr>
              <w:t>23、</w:t>
            </w:r>
            <w:r>
              <w:rPr>
                <w:rFonts w:hint="default"/>
                <w:highlight w:val="none"/>
                <w:lang w:val="en-US" w:eastAsia="zh-CN"/>
              </w:rPr>
              <w:t>软件具备所有原始波形信号可反转显示</w:t>
            </w:r>
            <w:r>
              <w:rPr>
                <w:rFonts w:hint="eastAsia"/>
                <w:highlight w:val="none"/>
                <w:lang w:val="en-US" w:eastAsia="zh-CN"/>
              </w:rPr>
              <w:t>。</w:t>
            </w:r>
          </w:p>
          <w:p w14:paraId="1F8519A7">
            <w:pPr>
              <w:pStyle w:val="10"/>
              <w:numPr>
                <w:ilvl w:val="0"/>
                <w:numId w:val="0"/>
              </w:numPr>
              <w:rPr>
                <w:rFonts w:hint="eastAsia"/>
                <w:highlight w:val="none"/>
                <w:lang w:val="en-US" w:eastAsia="zh-CN"/>
              </w:rPr>
            </w:pPr>
            <w:r>
              <w:rPr>
                <w:rFonts w:hint="eastAsia"/>
                <w:highlight w:val="none"/>
                <w:lang w:val="en-US" w:eastAsia="zh-CN"/>
              </w:rPr>
              <w:t>24、</w:t>
            </w:r>
            <w:r>
              <w:rPr>
                <w:rFonts w:hint="default"/>
                <w:highlight w:val="none"/>
                <w:lang w:val="en-US" w:eastAsia="zh-CN"/>
              </w:rPr>
              <w:t>软件具备</w:t>
            </w:r>
            <w:r>
              <w:rPr>
                <w:rFonts w:hint="eastAsia"/>
                <w:highlight w:val="none"/>
                <w:lang w:val="en-US" w:eastAsia="zh-CN"/>
              </w:rPr>
              <w:t>可</w:t>
            </w:r>
            <w:r>
              <w:rPr>
                <w:rFonts w:hint="default"/>
                <w:highlight w:val="none"/>
                <w:lang w:val="en-US" w:eastAsia="zh-CN"/>
              </w:rPr>
              <w:t>区分显示手动和自动判定的事件</w:t>
            </w:r>
            <w:r>
              <w:rPr>
                <w:rFonts w:hint="eastAsia"/>
                <w:highlight w:val="none"/>
                <w:lang w:val="en-US" w:eastAsia="zh-CN"/>
              </w:rPr>
              <w:t>。</w:t>
            </w:r>
          </w:p>
          <w:p w14:paraId="237F6482">
            <w:pPr>
              <w:pStyle w:val="10"/>
              <w:numPr>
                <w:ilvl w:val="0"/>
                <w:numId w:val="0"/>
              </w:numPr>
              <w:rPr>
                <w:rFonts w:hint="default"/>
                <w:highlight w:val="none"/>
                <w:lang w:val="en-US" w:eastAsia="zh-CN"/>
              </w:rPr>
            </w:pPr>
            <w:r>
              <w:rPr>
                <w:rFonts w:hint="eastAsia"/>
                <w:highlight w:val="none"/>
                <w:lang w:val="en-US" w:eastAsia="zh-CN"/>
              </w:rPr>
              <w:t>25、</w:t>
            </w:r>
            <w:r>
              <w:rPr>
                <w:rFonts w:hint="default"/>
                <w:highlight w:val="none"/>
                <w:lang w:val="en-US" w:eastAsia="zh-CN"/>
              </w:rPr>
              <w:t>软件具备可区分显示手动和自动判定的睡眠期</w:t>
            </w:r>
            <w:r>
              <w:rPr>
                <w:rFonts w:hint="eastAsia"/>
                <w:highlight w:val="none"/>
                <w:lang w:val="en-US" w:eastAsia="zh-CN"/>
              </w:rPr>
              <w:t>。</w:t>
            </w:r>
          </w:p>
          <w:p w14:paraId="49EA7D3E">
            <w:pPr>
              <w:pStyle w:val="10"/>
              <w:numPr>
                <w:ilvl w:val="0"/>
                <w:numId w:val="0"/>
              </w:numPr>
              <w:rPr>
                <w:rFonts w:hint="eastAsia"/>
                <w:highlight w:val="none"/>
                <w:lang w:val="en-US" w:eastAsia="zh-CN"/>
              </w:rPr>
            </w:pPr>
            <w:r>
              <w:rPr>
                <w:rFonts w:hint="eastAsia"/>
                <w:highlight w:val="none"/>
                <w:lang w:val="en-US" w:eastAsia="zh-CN"/>
              </w:rPr>
              <w:t>26、</w:t>
            </w:r>
            <w:r>
              <w:rPr>
                <w:rFonts w:hint="default"/>
                <w:highlight w:val="none"/>
                <w:lang w:val="en-US" w:eastAsia="zh-CN"/>
              </w:rPr>
              <w:t>软件具备单独的原始导联信号可离断后以多行形式连续显示（栅格视图）</w:t>
            </w:r>
            <w:r>
              <w:rPr>
                <w:rFonts w:hint="eastAsia"/>
                <w:highlight w:val="none"/>
                <w:lang w:val="en-US" w:eastAsia="zh-CN"/>
              </w:rPr>
              <w:t>。</w:t>
            </w:r>
          </w:p>
          <w:p w14:paraId="5B8C1ACF">
            <w:pPr>
              <w:pStyle w:val="10"/>
              <w:numPr>
                <w:ilvl w:val="0"/>
                <w:numId w:val="0"/>
              </w:numPr>
              <w:rPr>
                <w:rFonts w:hint="default"/>
                <w:highlight w:val="none"/>
                <w:lang w:val="en-US" w:eastAsia="zh-CN"/>
              </w:rPr>
            </w:pPr>
            <w:r>
              <w:rPr>
                <w:rFonts w:hint="eastAsia"/>
                <w:highlight w:val="none"/>
                <w:lang w:val="en-US" w:eastAsia="zh-CN"/>
              </w:rPr>
              <w:t>27、</w:t>
            </w:r>
            <w:r>
              <w:rPr>
                <w:rFonts w:hint="default"/>
                <w:highlight w:val="none"/>
                <w:lang w:val="en-US" w:eastAsia="zh-CN"/>
              </w:rPr>
              <w:t>软件具备趋势图窗口和原始数据窗口的时间线相关联，移动任意窗口的时间线，其它窗口会自动跳转并显示到该时间点</w:t>
            </w:r>
            <w:r>
              <w:rPr>
                <w:rFonts w:hint="eastAsia"/>
                <w:highlight w:val="none"/>
                <w:lang w:val="en-US" w:eastAsia="zh-CN"/>
              </w:rPr>
              <w:t>。</w:t>
            </w:r>
          </w:p>
          <w:p w14:paraId="318E63FD">
            <w:pPr>
              <w:pStyle w:val="10"/>
              <w:numPr>
                <w:ilvl w:val="0"/>
                <w:numId w:val="0"/>
              </w:numPr>
              <w:rPr>
                <w:rFonts w:hint="eastAsia"/>
                <w:highlight w:val="none"/>
                <w:lang w:val="en-US" w:eastAsia="zh-CN"/>
              </w:rPr>
            </w:pPr>
            <w:r>
              <w:rPr>
                <w:rFonts w:hint="eastAsia"/>
                <w:highlight w:val="none"/>
                <w:lang w:val="en-US" w:eastAsia="zh-CN"/>
              </w:rPr>
              <w:t>28、</w:t>
            </w:r>
            <w:r>
              <w:rPr>
                <w:rFonts w:hint="default"/>
                <w:highlight w:val="none"/>
                <w:lang w:val="en-US" w:eastAsia="zh-CN"/>
              </w:rPr>
              <w:t>软件具备3D脑电地形图分析功能，脑电地形图分析可基于脑电信号幅度，或脑电特定频率段的FFT结果。脑电地形图可以顶部视图、左侧视图或右侧视图进行显示。脑电地形图结果可包含在报告中</w:t>
            </w:r>
            <w:r>
              <w:rPr>
                <w:rFonts w:hint="eastAsia"/>
                <w:highlight w:val="none"/>
                <w:lang w:val="en-US" w:eastAsia="zh-CN"/>
              </w:rPr>
              <w:t>。</w:t>
            </w:r>
          </w:p>
          <w:p w14:paraId="2B196D5E">
            <w:pPr>
              <w:pStyle w:val="10"/>
              <w:numPr>
                <w:ilvl w:val="0"/>
                <w:numId w:val="0"/>
              </w:numPr>
              <w:rPr>
                <w:rFonts w:hint="default"/>
                <w:highlight w:val="none"/>
                <w:lang w:val="en-US" w:eastAsia="zh-CN"/>
              </w:rPr>
            </w:pPr>
            <w:r>
              <w:rPr>
                <w:rFonts w:hint="eastAsia"/>
                <w:highlight w:val="none"/>
                <w:lang w:val="en-US" w:eastAsia="zh-CN"/>
              </w:rPr>
              <w:t>29、</w:t>
            </w:r>
            <w:r>
              <w:rPr>
                <w:rFonts w:hint="default"/>
                <w:highlight w:val="none"/>
                <w:lang w:val="en-US" w:eastAsia="zh-CN"/>
              </w:rPr>
              <w:t>具有快速傅里叶变换（FFT）功能，可进行不同频率的脑电能量分析。脑电能量分析的频率段支持自定义，频率段数量≥8个</w:t>
            </w:r>
            <w:r>
              <w:rPr>
                <w:rFonts w:hint="eastAsia"/>
                <w:highlight w:val="none"/>
                <w:lang w:val="en-US" w:eastAsia="zh-CN"/>
              </w:rPr>
              <w:t>。</w:t>
            </w:r>
          </w:p>
          <w:p w14:paraId="74054829">
            <w:pPr>
              <w:pStyle w:val="10"/>
              <w:numPr>
                <w:ilvl w:val="0"/>
                <w:numId w:val="0"/>
              </w:numPr>
              <w:rPr>
                <w:rFonts w:hint="eastAsia"/>
                <w:highlight w:val="none"/>
                <w:lang w:val="en-US" w:eastAsia="zh-CN"/>
              </w:rPr>
            </w:pPr>
            <w:r>
              <w:rPr>
                <w:rFonts w:hint="eastAsia"/>
                <w:highlight w:val="none"/>
                <w:lang w:val="en-US" w:eastAsia="zh-CN"/>
              </w:rPr>
              <w:t>五、睡眠系统软件数据库：</w:t>
            </w:r>
          </w:p>
          <w:p w14:paraId="4EC9EA12">
            <w:pPr>
              <w:pStyle w:val="10"/>
              <w:numPr>
                <w:ilvl w:val="0"/>
                <w:numId w:val="0"/>
              </w:numPr>
              <w:rPr>
                <w:rFonts w:hint="default"/>
                <w:highlight w:val="none"/>
                <w:lang w:val="en-US" w:eastAsia="zh-CN"/>
              </w:rPr>
            </w:pPr>
            <w:r>
              <w:rPr>
                <w:rFonts w:hint="default"/>
                <w:highlight w:val="none"/>
                <w:lang w:val="en-US" w:eastAsia="zh-CN"/>
              </w:rPr>
              <w:t>1</w:t>
            </w:r>
            <w:r>
              <w:rPr>
                <w:rFonts w:hint="eastAsia"/>
                <w:highlight w:val="none"/>
                <w:lang w:val="en-US" w:eastAsia="zh-CN"/>
              </w:rPr>
              <w:t>、</w:t>
            </w:r>
            <w:r>
              <w:rPr>
                <w:rFonts w:hint="default"/>
                <w:highlight w:val="none"/>
                <w:lang w:val="en-US" w:eastAsia="zh-CN"/>
              </w:rPr>
              <w:t>具有数据库功能，数据库类型可选MS Access、MS SQL、MySQL或者SQLight DB。可进行记录或者患者的排序查找及对比</w:t>
            </w:r>
            <w:r>
              <w:rPr>
                <w:rFonts w:hint="eastAsia"/>
                <w:highlight w:val="none"/>
                <w:lang w:val="en-US" w:eastAsia="zh-CN"/>
              </w:rPr>
              <w:t>。</w:t>
            </w:r>
          </w:p>
          <w:p w14:paraId="2E1B10E4">
            <w:pPr>
              <w:pStyle w:val="10"/>
              <w:numPr>
                <w:ilvl w:val="0"/>
                <w:numId w:val="0"/>
              </w:numPr>
              <w:rPr>
                <w:rFonts w:hint="default"/>
                <w:highlight w:val="none"/>
                <w:lang w:val="en-US" w:eastAsia="zh-CN"/>
              </w:rPr>
            </w:pPr>
            <w:r>
              <w:rPr>
                <w:rFonts w:hint="eastAsia"/>
                <w:highlight w:val="none"/>
                <w:lang w:val="en-US" w:eastAsia="zh-CN"/>
              </w:rPr>
              <w:t>2、</w:t>
            </w:r>
            <w:r>
              <w:rPr>
                <w:rFonts w:hint="default"/>
                <w:highlight w:val="none"/>
                <w:lang w:val="en-US" w:eastAsia="zh-CN"/>
              </w:rPr>
              <w:t>所有记录的全部分析结果均可保存在数据库中，即使记录原始数据被删除也不影响分析结果的保存</w:t>
            </w:r>
            <w:r>
              <w:rPr>
                <w:rFonts w:hint="eastAsia"/>
                <w:highlight w:val="none"/>
                <w:lang w:val="en-US" w:eastAsia="zh-CN"/>
              </w:rPr>
              <w:t>。</w:t>
            </w:r>
          </w:p>
          <w:p w14:paraId="6CFC4B4F">
            <w:pPr>
              <w:pStyle w:val="10"/>
              <w:numPr>
                <w:ilvl w:val="0"/>
                <w:numId w:val="0"/>
              </w:numPr>
              <w:rPr>
                <w:rFonts w:hint="default"/>
                <w:highlight w:val="none"/>
                <w:lang w:val="en-US" w:eastAsia="zh-CN"/>
              </w:rPr>
            </w:pPr>
            <w:r>
              <w:rPr>
                <w:rFonts w:hint="eastAsia"/>
                <w:highlight w:val="none"/>
                <w:lang w:val="en-US" w:eastAsia="zh-CN"/>
              </w:rPr>
              <w:t>3、</w:t>
            </w:r>
            <w:r>
              <w:rPr>
                <w:rFonts w:hint="default"/>
                <w:highlight w:val="none"/>
                <w:lang w:val="en-US" w:eastAsia="zh-CN"/>
              </w:rPr>
              <w:t>同一患者的不同记录可进行结果对比，并出具对比报告，方便查看患者病情的变化，评估治疗有效性</w:t>
            </w:r>
            <w:r>
              <w:rPr>
                <w:rFonts w:hint="eastAsia"/>
                <w:highlight w:val="none"/>
                <w:lang w:val="en-US" w:eastAsia="zh-CN"/>
              </w:rPr>
              <w:t>。</w:t>
            </w:r>
          </w:p>
          <w:p w14:paraId="6EB660BF">
            <w:pPr>
              <w:pStyle w:val="10"/>
              <w:numPr>
                <w:ilvl w:val="0"/>
                <w:numId w:val="0"/>
              </w:numPr>
              <w:rPr>
                <w:rFonts w:hint="default"/>
                <w:highlight w:val="none"/>
                <w:lang w:val="en-US" w:eastAsia="zh-CN"/>
              </w:rPr>
            </w:pPr>
            <w:r>
              <w:rPr>
                <w:rFonts w:hint="eastAsia"/>
                <w:highlight w:val="none"/>
                <w:lang w:val="en-US" w:eastAsia="zh-CN"/>
              </w:rPr>
              <w:t>4、</w:t>
            </w:r>
            <w:r>
              <w:rPr>
                <w:rFonts w:hint="default"/>
                <w:highlight w:val="none"/>
                <w:lang w:val="en-US" w:eastAsia="zh-CN"/>
              </w:rPr>
              <w:t>内置ESS、RLS-DI、STOP-Bang调查问卷，问卷结果可直接保存到数据库中</w:t>
            </w:r>
            <w:r>
              <w:rPr>
                <w:rFonts w:hint="eastAsia"/>
                <w:highlight w:val="none"/>
                <w:lang w:val="en-US" w:eastAsia="zh-CN"/>
              </w:rPr>
              <w:t>。</w:t>
            </w:r>
          </w:p>
          <w:p w14:paraId="0F6CD9C4">
            <w:pPr>
              <w:pStyle w:val="10"/>
              <w:numPr>
                <w:ilvl w:val="0"/>
                <w:numId w:val="0"/>
              </w:numPr>
              <w:rPr>
                <w:rFonts w:hint="eastAsia"/>
                <w:highlight w:val="none"/>
                <w:lang w:val="en-US" w:eastAsia="zh-CN"/>
              </w:rPr>
            </w:pPr>
            <w:r>
              <w:rPr>
                <w:rFonts w:hint="eastAsia"/>
                <w:highlight w:val="none"/>
                <w:lang w:val="en-US" w:eastAsia="zh-CN"/>
              </w:rPr>
              <w:t>5、</w:t>
            </w:r>
            <w:r>
              <w:rPr>
                <w:rFonts w:hint="default"/>
                <w:highlight w:val="none"/>
                <w:lang w:val="en-US" w:eastAsia="zh-CN"/>
              </w:rPr>
              <w:t>可从数据库中直接生成患者报告</w:t>
            </w:r>
            <w:r>
              <w:rPr>
                <w:rFonts w:hint="eastAsia"/>
                <w:highlight w:val="none"/>
                <w:lang w:val="en-US" w:eastAsia="zh-CN"/>
              </w:rPr>
              <w:t>。</w:t>
            </w:r>
          </w:p>
          <w:p w14:paraId="03CB3892">
            <w:pPr>
              <w:pStyle w:val="10"/>
              <w:numPr>
                <w:ilvl w:val="0"/>
                <w:numId w:val="0"/>
              </w:numPr>
              <w:rPr>
                <w:rFonts w:hint="eastAsia"/>
                <w:highlight w:val="none"/>
                <w:lang w:val="en-US" w:eastAsia="zh-CN"/>
              </w:rPr>
            </w:pPr>
            <w:r>
              <w:rPr>
                <w:rFonts w:hint="eastAsia"/>
                <w:highlight w:val="none"/>
                <w:lang w:val="en-US" w:eastAsia="zh-CN"/>
              </w:rPr>
              <w:t>6、可新建和修改Montage。</w:t>
            </w:r>
          </w:p>
          <w:p w14:paraId="5BA50904">
            <w:pPr>
              <w:pStyle w:val="10"/>
              <w:numPr>
                <w:ilvl w:val="0"/>
                <w:numId w:val="0"/>
              </w:numPr>
              <w:rPr>
                <w:rFonts w:hint="eastAsia"/>
                <w:highlight w:val="none"/>
                <w:lang w:val="en-US" w:eastAsia="zh-CN"/>
              </w:rPr>
            </w:pPr>
            <w:r>
              <w:rPr>
                <w:rFonts w:hint="eastAsia"/>
                <w:highlight w:val="none"/>
                <w:lang w:val="en-US" w:eastAsia="zh-CN"/>
              </w:rPr>
              <w:t>7、导联名称可自定义。</w:t>
            </w:r>
          </w:p>
          <w:p w14:paraId="3895A1D8">
            <w:pPr>
              <w:pStyle w:val="10"/>
              <w:numPr>
                <w:ilvl w:val="0"/>
                <w:numId w:val="0"/>
              </w:numPr>
              <w:rPr>
                <w:rFonts w:hint="eastAsia"/>
                <w:highlight w:val="none"/>
                <w:lang w:val="en-US" w:eastAsia="zh-CN"/>
              </w:rPr>
            </w:pPr>
            <w:r>
              <w:rPr>
                <w:rFonts w:hint="eastAsia"/>
                <w:highlight w:val="none"/>
                <w:lang w:val="en-US" w:eastAsia="zh-CN"/>
              </w:rPr>
              <w:t>8、采样频率可自定义。</w:t>
            </w:r>
          </w:p>
          <w:p w14:paraId="60D4FE1F">
            <w:pPr>
              <w:pStyle w:val="10"/>
              <w:numPr>
                <w:ilvl w:val="0"/>
                <w:numId w:val="0"/>
              </w:numPr>
              <w:rPr>
                <w:rFonts w:hint="eastAsia"/>
                <w:highlight w:val="none"/>
                <w:lang w:val="en-US" w:eastAsia="zh-CN"/>
              </w:rPr>
            </w:pPr>
            <w:r>
              <w:rPr>
                <w:rFonts w:hint="eastAsia"/>
                <w:highlight w:val="none"/>
                <w:lang w:val="en-US" w:eastAsia="zh-CN"/>
              </w:rPr>
              <w:t>9、可以图形形式显示和打印Montage的佩戴示意图。</w:t>
            </w:r>
          </w:p>
          <w:p w14:paraId="7B97BA5F">
            <w:pPr>
              <w:pStyle w:val="10"/>
              <w:numPr>
                <w:ilvl w:val="0"/>
                <w:numId w:val="0"/>
              </w:numPr>
              <w:rPr>
                <w:rFonts w:hint="eastAsia"/>
                <w:highlight w:val="none"/>
                <w:lang w:val="en-US" w:eastAsia="zh-CN"/>
              </w:rPr>
            </w:pPr>
            <w:r>
              <w:rPr>
                <w:rFonts w:hint="eastAsia"/>
                <w:highlight w:val="none"/>
                <w:lang w:val="en-US" w:eastAsia="zh-CN"/>
              </w:rPr>
              <w:t>10、可设定Montage关联的自动分析参数模板和显示模板。</w:t>
            </w:r>
          </w:p>
          <w:p w14:paraId="7F893382">
            <w:pPr>
              <w:pStyle w:val="10"/>
              <w:numPr>
                <w:ilvl w:val="0"/>
                <w:numId w:val="0"/>
              </w:numPr>
              <w:rPr>
                <w:rFonts w:hint="eastAsia"/>
                <w:highlight w:val="none"/>
                <w:lang w:val="en-US" w:eastAsia="zh-CN"/>
              </w:rPr>
            </w:pPr>
            <w:r>
              <w:rPr>
                <w:rFonts w:hint="eastAsia"/>
                <w:highlight w:val="none"/>
                <w:lang w:val="en-US" w:eastAsia="zh-CN"/>
              </w:rPr>
              <w:t>11、内置多种标准Montage，包括AASM、Full EEG、CPAP等。</w:t>
            </w:r>
          </w:p>
          <w:p w14:paraId="6675D819">
            <w:pPr>
              <w:pStyle w:val="10"/>
              <w:numPr>
                <w:ilvl w:val="0"/>
                <w:numId w:val="0"/>
              </w:numPr>
              <w:rPr>
                <w:rFonts w:hint="default"/>
                <w:highlight w:val="none"/>
                <w:lang w:val="en-US" w:eastAsia="zh-CN"/>
              </w:rPr>
            </w:pPr>
            <w:r>
              <w:rPr>
                <w:rFonts w:hint="eastAsia"/>
                <w:highlight w:val="none"/>
                <w:lang w:val="en-US" w:eastAsia="zh-CN"/>
              </w:rPr>
              <w:t>六、睡眠系统管理软件：</w:t>
            </w:r>
          </w:p>
          <w:p w14:paraId="47755ADA">
            <w:pPr>
              <w:pStyle w:val="10"/>
              <w:numPr>
                <w:ilvl w:val="0"/>
                <w:numId w:val="0"/>
              </w:numPr>
              <w:rPr>
                <w:rFonts w:hint="eastAsia"/>
                <w:highlight w:val="none"/>
                <w:lang w:val="en-US" w:eastAsia="zh-CN"/>
              </w:rPr>
            </w:pPr>
            <w:r>
              <w:rPr>
                <w:rFonts w:hint="eastAsia"/>
                <w:highlight w:val="none"/>
                <w:lang w:val="en-US" w:eastAsia="zh-CN"/>
              </w:rPr>
              <w:t>1、以日历形式显示每日和每时的睡眠监测工作安排，方便睡眠监测预约管理</w:t>
            </w:r>
          </w:p>
          <w:p w14:paraId="2269F530">
            <w:pPr>
              <w:pStyle w:val="10"/>
              <w:numPr>
                <w:ilvl w:val="0"/>
                <w:numId w:val="0"/>
              </w:numPr>
              <w:rPr>
                <w:rFonts w:hint="eastAsia"/>
                <w:highlight w:val="none"/>
                <w:lang w:val="en-US" w:eastAsia="zh-CN"/>
              </w:rPr>
            </w:pPr>
            <w:r>
              <w:rPr>
                <w:rFonts w:hint="eastAsia"/>
                <w:highlight w:val="none"/>
                <w:lang w:val="en-US" w:eastAsia="zh-CN"/>
              </w:rPr>
              <w:t>2、预约管理界面可输入并保存患者信息、预计监测时间、预计监测地点、采用的Montage、记录持续时间等。</w:t>
            </w:r>
          </w:p>
          <w:p w14:paraId="5085F84C">
            <w:pPr>
              <w:pStyle w:val="10"/>
              <w:numPr>
                <w:ilvl w:val="0"/>
                <w:numId w:val="0"/>
              </w:numPr>
              <w:rPr>
                <w:rFonts w:hint="eastAsia"/>
                <w:highlight w:val="none"/>
                <w:lang w:val="en-US" w:eastAsia="zh-CN"/>
              </w:rPr>
            </w:pPr>
            <w:r>
              <w:rPr>
                <w:rFonts w:hint="eastAsia"/>
                <w:highlight w:val="none"/>
                <w:lang w:val="en-US" w:eastAsia="zh-CN"/>
              </w:rPr>
              <w:t>3、可从预约管理界面直接开始监测记录</w:t>
            </w:r>
          </w:p>
          <w:p w14:paraId="0ABCD304">
            <w:pPr>
              <w:pStyle w:val="10"/>
              <w:numPr>
                <w:ilvl w:val="0"/>
                <w:numId w:val="0"/>
              </w:numPr>
              <w:rPr>
                <w:rFonts w:hint="eastAsia"/>
                <w:highlight w:val="none"/>
                <w:lang w:val="en-US" w:eastAsia="zh-CN"/>
              </w:rPr>
            </w:pPr>
            <w:r>
              <w:rPr>
                <w:rFonts w:hint="eastAsia"/>
                <w:highlight w:val="none"/>
                <w:lang w:val="en-US" w:eastAsia="zh-CN"/>
              </w:rPr>
              <w:t>4、可按患者姓名、ID、性别、出生日期、预约时间来搜索睡眠监测预约。</w:t>
            </w:r>
          </w:p>
          <w:p w14:paraId="7B0C4A0D">
            <w:pPr>
              <w:pStyle w:val="10"/>
              <w:numPr>
                <w:ilvl w:val="0"/>
                <w:numId w:val="0"/>
              </w:numPr>
              <w:rPr>
                <w:rFonts w:hint="eastAsia"/>
                <w:highlight w:val="none"/>
                <w:lang w:val="en-US" w:eastAsia="zh-CN"/>
              </w:rPr>
            </w:pPr>
            <w:r>
              <w:rPr>
                <w:rFonts w:hint="eastAsia"/>
                <w:highlight w:val="none"/>
                <w:lang w:val="en-US" w:eastAsia="zh-CN"/>
              </w:rPr>
              <w:t>5、具有记录数据索引功能，加快记录列表的显示</w:t>
            </w:r>
          </w:p>
          <w:p w14:paraId="3417343A">
            <w:pPr>
              <w:pStyle w:val="10"/>
              <w:numPr>
                <w:ilvl w:val="0"/>
                <w:numId w:val="0"/>
              </w:numPr>
              <w:rPr>
                <w:rFonts w:hint="eastAsia"/>
                <w:highlight w:val="none"/>
                <w:lang w:val="en-US" w:eastAsia="zh-CN"/>
              </w:rPr>
            </w:pPr>
            <w:r>
              <w:rPr>
                <w:rFonts w:hint="eastAsia"/>
                <w:highlight w:val="none"/>
                <w:lang w:val="en-US" w:eastAsia="zh-CN"/>
              </w:rPr>
              <w:t>6、可在记录列表中按患者姓名、出生日期、ID号、开始记录时间、时长、记录大小、是否带视频、记录状态、是否存档、记录来源、记录器序列号及Montage信息、手动编辑日期、监测病房等信息的升序或降序进行排列。</w:t>
            </w:r>
          </w:p>
          <w:p w14:paraId="7D6B1DB8">
            <w:pPr>
              <w:pStyle w:val="10"/>
              <w:numPr>
                <w:ilvl w:val="0"/>
                <w:numId w:val="0"/>
              </w:numPr>
              <w:rPr>
                <w:rFonts w:hint="eastAsia"/>
                <w:highlight w:val="none"/>
                <w:lang w:val="en-US" w:eastAsia="zh-CN"/>
              </w:rPr>
            </w:pPr>
            <w:r>
              <w:rPr>
                <w:rFonts w:hint="eastAsia"/>
                <w:highlight w:val="none"/>
                <w:lang w:val="en-US" w:eastAsia="zh-CN"/>
              </w:rPr>
              <w:t>7、可快捷显示上次打开的记录信息。</w:t>
            </w:r>
          </w:p>
          <w:p w14:paraId="42626337">
            <w:pPr>
              <w:pStyle w:val="10"/>
              <w:numPr>
                <w:ilvl w:val="0"/>
                <w:numId w:val="0"/>
              </w:numPr>
              <w:rPr>
                <w:rFonts w:hint="eastAsia"/>
                <w:highlight w:val="none"/>
                <w:lang w:val="en-US" w:eastAsia="zh-CN"/>
              </w:rPr>
            </w:pPr>
            <w:r>
              <w:rPr>
                <w:rFonts w:hint="eastAsia"/>
                <w:highlight w:val="none"/>
                <w:lang w:val="en-US" w:eastAsia="zh-CN"/>
              </w:rPr>
              <w:t>8、可按时间过滤显示近期的记录。</w:t>
            </w:r>
          </w:p>
          <w:p w14:paraId="6CF4D04B">
            <w:pPr>
              <w:pStyle w:val="10"/>
              <w:numPr>
                <w:ilvl w:val="0"/>
                <w:numId w:val="0"/>
              </w:numPr>
              <w:rPr>
                <w:rFonts w:hint="default"/>
                <w:highlight w:val="none"/>
                <w:lang w:val="en-US" w:eastAsia="zh-CN"/>
              </w:rPr>
            </w:pPr>
            <w:r>
              <w:rPr>
                <w:rFonts w:hint="eastAsia"/>
                <w:highlight w:val="none"/>
                <w:lang w:val="en-US" w:eastAsia="zh-CN"/>
              </w:rPr>
              <w:t>9、可过滤显示未分析的记录。</w:t>
            </w:r>
          </w:p>
          <w:p w14:paraId="0BD51FF1">
            <w:pPr>
              <w:pStyle w:val="10"/>
              <w:numPr>
                <w:ilvl w:val="0"/>
                <w:numId w:val="0"/>
              </w:numPr>
              <w:rPr>
                <w:rFonts w:hint="eastAsia"/>
                <w:highlight w:val="none"/>
                <w:lang w:val="en-US" w:eastAsia="zh-CN"/>
              </w:rPr>
            </w:pPr>
            <w:r>
              <w:rPr>
                <w:rFonts w:hint="eastAsia"/>
                <w:highlight w:val="none"/>
                <w:lang w:val="en-US" w:eastAsia="zh-CN"/>
              </w:rPr>
              <w:t>10、记录拷贝时支持匿名拷贝，保证网络安全性。</w:t>
            </w:r>
          </w:p>
          <w:p w14:paraId="2905E5E0">
            <w:pPr>
              <w:pStyle w:val="10"/>
              <w:numPr>
                <w:ilvl w:val="0"/>
                <w:numId w:val="0"/>
              </w:numPr>
              <w:rPr>
                <w:rFonts w:hint="eastAsia"/>
                <w:highlight w:val="none"/>
                <w:lang w:val="en-US" w:eastAsia="zh-CN"/>
              </w:rPr>
            </w:pPr>
            <w:r>
              <w:rPr>
                <w:rFonts w:hint="eastAsia"/>
                <w:highlight w:val="none"/>
                <w:lang w:val="en-US" w:eastAsia="zh-CN"/>
              </w:rPr>
              <w:t>11、可使用ID号保存患者记录数据，加强网络安全性。</w:t>
            </w:r>
          </w:p>
          <w:p w14:paraId="55D7FAC9">
            <w:pPr>
              <w:pStyle w:val="10"/>
              <w:numPr>
                <w:ilvl w:val="0"/>
                <w:numId w:val="0"/>
              </w:numPr>
              <w:rPr>
                <w:rFonts w:hint="eastAsia"/>
                <w:highlight w:val="none"/>
                <w:lang w:val="en-US" w:eastAsia="zh-CN"/>
              </w:rPr>
            </w:pPr>
            <w:r>
              <w:rPr>
                <w:rFonts w:hint="eastAsia"/>
                <w:highlight w:val="none"/>
                <w:lang w:val="en-US" w:eastAsia="zh-CN"/>
              </w:rPr>
              <w:t>12、具有记录存档功能。</w:t>
            </w:r>
          </w:p>
          <w:p w14:paraId="30907E4E">
            <w:pPr>
              <w:pStyle w:val="10"/>
              <w:numPr>
                <w:ilvl w:val="0"/>
                <w:numId w:val="0"/>
              </w:numPr>
              <w:rPr>
                <w:rFonts w:hint="eastAsia"/>
                <w:highlight w:val="none"/>
                <w:lang w:val="en-US" w:eastAsia="zh-CN"/>
              </w:rPr>
            </w:pPr>
            <w:r>
              <w:rPr>
                <w:rFonts w:hint="eastAsia"/>
                <w:highlight w:val="none"/>
                <w:lang w:val="en-US" w:eastAsia="zh-CN"/>
              </w:rPr>
              <w:t>13、可按照任意的分析结果（例如AHI值）的自定义范围来搜索记录</w:t>
            </w:r>
          </w:p>
          <w:p w14:paraId="2D70FC21">
            <w:pPr>
              <w:pStyle w:val="10"/>
              <w:numPr>
                <w:ilvl w:val="0"/>
                <w:numId w:val="0"/>
              </w:numPr>
              <w:rPr>
                <w:rFonts w:hint="eastAsia"/>
                <w:highlight w:val="none"/>
                <w:lang w:val="en-US" w:eastAsia="zh-CN"/>
              </w:rPr>
            </w:pPr>
            <w:r>
              <w:rPr>
                <w:rFonts w:hint="eastAsia"/>
                <w:highlight w:val="none"/>
                <w:lang w:val="en-US" w:eastAsia="zh-CN"/>
              </w:rPr>
              <w:t>14、所有原始数据可以图形、数值（RIFF或ASCII格式）导出，导出的记录时间范围可自定义。</w:t>
            </w:r>
          </w:p>
          <w:p w14:paraId="0463B3D0">
            <w:pPr>
              <w:pStyle w:val="10"/>
              <w:numPr>
                <w:ilvl w:val="0"/>
                <w:numId w:val="0"/>
              </w:numPr>
              <w:rPr>
                <w:rFonts w:hint="eastAsia"/>
                <w:highlight w:val="none"/>
                <w:lang w:val="en-US" w:eastAsia="zh-CN"/>
              </w:rPr>
            </w:pPr>
            <w:r>
              <w:rPr>
                <w:rFonts w:hint="eastAsia"/>
                <w:highlight w:val="none"/>
                <w:lang w:val="en-US" w:eastAsia="zh-CN"/>
              </w:rPr>
              <w:t>15、所有趋势图可以图形或数值方式（ASCII或Excel格式）导出，导出的记录时间范围可自定义。</w:t>
            </w:r>
          </w:p>
          <w:p w14:paraId="09777F92">
            <w:pPr>
              <w:pStyle w:val="10"/>
              <w:numPr>
                <w:ilvl w:val="0"/>
                <w:numId w:val="0"/>
              </w:numPr>
              <w:rPr>
                <w:rFonts w:hint="eastAsia"/>
                <w:highlight w:val="none"/>
                <w:lang w:val="en-US" w:eastAsia="zh-CN"/>
              </w:rPr>
            </w:pPr>
            <w:r>
              <w:rPr>
                <w:rFonts w:hint="eastAsia"/>
                <w:highlight w:val="none"/>
                <w:lang w:val="en-US" w:eastAsia="zh-CN"/>
              </w:rPr>
              <w:t>16、可将记录导出为EDF格式。</w:t>
            </w:r>
          </w:p>
          <w:p w14:paraId="7A1C4C0F">
            <w:pPr>
              <w:pStyle w:val="10"/>
              <w:numPr>
                <w:ilvl w:val="0"/>
                <w:numId w:val="0"/>
              </w:numPr>
              <w:rPr>
                <w:rFonts w:hint="eastAsia"/>
                <w:highlight w:val="none"/>
                <w:lang w:val="en-US" w:eastAsia="zh-CN"/>
              </w:rPr>
            </w:pPr>
            <w:r>
              <w:rPr>
                <w:rFonts w:hint="eastAsia"/>
                <w:highlight w:val="none"/>
                <w:lang w:val="en-US" w:eastAsia="zh-CN"/>
              </w:rPr>
              <w:t>17、可导入EDF格式的其它来源记录数据。</w:t>
            </w:r>
          </w:p>
          <w:p w14:paraId="54FCBADA">
            <w:pPr>
              <w:pStyle w:val="10"/>
              <w:numPr>
                <w:ilvl w:val="0"/>
                <w:numId w:val="0"/>
              </w:numPr>
              <w:rPr>
                <w:rFonts w:hint="eastAsia"/>
                <w:highlight w:val="none"/>
                <w:lang w:val="en-US" w:eastAsia="zh-CN"/>
              </w:rPr>
            </w:pPr>
            <w:r>
              <w:rPr>
                <w:rFonts w:hint="eastAsia"/>
                <w:highlight w:val="none"/>
                <w:lang w:val="en-US" w:eastAsia="zh-CN"/>
              </w:rPr>
              <w:t>18、记录可导出为EXE文件格式，在任意其它未安装睡眠监测软件的PC上均可直接打开进行查看。</w:t>
            </w:r>
          </w:p>
          <w:p w14:paraId="3E9DBA07">
            <w:pPr>
              <w:pStyle w:val="10"/>
              <w:numPr>
                <w:ilvl w:val="0"/>
                <w:numId w:val="0"/>
              </w:numPr>
              <w:rPr>
                <w:rFonts w:hint="eastAsia"/>
                <w:highlight w:val="none"/>
                <w:lang w:val="en-US" w:eastAsia="zh-CN"/>
              </w:rPr>
            </w:pPr>
            <w:r>
              <w:rPr>
                <w:rFonts w:hint="eastAsia"/>
                <w:highlight w:val="none"/>
                <w:lang w:val="en-US" w:eastAsia="zh-CN"/>
              </w:rPr>
              <w:t>19、同一患者短期内的多段记录可合并为一个记录。</w:t>
            </w:r>
          </w:p>
          <w:p w14:paraId="1259F715">
            <w:pPr>
              <w:pStyle w:val="10"/>
              <w:numPr>
                <w:ilvl w:val="0"/>
                <w:numId w:val="0"/>
              </w:numPr>
              <w:rPr>
                <w:rFonts w:hint="eastAsia"/>
                <w:highlight w:val="none"/>
                <w:lang w:val="en-US" w:eastAsia="zh-CN"/>
              </w:rPr>
            </w:pPr>
            <w:r>
              <w:rPr>
                <w:rFonts w:hint="eastAsia"/>
                <w:highlight w:val="none"/>
                <w:lang w:val="en-US" w:eastAsia="zh-CN"/>
              </w:rPr>
              <w:t>20、可设定多个记录存储文件夹，可切换文件夹显示记录列表。</w:t>
            </w:r>
          </w:p>
          <w:p w14:paraId="5C9A5ED9">
            <w:pPr>
              <w:pStyle w:val="10"/>
              <w:numPr>
                <w:ilvl w:val="0"/>
                <w:numId w:val="0"/>
              </w:numPr>
              <w:rPr>
                <w:rFonts w:hint="eastAsia"/>
                <w:highlight w:val="none"/>
                <w:lang w:val="en-US" w:eastAsia="zh-CN"/>
              </w:rPr>
            </w:pPr>
            <w:r>
              <w:rPr>
                <w:rFonts w:hint="eastAsia"/>
                <w:highlight w:val="none"/>
                <w:lang w:val="en-US" w:eastAsia="zh-CN"/>
              </w:rPr>
              <w:t>当记录器与PC建立物理连接后，如果记录器内保存有记录数据，则自动弹出下载窗口</w:t>
            </w:r>
          </w:p>
          <w:p w14:paraId="15F933BD">
            <w:pPr>
              <w:pStyle w:val="10"/>
              <w:numPr>
                <w:ilvl w:val="0"/>
                <w:numId w:val="0"/>
              </w:numPr>
              <w:rPr>
                <w:rFonts w:hint="eastAsia"/>
                <w:highlight w:val="none"/>
                <w:lang w:val="en-US" w:eastAsia="zh-CN"/>
              </w:rPr>
            </w:pPr>
            <w:r>
              <w:rPr>
                <w:rFonts w:hint="eastAsia" w:ascii="宋体" w:hAnsi="Courier New" w:eastAsiaTheme="minorEastAsia" w:cstheme="minorBidi"/>
                <w:kern w:val="2"/>
                <w:sz w:val="21"/>
                <w:szCs w:val="21"/>
                <w:highlight w:val="none"/>
                <w:lang w:val="en-US" w:eastAsia="zh-CN" w:bidi="ar-SA"/>
              </w:rPr>
              <w:t>21、</w:t>
            </w:r>
            <w:r>
              <w:rPr>
                <w:rFonts w:hint="eastAsia"/>
                <w:highlight w:val="none"/>
                <w:lang w:val="en-US" w:eastAsia="zh-CN"/>
              </w:rPr>
              <w:t>记录器物理数据接口连接PC后，不以盘符或设备形式在Windows资源管理器中显示。只能使用专用睡眠监测软件进行读取和下载。</w:t>
            </w:r>
          </w:p>
          <w:p w14:paraId="5C2E7E84">
            <w:pPr>
              <w:pStyle w:val="10"/>
              <w:numPr>
                <w:ilvl w:val="0"/>
                <w:numId w:val="0"/>
              </w:numPr>
              <w:rPr>
                <w:rFonts w:hint="eastAsia"/>
                <w:highlight w:val="none"/>
                <w:lang w:val="en-US" w:eastAsia="zh-CN"/>
              </w:rPr>
            </w:pPr>
            <w:r>
              <w:rPr>
                <w:rFonts w:hint="eastAsia"/>
                <w:highlight w:val="none"/>
                <w:lang w:val="en-US" w:eastAsia="zh-CN"/>
              </w:rPr>
              <w:t>22、确保网络安全性下载记录数据时，同时下载患者个人信息和设备日志，下载窗口可修改患者个人信息。</w:t>
            </w:r>
          </w:p>
          <w:p w14:paraId="0D6BD1F3">
            <w:pPr>
              <w:pStyle w:val="10"/>
              <w:numPr>
                <w:ilvl w:val="0"/>
                <w:numId w:val="0"/>
              </w:numPr>
              <w:rPr>
                <w:rFonts w:hint="eastAsia"/>
                <w:highlight w:val="none"/>
                <w:lang w:val="en-US" w:eastAsia="zh-CN"/>
              </w:rPr>
            </w:pPr>
            <w:r>
              <w:rPr>
                <w:rFonts w:hint="eastAsia"/>
                <w:highlight w:val="none"/>
                <w:lang w:val="en-US" w:eastAsia="zh-CN"/>
              </w:rPr>
              <w:t>23、下载数据存储为私有格式的文件，确保网络安全可设定下载完成后软件的自动批处理操作，包括数据回放、自动分析、报告显示导出和打印、软件关闭等操作。</w:t>
            </w:r>
          </w:p>
          <w:p w14:paraId="4BAEE383">
            <w:pPr>
              <w:pStyle w:val="10"/>
              <w:numPr>
                <w:ilvl w:val="0"/>
                <w:numId w:val="0"/>
              </w:numPr>
              <w:rPr>
                <w:rFonts w:hint="eastAsia"/>
                <w:highlight w:val="none"/>
                <w:lang w:val="en-US" w:eastAsia="zh-CN"/>
              </w:rPr>
            </w:pPr>
            <w:r>
              <w:rPr>
                <w:rFonts w:hint="eastAsia"/>
                <w:highlight w:val="none"/>
                <w:lang w:val="en-US" w:eastAsia="zh-CN"/>
              </w:rPr>
              <w:t>24、具有HL7接口，可接入医院HIS系统。</w:t>
            </w:r>
          </w:p>
          <w:p w14:paraId="2FC36EBB">
            <w:pPr>
              <w:pStyle w:val="10"/>
              <w:numPr>
                <w:ilvl w:val="0"/>
                <w:numId w:val="0"/>
              </w:numPr>
              <w:rPr>
                <w:rFonts w:hint="eastAsia"/>
                <w:highlight w:val="none"/>
                <w:lang w:val="en-US" w:eastAsia="zh-CN"/>
              </w:rPr>
            </w:pPr>
            <w:r>
              <w:rPr>
                <w:rFonts w:hint="eastAsia"/>
                <w:highlight w:val="none"/>
                <w:lang w:val="en-US" w:eastAsia="zh-CN"/>
              </w:rPr>
              <w:t>25、具有用户账户管理功能，不同用户以不同权限登录PC软件进行使用。账户和权限可定制。</w:t>
            </w:r>
          </w:p>
          <w:p w14:paraId="651F89CD">
            <w:pPr>
              <w:pStyle w:val="10"/>
              <w:numPr>
                <w:ilvl w:val="0"/>
                <w:numId w:val="0"/>
              </w:numPr>
              <w:rPr>
                <w:rFonts w:hint="eastAsia"/>
                <w:highlight w:val="none"/>
                <w:lang w:val="en-US" w:eastAsia="zh-CN"/>
              </w:rPr>
            </w:pPr>
            <w:r>
              <w:rPr>
                <w:rFonts w:hint="eastAsia"/>
                <w:highlight w:val="none"/>
                <w:lang w:val="en-US" w:eastAsia="zh-CN"/>
              </w:rPr>
              <w:t>26、具有软件操作日志记录功能。</w:t>
            </w:r>
          </w:p>
          <w:p w14:paraId="6D984917">
            <w:pPr>
              <w:pStyle w:val="10"/>
              <w:numPr>
                <w:ilvl w:val="0"/>
                <w:numId w:val="0"/>
              </w:numPr>
              <w:rPr>
                <w:rFonts w:hint="default"/>
                <w:highlight w:val="none"/>
                <w:lang w:val="en-US" w:eastAsia="zh-CN"/>
              </w:rPr>
            </w:pPr>
            <w:r>
              <w:rPr>
                <w:rFonts w:hint="eastAsia"/>
                <w:highlight w:val="none"/>
                <w:lang w:val="en-US" w:eastAsia="zh-CN"/>
              </w:rPr>
              <w:t>27、可Email发送软件的服务报告和系统信息，以便快速分析和判断软件故障。</w:t>
            </w:r>
          </w:p>
          <w:p w14:paraId="0DE00DD7">
            <w:pPr>
              <w:pStyle w:val="10"/>
              <w:numPr>
                <w:ilvl w:val="0"/>
                <w:numId w:val="0"/>
              </w:numPr>
              <w:rPr>
                <w:rFonts w:hint="eastAsia"/>
                <w:highlight w:val="none"/>
              </w:rPr>
            </w:pPr>
            <w:r>
              <w:rPr>
                <w:rFonts w:hint="eastAsia"/>
                <w:highlight w:val="none"/>
                <w:lang w:val="en-US" w:eastAsia="zh-CN"/>
              </w:rPr>
              <w:t>七、</w:t>
            </w:r>
            <w:r>
              <w:rPr>
                <w:rFonts w:hint="eastAsia"/>
                <w:highlight w:val="none"/>
              </w:rPr>
              <w:t xml:space="preserve">技术规格： </w:t>
            </w:r>
          </w:p>
          <w:p w14:paraId="3832DB1F">
            <w:pPr>
              <w:pStyle w:val="10"/>
              <w:numPr>
                <w:ilvl w:val="0"/>
                <w:numId w:val="0"/>
              </w:numPr>
              <w:rPr>
                <w:rFonts w:hint="eastAsia"/>
                <w:highlight w:val="none"/>
                <w:lang w:val="en-US" w:eastAsia="zh-CN"/>
              </w:rPr>
            </w:pPr>
            <w:r>
              <w:rPr>
                <w:rFonts w:hint="eastAsia"/>
                <w:highlight w:val="none"/>
                <w:lang w:val="en-US" w:eastAsia="zh-CN"/>
              </w:rPr>
              <w:t>1、</w:t>
            </w:r>
            <w:r>
              <w:rPr>
                <w:rFonts w:hint="eastAsia"/>
                <w:highlight w:val="none"/>
              </w:rPr>
              <w:t>通道采样频率：≥</w:t>
            </w:r>
            <w:r>
              <w:rPr>
                <w:rFonts w:hint="eastAsia"/>
                <w:highlight w:val="none"/>
                <w:lang w:val="en-US" w:eastAsia="zh-CN"/>
              </w:rPr>
              <w:t>4K</w:t>
            </w:r>
            <w:r>
              <w:rPr>
                <w:rFonts w:hint="eastAsia"/>
                <w:highlight w:val="none"/>
              </w:rPr>
              <w:t>H</w:t>
            </w:r>
            <w:r>
              <w:rPr>
                <w:rFonts w:hint="eastAsia"/>
                <w:highlight w:val="none"/>
                <w:lang w:val="en-US" w:eastAsia="zh-CN"/>
              </w:rPr>
              <w:t>z</w:t>
            </w:r>
          </w:p>
          <w:p w14:paraId="26209D32">
            <w:pPr>
              <w:pStyle w:val="10"/>
              <w:numPr>
                <w:ilvl w:val="0"/>
                <w:numId w:val="0"/>
              </w:numPr>
              <w:rPr>
                <w:rFonts w:hint="eastAsia"/>
                <w:highlight w:val="none"/>
              </w:rPr>
            </w:pPr>
            <w:r>
              <w:rPr>
                <w:rFonts w:hint="eastAsia"/>
                <w:highlight w:val="none"/>
                <w:lang w:val="en-US" w:eastAsia="zh-CN"/>
              </w:rPr>
              <w:t>2、</w:t>
            </w:r>
            <w:r>
              <w:rPr>
                <w:rFonts w:hint="eastAsia"/>
                <w:highlight w:val="none"/>
              </w:rPr>
              <w:t>数字分辨率：≥</w:t>
            </w:r>
            <w:r>
              <w:rPr>
                <w:rFonts w:hint="eastAsia"/>
                <w:highlight w:val="none"/>
                <w:lang w:val="en-US" w:eastAsia="zh-CN"/>
              </w:rPr>
              <w:t>24</w:t>
            </w:r>
            <w:r>
              <w:rPr>
                <w:rFonts w:hint="eastAsia"/>
                <w:highlight w:val="none"/>
              </w:rPr>
              <w:t xml:space="preserve">bit </w:t>
            </w:r>
          </w:p>
          <w:p w14:paraId="1DD868A8">
            <w:pPr>
              <w:pStyle w:val="10"/>
              <w:numPr>
                <w:ilvl w:val="0"/>
                <w:numId w:val="0"/>
              </w:numPr>
              <w:rPr>
                <w:rFonts w:hint="eastAsia"/>
                <w:highlight w:val="none"/>
              </w:rPr>
            </w:pPr>
            <w:r>
              <w:rPr>
                <w:rFonts w:hint="eastAsia"/>
                <w:highlight w:val="none"/>
                <w:lang w:val="en-US" w:eastAsia="zh-CN"/>
              </w:rPr>
              <w:t>3、</w:t>
            </w:r>
            <w:r>
              <w:rPr>
                <w:rFonts w:hint="eastAsia"/>
                <w:highlight w:val="none"/>
              </w:rPr>
              <w:t>共模抑制比：≥1</w:t>
            </w:r>
            <w:r>
              <w:rPr>
                <w:rFonts w:hint="eastAsia"/>
                <w:highlight w:val="none"/>
                <w:lang w:val="en-US" w:eastAsia="zh-CN"/>
              </w:rPr>
              <w:t>10</w:t>
            </w:r>
            <w:r>
              <w:rPr>
                <w:rFonts w:hint="eastAsia"/>
                <w:highlight w:val="none"/>
              </w:rPr>
              <w:t xml:space="preserve">dB </w:t>
            </w:r>
          </w:p>
          <w:p w14:paraId="4CEECE0D">
            <w:pPr>
              <w:pStyle w:val="10"/>
              <w:numPr>
                <w:ilvl w:val="0"/>
                <w:numId w:val="0"/>
              </w:numPr>
              <w:rPr>
                <w:rFonts w:hint="eastAsia"/>
                <w:highlight w:val="none"/>
              </w:rPr>
            </w:pPr>
            <w:r>
              <w:rPr>
                <w:rFonts w:hint="eastAsia"/>
                <w:highlight w:val="none"/>
                <w:lang w:val="en-US" w:eastAsia="zh-CN"/>
              </w:rPr>
              <w:t>4、</w:t>
            </w:r>
            <w:r>
              <w:rPr>
                <w:rFonts w:hint="eastAsia"/>
                <w:highlight w:val="none"/>
              </w:rPr>
              <w:t>存储频率:≥</w:t>
            </w:r>
            <w:r>
              <w:rPr>
                <w:rFonts w:hint="eastAsia"/>
                <w:highlight w:val="none"/>
                <w:lang w:val="en-US" w:eastAsia="zh-CN"/>
              </w:rPr>
              <w:t>2K</w:t>
            </w:r>
            <w:r>
              <w:rPr>
                <w:rFonts w:hint="eastAsia"/>
                <w:highlight w:val="none"/>
              </w:rPr>
              <w:t xml:space="preserve">Hz </w:t>
            </w:r>
          </w:p>
          <w:p w14:paraId="11772A3F">
            <w:pPr>
              <w:pStyle w:val="10"/>
              <w:numPr>
                <w:ilvl w:val="0"/>
                <w:numId w:val="0"/>
              </w:numPr>
              <w:rPr>
                <w:rFonts w:hint="eastAsia"/>
                <w:highlight w:val="none"/>
              </w:rPr>
            </w:pPr>
            <w:r>
              <w:rPr>
                <w:rFonts w:hint="eastAsia"/>
                <w:highlight w:val="none"/>
                <w:lang w:val="en-US" w:eastAsia="zh-CN"/>
              </w:rPr>
              <w:t>5、</w:t>
            </w:r>
            <w:r>
              <w:rPr>
                <w:rFonts w:hint="eastAsia"/>
                <w:highlight w:val="none"/>
              </w:rPr>
              <w:t xml:space="preserve">输入阻抗：≥10MΩ </w:t>
            </w:r>
          </w:p>
          <w:p w14:paraId="4678B81F">
            <w:pPr>
              <w:pStyle w:val="10"/>
              <w:numPr>
                <w:ilvl w:val="0"/>
                <w:numId w:val="0"/>
              </w:numPr>
              <w:rPr>
                <w:rFonts w:hint="eastAsia"/>
                <w:highlight w:val="none"/>
                <w:lang w:val="en-US" w:eastAsia="zh-CN"/>
              </w:rPr>
            </w:pPr>
            <w:r>
              <w:rPr>
                <w:rFonts w:hint="eastAsia"/>
                <w:highlight w:val="none"/>
                <w:lang w:val="en-US" w:eastAsia="zh-CN"/>
              </w:rPr>
              <w:t>6、</w:t>
            </w:r>
            <w:r>
              <w:rPr>
                <w:rFonts w:hint="eastAsia"/>
                <w:highlight w:val="none"/>
              </w:rPr>
              <w:t>噪声：≤</w:t>
            </w:r>
            <w:r>
              <w:rPr>
                <w:rFonts w:hint="eastAsia"/>
                <w:highlight w:val="none"/>
                <w:lang w:val="en-US" w:eastAsia="zh-CN"/>
              </w:rPr>
              <w:t>0.5</w:t>
            </w:r>
            <w:r>
              <w:rPr>
                <w:rFonts w:hint="eastAsia"/>
                <w:highlight w:val="none"/>
              </w:rPr>
              <w:t>μV</w:t>
            </w:r>
          </w:p>
          <w:p w14:paraId="799DE769">
            <w:pPr>
              <w:pStyle w:val="10"/>
              <w:numPr>
                <w:ilvl w:val="0"/>
                <w:numId w:val="0"/>
              </w:numPr>
              <w:rPr>
                <w:rFonts w:hint="eastAsia"/>
                <w:highlight w:val="none"/>
              </w:rPr>
            </w:pPr>
            <w:r>
              <w:rPr>
                <w:rFonts w:hint="eastAsia"/>
                <w:highlight w:val="none"/>
                <w:lang w:val="en-US" w:eastAsia="zh-CN"/>
              </w:rPr>
              <w:t>7、</w:t>
            </w:r>
            <w:r>
              <w:rPr>
                <w:rFonts w:hint="eastAsia"/>
                <w:highlight w:val="none"/>
              </w:rPr>
              <w:t>重量:≤</w:t>
            </w:r>
            <w:r>
              <w:rPr>
                <w:rFonts w:hint="eastAsia"/>
                <w:highlight w:val="none"/>
                <w:lang w:val="en-US" w:eastAsia="zh-CN"/>
              </w:rPr>
              <w:t>220</w:t>
            </w:r>
            <w:r>
              <w:rPr>
                <w:rFonts w:hint="eastAsia"/>
                <w:highlight w:val="none"/>
              </w:rPr>
              <w:t xml:space="preserve">g </w:t>
            </w:r>
          </w:p>
          <w:p w14:paraId="2E2A6BDB">
            <w:pPr>
              <w:pStyle w:val="10"/>
              <w:numPr>
                <w:ilvl w:val="0"/>
                <w:numId w:val="0"/>
              </w:numPr>
              <w:rPr>
                <w:rFonts w:hint="eastAsia"/>
                <w:highlight w:val="none"/>
              </w:rPr>
            </w:pPr>
            <w:r>
              <w:rPr>
                <w:rFonts w:hint="eastAsia"/>
                <w:highlight w:val="none"/>
                <w:lang w:val="en-US" w:eastAsia="zh-CN"/>
              </w:rPr>
              <w:t>八</w:t>
            </w:r>
            <w:r>
              <w:rPr>
                <w:rFonts w:hint="eastAsia"/>
                <w:highlight w:val="none"/>
              </w:rPr>
              <w:t xml:space="preserve">、系统配置： </w:t>
            </w:r>
          </w:p>
          <w:p w14:paraId="718CD9D3">
            <w:pPr>
              <w:pStyle w:val="10"/>
              <w:numPr>
                <w:ilvl w:val="0"/>
                <w:numId w:val="0"/>
              </w:numPr>
              <w:rPr>
                <w:rFonts w:hint="eastAsia"/>
                <w:highlight w:val="none"/>
                <w:lang w:val="en-US" w:eastAsia="zh-CN"/>
              </w:rPr>
            </w:pPr>
            <w:r>
              <w:rPr>
                <w:rFonts w:hint="eastAsia"/>
                <w:highlight w:val="none"/>
                <w:lang w:val="en-US" w:eastAsia="zh-CN"/>
              </w:rPr>
              <w:t>1、CPU≥I5（3.2G）</w:t>
            </w:r>
          </w:p>
          <w:p w14:paraId="5F4013C9">
            <w:pPr>
              <w:pStyle w:val="10"/>
              <w:numPr>
                <w:ilvl w:val="0"/>
                <w:numId w:val="0"/>
              </w:numPr>
              <w:rPr>
                <w:rFonts w:hint="eastAsia"/>
                <w:highlight w:val="none"/>
                <w:lang w:val="en-US" w:eastAsia="zh-CN"/>
              </w:rPr>
            </w:pPr>
            <w:r>
              <w:rPr>
                <w:rFonts w:hint="eastAsia"/>
                <w:highlight w:val="none"/>
                <w:lang w:val="en-US" w:eastAsia="zh-CN"/>
              </w:rPr>
              <w:t>2、硬盘≥1TB</w:t>
            </w:r>
          </w:p>
          <w:p w14:paraId="60782546">
            <w:pPr>
              <w:pStyle w:val="10"/>
              <w:numPr>
                <w:ilvl w:val="0"/>
                <w:numId w:val="0"/>
              </w:numPr>
              <w:rPr>
                <w:rFonts w:hint="eastAsia"/>
                <w:highlight w:val="none"/>
                <w:lang w:val="en-US" w:eastAsia="zh-CN"/>
              </w:rPr>
            </w:pPr>
            <w:r>
              <w:rPr>
                <w:rFonts w:hint="eastAsia"/>
                <w:highlight w:val="none"/>
                <w:lang w:val="en-US" w:eastAsia="zh-CN"/>
              </w:rPr>
              <w:t>3、内存≥16GB</w:t>
            </w:r>
          </w:p>
          <w:p w14:paraId="7C88E314">
            <w:pPr>
              <w:pStyle w:val="10"/>
              <w:numPr>
                <w:ilvl w:val="0"/>
                <w:numId w:val="0"/>
              </w:numPr>
              <w:rPr>
                <w:rFonts w:hint="eastAsia"/>
                <w:highlight w:val="none"/>
                <w:lang w:val="en-US" w:eastAsia="zh-CN"/>
              </w:rPr>
            </w:pPr>
            <w:r>
              <w:rPr>
                <w:rFonts w:hint="eastAsia"/>
                <w:highlight w:val="none"/>
                <w:lang w:val="en-US" w:eastAsia="zh-CN"/>
              </w:rPr>
              <w:t>4、显示器≥21.5英吋。</w:t>
            </w:r>
          </w:p>
          <w:p w14:paraId="1421A550">
            <w:pPr>
              <w:pStyle w:val="10"/>
              <w:numPr>
                <w:ilvl w:val="0"/>
                <w:numId w:val="0"/>
              </w:numPr>
              <w:rPr>
                <w:rFonts w:hint="default"/>
                <w:highlight w:val="none"/>
                <w:lang w:val="en-US" w:eastAsia="zh-CN"/>
              </w:rPr>
            </w:pPr>
            <w:r>
              <w:rPr>
                <w:rFonts w:hint="eastAsia"/>
                <w:highlight w:val="none"/>
                <w:lang w:val="en-US" w:eastAsia="zh-CN"/>
              </w:rPr>
              <w:t>5、黑白激光打印机。</w:t>
            </w:r>
          </w:p>
          <w:p w14:paraId="546F79BA">
            <w:pPr>
              <w:pStyle w:val="10"/>
              <w:numPr>
                <w:ilvl w:val="0"/>
                <w:numId w:val="0"/>
              </w:numPr>
              <w:rPr>
                <w:highlight w:val="none"/>
              </w:rPr>
            </w:pPr>
          </w:p>
        </w:tc>
        <w:tc>
          <w:tcPr>
            <w:tcW w:w="512" w:type="dxa"/>
          </w:tcPr>
          <w:p w14:paraId="6446943A">
            <w:pPr>
              <w:pStyle w:val="10"/>
              <w:numPr>
                <w:ilvl w:val="0"/>
                <w:numId w:val="0"/>
              </w:numPr>
              <w:rPr>
                <w:rFonts w:hint="eastAsia"/>
                <w:highlight w:val="none"/>
                <w:lang w:val="en-US" w:eastAsia="zh-CN"/>
              </w:rPr>
            </w:pPr>
          </w:p>
          <w:p w14:paraId="1A15E26D">
            <w:pPr>
              <w:pStyle w:val="10"/>
              <w:numPr>
                <w:ilvl w:val="0"/>
                <w:numId w:val="0"/>
              </w:numPr>
              <w:rPr>
                <w:rFonts w:hint="eastAsia"/>
                <w:highlight w:val="none"/>
                <w:lang w:val="en-US" w:eastAsia="zh-CN"/>
              </w:rPr>
            </w:pPr>
          </w:p>
          <w:p w14:paraId="14D46D95">
            <w:pPr>
              <w:pStyle w:val="10"/>
              <w:numPr>
                <w:ilvl w:val="0"/>
                <w:numId w:val="0"/>
              </w:numPr>
              <w:rPr>
                <w:rFonts w:hint="eastAsia"/>
                <w:highlight w:val="none"/>
                <w:lang w:val="en-US" w:eastAsia="zh-CN"/>
              </w:rPr>
            </w:pPr>
          </w:p>
          <w:p w14:paraId="6615CE78">
            <w:pPr>
              <w:pStyle w:val="10"/>
              <w:numPr>
                <w:ilvl w:val="0"/>
                <w:numId w:val="0"/>
              </w:numPr>
              <w:rPr>
                <w:rFonts w:hint="eastAsia"/>
                <w:highlight w:val="none"/>
                <w:lang w:val="en-US" w:eastAsia="zh-CN"/>
              </w:rPr>
            </w:pPr>
          </w:p>
          <w:p w14:paraId="57960F22">
            <w:pPr>
              <w:pStyle w:val="10"/>
              <w:numPr>
                <w:ilvl w:val="0"/>
                <w:numId w:val="0"/>
              </w:numPr>
              <w:rPr>
                <w:rFonts w:hint="eastAsia"/>
                <w:highlight w:val="none"/>
                <w:lang w:val="en-US" w:eastAsia="zh-CN"/>
              </w:rPr>
            </w:pPr>
          </w:p>
          <w:p w14:paraId="6A366E1E">
            <w:pPr>
              <w:pStyle w:val="10"/>
              <w:numPr>
                <w:ilvl w:val="0"/>
                <w:numId w:val="0"/>
              </w:numPr>
              <w:rPr>
                <w:rFonts w:hint="eastAsia"/>
                <w:highlight w:val="none"/>
                <w:lang w:val="en-US" w:eastAsia="zh-CN"/>
              </w:rPr>
            </w:pPr>
          </w:p>
          <w:p w14:paraId="201FC25F">
            <w:pPr>
              <w:pStyle w:val="10"/>
              <w:numPr>
                <w:ilvl w:val="0"/>
                <w:numId w:val="0"/>
              </w:numPr>
              <w:rPr>
                <w:rFonts w:hint="eastAsia" w:eastAsiaTheme="minorEastAsia"/>
                <w:highlight w:val="none"/>
                <w:lang w:val="en-US" w:eastAsia="zh-CN"/>
              </w:rPr>
            </w:pPr>
            <w:r>
              <w:rPr>
                <w:rFonts w:hint="eastAsia"/>
                <w:highlight w:val="none"/>
                <w:lang w:val="en-US" w:eastAsia="zh-CN"/>
              </w:rPr>
              <w:t>台</w:t>
            </w:r>
          </w:p>
        </w:tc>
        <w:tc>
          <w:tcPr>
            <w:tcW w:w="512" w:type="dxa"/>
          </w:tcPr>
          <w:p w14:paraId="49522308">
            <w:pPr>
              <w:pStyle w:val="10"/>
              <w:numPr>
                <w:ilvl w:val="0"/>
                <w:numId w:val="0"/>
              </w:numPr>
              <w:rPr>
                <w:rFonts w:hint="eastAsia"/>
                <w:highlight w:val="none"/>
                <w:lang w:val="en-US" w:eastAsia="zh-CN"/>
              </w:rPr>
            </w:pPr>
          </w:p>
          <w:p w14:paraId="03802494">
            <w:pPr>
              <w:pStyle w:val="10"/>
              <w:numPr>
                <w:ilvl w:val="0"/>
                <w:numId w:val="0"/>
              </w:numPr>
              <w:rPr>
                <w:rFonts w:hint="eastAsia"/>
                <w:highlight w:val="none"/>
                <w:lang w:val="en-US" w:eastAsia="zh-CN"/>
              </w:rPr>
            </w:pPr>
          </w:p>
          <w:p w14:paraId="2BA07249">
            <w:pPr>
              <w:pStyle w:val="10"/>
              <w:numPr>
                <w:ilvl w:val="0"/>
                <w:numId w:val="0"/>
              </w:numPr>
              <w:rPr>
                <w:rFonts w:hint="eastAsia"/>
                <w:highlight w:val="none"/>
                <w:lang w:val="en-US" w:eastAsia="zh-CN"/>
              </w:rPr>
            </w:pPr>
          </w:p>
          <w:p w14:paraId="0386D052">
            <w:pPr>
              <w:pStyle w:val="10"/>
              <w:numPr>
                <w:ilvl w:val="0"/>
                <w:numId w:val="0"/>
              </w:numPr>
              <w:rPr>
                <w:rFonts w:hint="eastAsia"/>
                <w:highlight w:val="none"/>
                <w:lang w:val="en-US" w:eastAsia="zh-CN"/>
              </w:rPr>
            </w:pPr>
          </w:p>
          <w:p w14:paraId="7297767C">
            <w:pPr>
              <w:pStyle w:val="10"/>
              <w:numPr>
                <w:ilvl w:val="0"/>
                <w:numId w:val="0"/>
              </w:numPr>
              <w:rPr>
                <w:rFonts w:hint="eastAsia"/>
                <w:highlight w:val="none"/>
                <w:lang w:val="en-US" w:eastAsia="zh-CN"/>
              </w:rPr>
            </w:pPr>
          </w:p>
          <w:p w14:paraId="0CD2AFFC">
            <w:pPr>
              <w:pStyle w:val="10"/>
              <w:numPr>
                <w:ilvl w:val="0"/>
                <w:numId w:val="0"/>
              </w:numPr>
              <w:rPr>
                <w:rFonts w:hint="eastAsia"/>
                <w:highlight w:val="none"/>
                <w:lang w:val="en-US" w:eastAsia="zh-CN"/>
              </w:rPr>
            </w:pPr>
          </w:p>
          <w:p w14:paraId="742BC52F">
            <w:pPr>
              <w:pStyle w:val="10"/>
              <w:numPr>
                <w:ilvl w:val="0"/>
                <w:numId w:val="0"/>
              </w:numPr>
              <w:rPr>
                <w:rFonts w:hint="eastAsia"/>
                <w:highlight w:val="none"/>
                <w:lang w:val="en-US" w:eastAsia="zh-CN"/>
              </w:rPr>
            </w:pPr>
            <w:r>
              <w:rPr>
                <w:rFonts w:hint="eastAsia"/>
                <w:highlight w:val="none"/>
                <w:lang w:val="en-US" w:eastAsia="zh-CN"/>
              </w:rPr>
              <w:t>1</w:t>
            </w:r>
          </w:p>
          <w:p w14:paraId="5498CE51">
            <w:pPr>
              <w:bidi w:val="0"/>
              <w:ind w:firstLine="267" w:firstLineChars="0"/>
              <w:jc w:val="left"/>
              <w:rPr>
                <w:rFonts w:hint="default"/>
                <w:highlight w:val="none"/>
                <w:lang w:val="en-US" w:eastAsia="zh-CN"/>
              </w:rPr>
            </w:pPr>
          </w:p>
        </w:tc>
      </w:tr>
      <w:tr w14:paraId="6306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E84150C">
            <w:pPr>
              <w:spacing w:line="240" w:lineRule="exact"/>
              <w:jc w:val="center"/>
              <w:textAlignment w:val="baseline"/>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2</w:t>
            </w:r>
          </w:p>
        </w:tc>
        <w:tc>
          <w:tcPr>
            <w:tcW w:w="1795" w:type="dxa"/>
            <w:vAlign w:val="center"/>
          </w:tcPr>
          <w:p w14:paraId="75D9AF0C">
            <w:pPr>
              <w:widowControl/>
              <w:spacing w:line="240" w:lineRule="exact"/>
              <w:jc w:val="center"/>
              <w:textAlignment w:val="center"/>
              <w:rPr>
                <w:rFonts w:ascii="宋体" w:hAnsi="宋体" w:cs="宋体"/>
                <w:sz w:val="21"/>
                <w:szCs w:val="21"/>
                <w:highlight w:val="none"/>
              </w:rPr>
            </w:pPr>
            <w:r>
              <w:rPr>
                <w:rFonts w:hint="eastAsia" w:ascii="宋体" w:hAnsi="宋体" w:cs="宋体"/>
                <w:sz w:val="21"/>
                <w:szCs w:val="21"/>
                <w:highlight w:val="none"/>
                <w:lang w:val="en-US" w:eastAsia="zh-CN"/>
              </w:rPr>
              <w:t>多导睡眠监测仪</w:t>
            </w:r>
          </w:p>
        </w:tc>
        <w:tc>
          <w:tcPr>
            <w:tcW w:w="6039" w:type="dxa"/>
          </w:tcPr>
          <w:p w14:paraId="2F4DBCFF">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GB"/>
              </w:rPr>
              <w:t>1、设备适用于儿童及成人</w:t>
            </w:r>
            <w:r>
              <w:rPr>
                <w:rFonts w:hint="eastAsia" w:ascii="宋体" w:hAnsi="宋体" w:eastAsia="宋体" w:cs="宋体"/>
                <w:sz w:val="21"/>
                <w:szCs w:val="21"/>
                <w:highlight w:val="none"/>
                <w:lang w:val="en-US" w:eastAsia="zh-CN"/>
              </w:rPr>
              <w:t>的睡眠呼吸暂停的筛查评估。</w:t>
            </w:r>
          </w:p>
          <w:p w14:paraId="1A2AA4C1">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GB"/>
              </w:rPr>
              <w:t>2、</w:t>
            </w:r>
            <w:r>
              <w:rPr>
                <w:rFonts w:hint="eastAsia" w:ascii="宋体" w:hAnsi="宋体" w:eastAsia="宋体" w:cs="宋体"/>
                <w:sz w:val="21"/>
                <w:szCs w:val="21"/>
                <w:highlight w:val="none"/>
              </w:rPr>
              <w:t>设备</w:t>
            </w:r>
            <w:r>
              <w:rPr>
                <w:rFonts w:hint="eastAsia" w:ascii="宋体" w:hAnsi="宋体" w:eastAsia="宋体" w:cs="宋体"/>
                <w:sz w:val="21"/>
                <w:szCs w:val="21"/>
                <w:highlight w:val="none"/>
                <w:lang w:val="en-US" w:eastAsia="zh-CN"/>
              </w:rPr>
              <w:t>可实时监测内容</w:t>
            </w:r>
            <w:r>
              <w:rPr>
                <w:rFonts w:hint="eastAsia" w:ascii="宋体" w:hAnsi="宋体" w:eastAsia="宋体" w:cs="宋体"/>
                <w:sz w:val="21"/>
                <w:szCs w:val="21"/>
                <w:highlight w:val="none"/>
                <w:lang w:val="en-GB"/>
              </w:rPr>
              <w:t>，包括呼吸气流（口鼻气流压力和口鼻气流热敏）、胸腹呼吸（独立RIP胸导联、独立RIP腹导联）、脉搏血氧饱和度、脉率、脉搏波、体位、体动、压力鼾声、麦克风鼾声、环境光、主动事件标记、双色工作指示灯</w:t>
            </w:r>
            <w:r>
              <w:rPr>
                <w:rFonts w:hint="eastAsia" w:ascii="宋体" w:hAnsi="宋体" w:eastAsia="宋体" w:cs="宋体"/>
                <w:sz w:val="21"/>
                <w:szCs w:val="21"/>
                <w:highlight w:val="none"/>
                <w:lang w:val="en-GB" w:eastAsia="zh-CN"/>
              </w:rPr>
              <w:t>、</w:t>
            </w:r>
            <w:r>
              <w:rPr>
                <w:rFonts w:hint="eastAsia" w:ascii="宋体" w:hAnsi="宋体" w:eastAsia="宋体" w:cs="宋体"/>
                <w:sz w:val="21"/>
                <w:szCs w:val="21"/>
                <w:highlight w:val="none"/>
                <w:lang w:val="en-US" w:eastAsia="zh-CN"/>
              </w:rPr>
              <w:t>可升级无线远程传输功能等</w:t>
            </w:r>
            <w:r>
              <w:rPr>
                <w:rFonts w:hint="eastAsia" w:ascii="宋体" w:hAnsi="宋体" w:eastAsia="宋体" w:cs="宋体"/>
                <w:sz w:val="21"/>
                <w:szCs w:val="21"/>
                <w:highlight w:val="none"/>
                <w:lang w:val="en-GB"/>
              </w:rPr>
              <w:t>参数。</w:t>
            </w:r>
          </w:p>
          <w:p w14:paraId="282B4476">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GB"/>
              </w:rPr>
              <w:t>、主机重量≤</w:t>
            </w:r>
            <w:r>
              <w:rPr>
                <w:rFonts w:hint="eastAsia" w:ascii="宋体" w:hAnsi="宋体" w:eastAsia="宋体" w:cs="宋体"/>
                <w:sz w:val="21"/>
                <w:szCs w:val="21"/>
                <w:highlight w:val="none"/>
                <w:lang w:val="en-US" w:eastAsia="zh-CN"/>
              </w:rPr>
              <w:t>85</w:t>
            </w:r>
            <w:r>
              <w:rPr>
                <w:rFonts w:hint="eastAsia" w:ascii="宋体" w:hAnsi="宋体" w:eastAsia="宋体" w:cs="宋体"/>
                <w:sz w:val="21"/>
                <w:szCs w:val="21"/>
                <w:highlight w:val="none"/>
              </w:rPr>
              <w:t>g</w:t>
            </w:r>
            <w:r>
              <w:rPr>
                <w:rFonts w:hint="eastAsia" w:ascii="宋体" w:hAnsi="宋体" w:eastAsia="宋体" w:cs="宋体"/>
                <w:sz w:val="21"/>
                <w:szCs w:val="21"/>
                <w:highlight w:val="none"/>
                <w:lang w:val="en-GB"/>
              </w:rPr>
              <w:t>（带电池）。</w:t>
            </w:r>
          </w:p>
          <w:p w14:paraId="1A3A1F7E">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GB"/>
              </w:rPr>
              <w:t>、设备腕部主机具备全彩液晶内屏，可显示记录状态、蓝牙状态、电池电量、受试者信息、设备版本号等信息，同时具备物理按键，用于患者主动标记事件。</w:t>
            </w:r>
          </w:p>
          <w:p w14:paraId="34D76970">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GB"/>
              </w:rPr>
              <w:t>、设备具有环境光监测功能采用内置锂电池供电，实时监测模式下续航时间≥24小时。</w:t>
            </w:r>
          </w:p>
          <w:p w14:paraId="4934ADED">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GB"/>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GB"/>
              </w:rPr>
              <w:t>、主机内置双蓝牙模块</w:t>
            </w:r>
          </w:p>
          <w:p w14:paraId="11CDA304">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7医生可在佩戴者居家监测过程中，可升级通过远程软件实时查看佩戴者的睡眠数据波形以及压力滴定波形，实时掌握佩戴者的数据情况，确保数据完整、真实、有效。</w:t>
            </w:r>
          </w:p>
          <w:p w14:paraId="2E1A156C">
            <w:pPr>
              <w:keepNext w:val="0"/>
              <w:keepLines w:val="0"/>
              <w:pageBreakBefore w:val="0"/>
              <w:numPr>
                <w:ilvl w:val="0"/>
                <w:numId w:val="0"/>
              </w:numPr>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GB" w:eastAsia="zh-CN"/>
              </w:rPr>
            </w:pPr>
            <w:r>
              <w:rPr>
                <w:rFonts w:hint="eastAsia" w:ascii="宋体" w:hAnsi="宋体" w:eastAsia="宋体" w:cs="宋体"/>
                <w:kern w:val="2"/>
                <w:sz w:val="21"/>
                <w:szCs w:val="21"/>
                <w:highlight w:val="none"/>
                <w:lang w:val="en-GB" w:eastAsia="zh-CN" w:bidi="ar-SA"/>
              </w:rPr>
              <w:t>8、</w:t>
            </w:r>
            <w:r>
              <w:rPr>
                <w:rFonts w:hint="eastAsia" w:ascii="宋体" w:hAnsi="宋体" w:eastAsia="宋体" w:cs="宋体"/>
                <w:sz w:val="21"/>
                <w:szCs w:val="21"/>
                <w:highlight w:val="none"/>
                <w:lang w:val="en-GB"/>
              </w:rPr>
              <w:t>设备存储并保留连续三个患者的睡眠数据，同时在分析软件中依次下载这三位患者数据进行分析</w:t>
            </w:r>
            <w:r>
              <w:rPr>
                <w:rFonts w:hint="eastAsia" w:ascii="宋体" w:hAnsi="宋体" w:eastAsia="宋体" w:cs="宋体"/>
                <w:sz w:val="21"/>
                <w:szCs w:val="21"/>
                <w:highlight w:val="none"/>
                <w:lang w:val="en-GB" w:eastAsia="zh-CN"/>
              </w:rPr>
              <w:t>。</w:t>
            </w:r>
          </w:p>
          <w:p w14:paraId="3980287F">
            <w:pPr>
              <w:keepNext w:val="0"/>
              <w:keepLines w:val="0"/>
              <w:pageBreakBefore w:val="0"/>
              <w:numPr>
                <w:ilvl w:val="0"/>
                <w:numId w:val="0"/>
              </w:numPr>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9、RIP-sum/RIP-flow算法可模拟口鼻气流信号，可替代鼻气流压力通道，确保口鼻气流脱落后信号依旧完整，可出具完整的监测报告。</w:t>
            </w:r>
          </w:p>
          <w:p w14:paraId="50E6CAAB">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GB"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val="en-GB"/>
              </w:rPr>
              <w:t>软件具有一键导出不同病例患者的各项监测生理指标至Excel中</w:t>
            </w:r>
            <w:r>
              <w:rPr>
                <w:rFonts w:hint="eastAsia" w:ascii="宋体" w:hAnsi="宋体" w:eastAsia="宋体" w:cs="宋体"/>
                <w:sz w:val="21"/>
                <w:szCs w:val="21"/>
                <w:highlight w:val="none"/>
                <w:lang w:val="en-GB" w:eastAsia="zh-CN"/>
              </w:rPr>
              <w:t>，</w:t>
            </w:r>
            <w:r>
              <w:rPr>
                <w:rFonts w:hint="eastAsia" w:ascii="宋体" w:hAnsi="宋体" w:eastAsia="宋体" w:cs="宋体"/>
                <w:sz w:val="21"/>
                <w:szCs w:val="21"/>
                <w:highlight w:val="none"/>
                <w:lang w:val="en-GB"/>
              </w:rPr>
              <w:t>采用国际通用EDF格式</w:t>
            </w:r>
            <w:r>
              <w:rPr>
                <w:rFonts w:hint="eastAsia" w:ascii="宋体" w:hAnsi="宋体" w:eastAsia="宋体" w:cs="宋体"/>
                <w:sz w:val="21"/>
                <w:szCs w:val="21"/>
                <w:highlight w:val="none"/>
                <w:lang w:val="en-GB" w:eastAsia="zh-CN"/>
              </w:rPr>
              <w:t>，</w:t>
            </w:r>
            <w:r>
              <w:rPr>
                <w:rFonts w:hint="eastAsia" w:ascii="宋体" w:hAnsi="宋体" w:eastAsia="宋体" w:cs="宋体"/>
                <w:sz w:val="21"/>
                <w:szCs w:val="21"/>
                <w:highlight w:val="none"/>
                <w:lang w:val="en-GB"/>
              </w:rPr>
              <w:t>患者报告可导出为WORD、EXCEL、PDF格式</w:t>
            </w:r>
            <w:r>
              <w:rPr>
                <w:rFonts w:hint="eastAsia" w:ascii="宋体" w:hAnsi="宋体" w:eastAsia="宋体" w:cs="宋体"/>
                <w:sz w:val="21"/>
                <w:szCs w:val="21"/>
                <w:highlight w:val="none"/>
                <w:lang w:val="en-GB" w:eastAsia="zh-CN"/>
              </w:rPr>
              <w:t>。</w:t>
            </w:r>
          </w:p>
          <w:p w14:paraId="7C488F8A">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lang w:val="en-GB"/>
              </w:rPr>
              <w:t>、</w:t>
            </w:r>
            <w:r>
              <w:rPr>
                <w:rFonts w:hint="eastAsia" w:ascii="宋体" w:hAnsi="宋体" w:eastAsia="宋体" w:cs="宋体"/>
                <w:sz w:val="21"/>
                <w:szCs w:val="21"/>
                <w:highlight w:val="none"/>
                <w:lang w:val="en-US" w:eastAsia="zh-CN"/>
              </w:rPr>
              <w:t>具备热敏传感器。</w:t>
            </w:r>
          </w:p>
          <w:p w14:paraId="7CD80FFE">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lang w:val="en-GB"/>
              </w:rPr>
              <w:t>、设备具备硅胶指套、硅胶戒指等多种</w:t>
            </w:r>
            <w:r>
              <w:rPr>
                <w:rFonts w:hint="eastAsia" w:ascii="宋体" w:hAnsi="宋体" w:eastAsia="宋体" w:cs="宋体"/>
                <w:sz w:val="21"/>
                <w:szCs w:val="21"/>
                <w:highlight w:val="none"/>
                <w:lang w:val="en-US" w:eastAsia="zh-CN"/>
              </w:rPr>
              <w:t>规格</w:t>
            </w:r>
            <w:r>
              <w:rPr>
                <w:rFonts w:hint="eastAsia" w:ascii="宋体" w:hAnsi="宋体" w:eastAsia="宋体" w:cs="宋体"/>
                <w:sz w:val="21"/>
                <w:szCs w:val="21"/>
                <w:highlight w:val="none"/>
                <w:lang w:val="en-GB"/>
              </w:rPr>
              <w:t>血氧传感器</w:t>
            </w:r>
            <w:r>
              <w:rPr>
                <w:rFonts w:hint="eastAsia" w:ascii="宋体" w:hAnsi="宋体" w:eastAsia="宋体" w:cs="宋体"/>
                <w:sz w:val="21"/>
                <w:szCs w:val="21"/>
                <w:highlight w:val="none"/>
                <w:lang w:val="en-GB" w:eastAsia="zh-CN"/>
              </w:rPr>
              <w:t>。</w:t>
            </w:r>
          </w:p>
        </w:tc>
        <w:tc>
          <w:tcPr>
            <w:tcW w:w="512" w:type="dxa"/>
            <w:vAlign w:val="center"/>
          </w:tcPr>
          <w:p w14:paraId="540A6763">
            <w:pPr>
              <w:jc w:val="center"/>
              <w:textAlignment w:val="baseline"/>
              <w:rPr>
                <w:rFonts w:hint="eastAsia" w:eastAsiaTheme="minorEastAsia"/>
                <w:highlight w:val="none"/>
                <w:lang w:val="en-US" w:eastAsia="zh-CN"/>
              </w:rPr>
            </w:pPr>
            <w:r>
              <w:rPr>
                <w:rFonts w:hint="eastAsia"/>
                <w:highlight w:val="none"/>
                <w:lang w:val="en-US" w:eastAsia="zh-CN"/>
              </w:rPr>
              <w:t>台</w:t>
            </w:r>
          </w:p>
        </w:tc>
        <w:tc>
          <w:tcPr>
            <w:tcW w:w="512" w:type="dxa"/>
            <w:vAlign w:val="center"/>
          </w:tcPr>
          <w:p w14:paraId="6B4B1742">
            <w:pPr>
              <w:jc w:val="center"/>
              <w:textAlignment w:val="baseline"/>
              <w:rPr>
                <w:rFonts w:hint="eastAsia" w:eastAsiaTheme="minorEastAsia"/>
                <w:highlight w:val="none"/>
                <w:lang w:val="en-US" w:eastAsia="zh-CN"/>
              </w:rPr>
            </w:pPr>
            <w:r>
              <w:rPr>
                <w:rFonts w:hint="eastAsia"/>
                <w:highlight w:val="none"/>
                <w:lang w:val="en-US" w:eastAsia="zh-CN"/>
              </w:rPr>
              <w:t>5</w:t>
            </w:r>
          </w:p>
        </w:tc>
      </w:tr>
      <w:tr w14:paraId="6E2A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D91217A">
            <w:pPr>
              <w:spacing w:line="240" w:lineRule="exact"/>
              <w:jc w:val="center"/>
              <w:textAlignment w:val="baseline"/>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3</w:t>
            </w:r>
          </w:p>
        </w:tc>
        <w:tc>
          <w:tcPr>
            <w:tcW w:w="1795" w:type="dxa"/>
            <w:vAlign w:val="center"/>
          </w:tcPr>
          <w:p w14:paraId="55D4155A">
            <w:pPr>
              <w:widowControl/>
              <w:spacing w:line="240" w:lineRule="exact"/>
              <w:jc w:val="center"/>
              <w:textAlignment w:val="center"/>
              <w:rPr>
                <w:rFonts w:ascii="宋体" w:hAnsi="宋体" w:cs="宋体"/>
                <w:bCs/>
                <w:kern w:val="0"/>
                <w:sz w:val="21"/>
                <w:szCs w:val="21"/>
                <w:highlight w:val="none"/>
              </w:rPr>
            </w:pPr>
            <w:r>
              <w:rPr>
                <w:rFonts w:hint="eastAsia" w:ascii="宋体" w:hAnsi="宋体" w:cs="宋体"/>
                <w:bCs/>
                <w:kern w:val="0"/>
                <w:sz w:val="21"/>
                <w:szCs w:val="21"/>
                <w:highlight w:val="none"/>
                <w:lang w:val="en-US" w:eastAsia="zh-CN"/>
              </w:rPr>
              <w:t>经颅磁治疗仪</w:t>
            </w:r>
          </w:p>
        </w:tc>
        <w:tc>
          <w:tcPr>
            <w:tcW w:w="6039" w:type="dxa"/>
          </w:tcPr>
          <w:p w14:paraId="05DF4578">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硬件</w:t>
            </w:r>
          </w:p>
          <w:p w14:paraId="2483BF97">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冷却系统：高效</w:t>
            </w:r>
            <w:r>
              <w:rPr>
                <w:rFonts w:hint="eastAsia" w:ascii="宋体" w:hAnsi="宋体" w:eastAsia="宋体" w:cs="宋体"/>
                <w:color w:val="auto"/>
                <w:sz w:val="21"/>
                <w:szCs w:val="21"/>
                <w:highlight w:val="none"/>
                <w:lang w:val="en-US" w:eastAsia="zh-CN"/>
              </w:rPr>
              <w:t>变频</w:t>
            </w:r>
            <w:r>
              <w:rPr>
                <w:rFonts w:hint="eastAsia" w:ascii="宋体" w:hAnsi="宋体" w:eastAsia="宋体" w:cs="宋体"/>
                <w:color w:val="auto"/>
                <w:sz w:val="21"/>
                <w:szCs w:val="21"/>
                <w:highlight w:val="none"/>
              </w:rPr>
              <w:t>智能液冷</w:t>
            </w:r>
            <w:r>
              <w:rPr>
                <w:rFonts w:hint="eastAsia" w:ascii="宋体" w:hAnsi="宋体" w:eastAsia="宋体" w:cs="宋体"/>
                <w:color w:val="auto"/>
                <w:sz w:val="21"/>
                <w:szCs w:val="21"/>
                <w:highlight w:val="none"/>
                <w:lang w:val="en-US" w:eastAsia="zh-CN"/>
              </w:rPr>
              <w:t>一体式</w:t>
            </w:r>
            <w:r>
              <w:rPr>
                <w:rFonts w:hint="eastAsia" w:ascii="宋体" w:hAnsi="宋体" w:eastAsia="宋体" w:cs="宋体"/>
                <w:color w:val="auto"/>
                <w:sz w:val="21"/>
                <w:szCs w:val="21"/>
                <w:highlight w:val="none"/>
              </w:rPr>
              <w:t>散热系统；</w:t>
            </w:r>
          </w:p>
          <w:p w14:paraId="540CD9FB">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在100%刺激强度（6T）下采用模式化脉冲（TBS）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磁刺激仪可以连续24h持续刺激输出（需提供证明材料）；</w:t>
            </w:r>
          </w:p>
          <w:p w14:paraId="645CF784">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在工作条件下，磁刺激仪可以连续24h持续刺激输出；</w:t>
            </w:r>
            <w:r>
              <w:rPr>
                <w:rFonts w:hint="eastAsia" w:ascii="宋体" w:hAnsi="宋体" w:eastAsia="宋体" w:cs="宋体"/>
                <w:color w:val="auto"/>
                <w:sz w:val="21"/>
                <w:szCs w:val="21"/>
                <w:highlight w:val="none"/>
                <w:lang w:val="en-US" w:eastAsia="zh-CN"/>
              </w:rPr>
              <w:t>当冷却系统发生故障时，有提示或停止磁场输出；（需提供证明材料）。</w:t>
            </w:r>
          </w:p>
          <w:p w14:paraId="5BD22BE4">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标配两个蝶形刺激线圈，支持</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rPr>
              <w:t>线圈组合方案刺激</w:t>
            </w:r>
            <w:r>
              <w:rPr>
                <w:rFonts w:hint="eastAsia" w:ascii="宋体" w:hAnsi="宋体" w:eastAsia="宋体" w:cs="宋体"/>
                <w:color w:val="auto"/>
                <w:sz w:val="21"/>
                <w:szCs w:val="21"/>
                <w:highlight w:val="none"/>
                <w:lang w:val="en-US" w:eastAsia="zh-CN"/>
              </w:rPr>
              <w:t>，刺激线圈具备温度显示、磁场强度等至少二种显示功能，</w:t>
            </w:r>
            <w:r>
              <w:rPr>
                <w:rFonts w:hint="eastAsia" w:ascii="宋体" w:hAnsi="宋体" w:eastAsia="宋体" w:cs="宋体"/>
                <w:color w:val="auto"/>
                <w:sz w:val="21"/>
                <w:szCs w:val="21"/>
                <w:highlight w:val="none"/>
                <w:lang w:eastAsia="zh-CN"/>
              </w:rPr>
              <w:t>方便治疗师</w:t>
            </w:r>
            <w:r>
              <w:rPr>
                <w:rFonts w:hint="eastAsia" w:ascii="宋体" w:hAnsi="宋体" w:eastAsia="宋体" w:cs="宋体"/>
                <w:color w:val="auto"/>
                <w:sz w:val="21"/>
                <w:szCs w:val="21"/>
                <w:highlight w:val="none"/>
                <w:lang w:val="en-US" w:eastAsia="zh-CN"/>
              </w:rPr>
              <w:t>实时</w:t>
            </w:r>
            <w:r>
              <w:rPr>
                <w:rFonts w:hint="eastAsia" w:ascii="宋体" w:hAnsi="宋体" w:eastAsia="宋体" w:cs="宋体"/>
                <w:color w:val="auto"/>
                <w:sz w:val="21"/>
                <w:szCs w:val="21"/>
                <w:highlight w:val="none"/>
                <w:lang w:eastAsia="zh-CN"/>
              </w:rPr>
              <w:t>了解</w:t>
            </w:r>
            <w:r>
              <w:rPr>
                <w:rFonts w:hint="eastAsia" w:ascii="宋体" w:hAnsi="宋体" w:eastAsia="宋体" w:cs="宋体"/>
                <w:color w:val="auto"/>
                <w:sz w:val="21"/>
                <w:szCs w:val="21"/>
                <w:highlight w:val="none"/>
                <w:lang w:val="en-US" w:eastAsia="zh-CN"/>
              </w:rPr>
              <w:t>线圈温度与磁场强度，</w:t>
            </w:r>
            <w:r>
              <w:rPr>
                <w:rFonts w:hint="eastAsia" w:ascii="宋体" w:hAnsi="宋体" w:eastAsia="宋体" w:cs="宋体"/>
                <w:color w:val="auto"/>
                <w:sz w:val="21"/>
                <w:szCs w:val="21"/>
                <w:highlight w:val="none"/>
                <w:lang w:eastAsia="zh-CN"/>
              </w:rPr>
              <w:t>确保治疗安全性（</w:t>
            </w:r>
            <w:r>
              <w:rPr>
                <w:rFonts w:hint="eastAsia" w:ascii="宋体" w:hAnsi="宋体" w:eastAsia="宋体" w:cs="宋体"/>
                <w:color w:val="auto"/>
                <w:sz w:val="21"/>
                <w:szCs w:val="21"/>
                <w:highlight w:val="none"/>
                <w:lang w:val="en-US" w:eastAsia="zh-CN"/>
              </w:rPr>
              <w:t>需提供实物图验证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p>
          <w:p w14:paraId="754223F0">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5、两个刺激线圈可以独立工作进行单拍刺激，也可进行双拍联动成对刺激，双线圈成对脉冲最小时间间隔0ms，可调0.1ms；</w:t>
            </w:r>
          </w:p>
          <w:p w14:paraId="0E855A76">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bookmarkStart w:id="7" w:name="OLE_LINK15"/>
            <w:bookmarkStart w:id="8" w:name="OLE_LINK27"/>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磁刺激线圈表面温度≤</w:t>
            </w:r>
            <w:bookmarkStart w:id="9" w:name="OLE_LINK39"/>
            <w:r>
              <w:rPr>
                <w:rFonts w:hint="eastAsia" w:ascii="宋体" w:hAnsi="宋体" w:eastAsia="宋体" w:cs="宋体"/>
                <w:color w:val="auto"/>
                <w:sz w:val="21"/>
                <w:szCs w:val="21"/>
                <w:highlight w:val="none"/>
              </w:rPr>
              <w:t>40</w:t>
            </w:r>
            <w:bookmarkStart w:id="10" w:name="OLE_LINK24"/>
            <w:r>
              <w:rPr>
                <w:rFonts w:hint="eastAsia" w:ascii="宋体" w:hAnsi="宋体" w:eastAsia="宋体" w:cs="宋体"/>
                <w:color w:val="auto"/>
                <w:sz w:val="21"/>
                <w:szCs w:val="21"/>
                <w:highlight w:val="none"/>
              </w:rPr>
              <w:t>℃</w:t>
            </w:r>
            <w:bookmarkEnd w:id="7"/>
            <w:bookmarkEnd w:id="9"/>
            <w:bookmarkEnd w:id="1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当刺激线圈温度超过</w:t>
            </w:r>
            <w:bookmarkEnd w:id="8"/>
            <w:r>
              <w:rPr>
                <w:rFonts w:hint="eastAsia" w:ascii="宋体" w:hAnsi="宋体" w:eastAsia="宋体" w:cs="宋体"/>
                <w:color w:val="auto"/>
                <w:sz w:val="21"/>
                <w:szCs w:val="21"/>
                <w:highlight w:val="none"/>
                <w:lang w:val="en-US" w:eastAsia="zh-CN"/>
              </w:rPr>
              <w:t>该温度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磁刺激仪应自动停止刺激输出；</w:t>
            </w:r>
          </w:p>
          <w:p w14:paraId="706EF0C5">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标配运动诱发电位</w:t>
            </w:r>
            <w:r>
              <w:rPr>
                <w:rFonts w:hint="eastAsia" w:ascii="宋体" w:hAnsi="宋体" w:eastAsia="宋体" w:cs="宋体"/>
                <w:color w:val="auto"/>
                <w:sz w:val="21"/>
                <w:szCs w:val="21"/>
                <w:highlight w:val="none"/>
                <w:lang w:val="en-US" w:eastAsia="zh-CN"/>
              </w:rPr>
              <w:t>检查</w:t>
            </w:r>
            <w:r>
              <w:rPr>
                <w:rFonts w:hint="eastAsia" w:ascii="宋体" w:hAnsi="宋体" w:eastAsia="宋体" w:cs="宋体"/>
                <w:color w:val="auto"/>
                <w:sz w:val="21"/>
                <w:szCs w:val="21"/>
                <w:highlight w:val="none"/>
              </w:rPr>
              <w:t>模块：可实时同步记录多靶肌MEP，可用于在治疗中进行电生理安全监测</w:t>
            </w:r>
            <w:r>
              <w:rPr>
                <w:rFonts w:hint="eastAsia" w:ascii="宋体" w:hAnsi="宋体" w:eastAsia="宋体" w:cs="宋体"/>
                <w:color w:val="auto"/>
                <w:sz w:val="21"/>
                <w:szCs w:val="21"/>
                <w:highlight w:val="none"/>
                <w:lang w:eastAsia="zh-CN"/>
              </w:rPr>
              <w:t>；</w:t>
            </w:r>
          </w:p>
          <w:p w14:paraId="5D47DAF1">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8、刺激线圈上具有强度调节按键与触发刺激按键，可调节刺激强度和触发刺激，方便临床快速检测运动阈值；</w:t>
            </w:r>
          </w:p>
          <w:p w14:paraId="64F6B38D">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标配二套触控式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触摸屏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一体机，一体机与工作站紧密固定，非笔记本直接放置在台面上，无跌落风险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以设备图片为准</w:t>
            </w:r>
            <w:r>
              <w:rPr>
                <w:rFonts w:hint="eastAsia" w:ascii="宋体" w:hAnsi="宋体" w:eastAsia="宋体" w:cs="宋体"/>
                <w:color w:val="auto"/>
                <w:sz w:val="21"/>
                <w:szCs w:val="21"/>
                <w:highlight w:val="none"/>
                <w:lang w:val="en-US" w:eastAsia="zh-CN"/>
              </w:rPr>
              <w:t>；</w:t>
            </w:r>
          </w:p>
          <w:p w14:paraId="13E617D8">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10、开放式设计平台，具备延时触发功能；提供触发输入输出通用接口，可用于连接其他设备如电刺激、EMG、近红外、导航等；</w:t>
            </w:r>
          </w:p>
          <w:p w14:paraId="2983178D">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11、支持电容放电计数功能，并能够在软件中显示</w:t>
            </w:r>
            <w:r>
              <w:rPr>
                <w:rFonts w:hint="eastAsia" w:ascii="宋体" w:hAnsi="宋体" w:eastAsia="宋体" w:cs="宋体"/>
                <w:color w:val="auto"/>
                <w:sz w:val="21"/>
                <w:szCs w:val="21"/>
                <w:highlight w:val="none"/>
              </w:rPr>
              <w:t>（需提供证明材料）</w:t>
            </w:r>
            <w:r>
              <w:rPr>
                <w:rFonts w:hint="eastAsia" w:ascii="宋体" w:hAnsi="宋体" w:eastAsia="宋体" w:cs="宋体"/>
                <w:color w:val="auto"/>
                <w:sz w:val="21"/>
                <w:szCs w:val="21"/>
                <w:highlight w:val="none"/>
                <w:lang w:val="en-US" w:eastAsia="zh-CN"/>
              </w:rPr>
              <w:t>；</w:t>
            </w:r>
          </w:p>
          <w:p w14:paraId="4B8951A3">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12、高品质恒定电容（一亿次脉冲输出）；</w:t>
            </w:r>
          </w:p>
          <w:p w14:paraId="047EA6D8">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标配二套：冷却主机与刺激主机，冷却主机与刺激主机分体式设计，确保电液分离，无漏液风险，同时便于后期维护；</w:t>
            </w:r>
          </w:p>
          <w:p w14:paraId="0F94792B">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14、使用期限（使用寿命）≥10年。</w:t>
            </w:r>
          </w:p>
          <w:p w14:paraId="42578C3E">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（二）主机技术指</w:t>
            </w:r>
            <w:r>
              <w:rPr>
                <w:rFonts w:hint="eastAsia" w:ascii="宋体" w:hAnsi="宋体" w:eastAsia="宋体" w:cs="宋体"/>
                <w:color w:val="auto"/>
                <w:sz w:val="21"/>
                <w:szCs w:val="21"/>
                <w:highlight w:val="none"/>
                <w:lang w:val="en-US" w:eastAsia="zh-CN"/>
              </w:rPr>
              <w:t>标</w:t>
            </w:r>
          </w:p>
          <w:p w14:paraId="4856A4DE">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蝶形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八字形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刺激线圈</w:t>
            </w:r>
            <w:r>
              <w:rPr>
                <w:rFonts w:hint="eastAsia" w:ascii="宋体" w:hAnsi="宋体" w:eastAsia="宋体" w:cs="宋体"/>
                <w:color w:val="auto"/>
                <w:sz w:val="21"/>
                <w:szCs w:val="21"/>
                <w:highlight w:val="none"/>
              </w:rPr>
              <w:t>最大磁感应强度</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检验报告</w:t>
            </w:r>
            <w:r>
              <w:rPr>
                <w:rFonts w:hint="eastAsia" w:ascii="宋体" w:hAnsi="宋体" w:eastAsia="宋体" w:cs="宋体"/>
                <w:color w:val="auto"/>
                <w:sz w:val="21"/>
                <w:szCs w:val="21"/>
                <w:highlight w:val="none"/>
                <w:lang w:val="en-US" w:eastAsia="zh-CN"/>
              </w:rPr>
              <w:t>的检验结果：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T；</w:t>
            </w:r>
          </w:p>
          <w:p w14:paraId="6C6AC080">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2、最大磁感应强度在</w:t>
            </w:r>
            <w:r>
              <w:rPr>
                <w:rFonts w:hint="eastAsia" w:ascii="宋体" w:hAnsi="宋体" w:eastAsia="宋体" w:cs="宋体"/>
                <w:color w:val="auto"/>
                <w:sz w:val="21"/>
                <w:szCs w:val="21"/>
                <w:highlight w:val="none"/>
              </w:rPr>
              <w:t>检验报告</w:t>
            </w:r>
            <w:r>
              <w:rPr>
                <w:rFonts w:hint="eastAsia" w:ascii="宋体" w:hAnsi="宋体" w:eastAsia="宋体" w:cs="宋体"/>
                <w:color w:val="auto"/>
                <w:sz w:val="21"/>
                <w:szCs w:val="21"/>
                <w:highlight w:val="none"/>
                <w:lang w:val="en-US" w:eastAsia="zh-CN"/>
              </w:rPr>
              <w:t>要求或标准要求中显示</w:t>
            </w:r>
            <w:r>
              <w:rPr>
                <w:rFonts w:hint="eastAsia" w:ascii="宋体" w:hAnsi="宋体" w:eastAsia="宋体" w:cs="宋体"/>
                <w:color w:val="auto"/>
                <w:sz w:val="21"/>
                <w:szCs w:val="21"/>
                <w:highlight w:val="none"/>
              </w:rPr>
              <w:t>允差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允差越小，磁场输出强度越稳定</w:t>
            </w:r>
            <w:r>
              <w:rPr>
                <w:rFonts w:hint="eastAsia" w:ascii="宋体" w:hAnsi="宋体" w:eastAsia="宋体" w:cs="宋体"/>
                <w:color w:val="auto"/>
                <w:sz w:val="21"/>
                <w:szCs w:val="21"/>
                <w:highlight w:val="none"/>
              </w:rPr>
              <w:t>；</w:t>
            </w:r>
          </w:p>
          <w:p w14:paraId="1C93A1E9">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输出脉冲重复频率：0.01 Hz～</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0Hz可调；</w:t>
            </w:r>
          </w:p>
          <w:p w14:paraId="3A1846EB">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1Hz以下步长</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0.01Hz, 1Hz以上步长</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1Hz；</w:t>
            </w:r>
          </w:p>
          <w:p w14:paraId="576B006A">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磁感应强度最大变化率：</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0kT/s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允差≤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179EF92A">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（三）运动诱发电位监测模块技术指标</w:t>
            </w:r>
          </w:p>
          <w:p w14:paraId="5157A45A">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通道数：≥2通道；</w:t>
            </w:r>
          </w:p>
          <w:p w14:paraId="052D8712">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2、运动诱发电位检查模块传输方式：支持有线和无线传输方式。</w:t>
            </w:r>
          </w:p>
          <w:p w14:paraId="2C3F6B37">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（四）软件</w:t>
            </w:r>
          </w:p>
          <w:p w14:paraId="341DA67B">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1、运动阈值及治疗方案自动记忆功能，减轻操作负担；记录上次治疗记录，提升临床效率；</w:t>
            </w:r>
          </w:p>
          <w:p w14:paraId="0A9BAB86">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提供自动阈值检测功能：设备可自动调节刺激强度，分析由运动诱发模块采集到的肌电信号，确定运动阈值（需提供检验报告），减轻临床工作难度，提升治疗效率。</w:t>
            </w:r>
          </w:p>
          <w:p w14:paraId="29B30E78">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3、可实现单脉冲刺激、重复脉冲刺激和模式化刺激（含TBS模式）、双拍成对刺激、调频调幅等多种刺激模式；支持多达15种组合方案；内含多种专家方案，支持自定义编辑方案，供临床医生选择；</w:t>
            </w:r>
          </w:p>
          <w:p w14:paraId="69E262C7">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bookmarkStart w:id="11" w:name="OLE_LINK3"/>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治疗界面能够实时采集运动诱发电位，并提供大脑解剖定位图辅助定位；内置声音报警功能，以进行治疗过程中电生理安全监测；</w:t>
            </w:r>
            <w:bookmarkEnd w:id="11"/>
          </w:p>
          <w:p w14:paraId="22DD9BF5">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5、自动化报告生成与打印功能，也可根据需要自定义编辑；</w:t>
            </w:r>
          </w:p>
          <w:p w14:paraId="018583DF">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6、患者基本信息、临床方案、诊疗记录等信息海量存储，并可实时查询、编辑及导出数据备份保存；</w:t>
            </w:r>
          </w:p>
          <w:p w14:paraId="5341F31F">
            <w:pPr>
              <w:pStyle w:val="10"/>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lang w:val="en-US" w:eastAsia="zh-CN"/>
              </w:rPr>
              <w:t>7、含波形设置、权限设置等多种自设功能，满足用户多种临床及科研需求。</w:t>
            </w:r>
          </w:p>
        </w:tc>
        <w:tc>
          <w:tcPr>
            <w:tcW w:w="512" w:type="dxa"/>
            <w:vAlign w:val="center"/>
          </w:tcPr>
          <w:p w14:paraId="4A546285">
            <w:pPr>
              <w:pStyle w:val="10"/>
              <w:jc w:val="center"/>
              <w:rPr>
                <w:rFonts w:hint="eastAsia" w:eastAsiaTheme="minorEastAsia"/>
                <w:color w:val="auto"/>
                <w:highlight w:val="none"/>
                <w:lang w:val="en-US" w:eastAsia="zh-CN"/>
              </w:rPr>
            </w:pPr>
            <w:r>
              <w:rPr>
                <w:rFonts w:hint="eastAsia"/>
                <w:color w:val="auto"/>
                <w:highlight w:val="none"/>
                <w:lang w:val="en-US" w:eastAsia="zh-CN"/>
              </w:rPr>
              <w:t>台</w:t>
            </w:r>
          </w:p>
        </w:tc>
        <w:tc>
          <w:tcPr>
            <w:tcW w:w="512" w:type="dxa"/>
            <w:vAlign w:val="center"/>
          </w:tcPr>
          <w:p w14:paraId="69745762">
            <w:pPr>
              <w:pStyle w:val="10"/>
              <w:jc w:val="center"/>
              <w:rPr>
                <w:rFonts w:hint="eastAsia" w:eastAsiaTheme="minorEastAsia"/>
                <w:color w:val="auto"/>
                <w:highlight w:val="none"/>
                <w:lang w:val="en-US" w:eastAsia="zh-CN"/>
              </w:rPr>
            </w:pPr>
            <w:r>
              <w:rPr>
                <w:rFonts w:hint="eastAsia"/>
                <w:color w:val="auto"/>
                <w:highlight w:val="none"/>
                <w:lang w:val="en-US" w:eastAsia="zh-CN"/>
              </w:rPr>
              <w:t>1</w:t>
            </w:r>
          </w:p>
        </w:tc>
      </w:tr>
      <w:tr w14:paraId="538F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FFB2ECF">
            <w:pPr>
              <w:spacing w:line="240" w:lineRule="exact"/>
              <w:jc w:val="center"/>
              <w:textAlignment w:val="baseline"/>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4</w:t>
            </w:r>
          </w:p>
        </w:tc>
        <w:tc>
          <w:tcPr>
            <w:tcW w:w="1795" w:type="dxa"/>
            <w:vAlign w:val="center"/>
          </w:tcPr>
          <w:p w14:paraId="036C2C8E">
            <w:pPr>
              <w:widowControl/>
              <w:spacing w:line="240" w:lineRule="exact"/>
              <w:jc w:val="center"/>
              <w:textAlignment w:val="center"/>
              <w:rPr>
                <w:rFonts w:ascii="宋体" w:hAnsi="宋体" w:cs="宋体"/>
                <w:bCs/>
                <w:kern w:val="0"/>
                <w:sz w:val="21"/>
                <w:szCs w:val="21"/>
                <w:highlight w:val="none"/>
              </w:rPr>
            </w:pPr>
            <w:r>
              <w:rPr>
                <w:rFonts w:hint="eastAsia" w:ascii="宋体" w:hAnsi="宋体" w:cs="宋体"/>
                <w:bCs/>
                <w:kern w:val="0"/>
                <w:sz w:val="21"/>
                <w:szCs w:val="21"/>
                <w:highlight w:val="none"/>
                <w:lang w:val="en-US" w:eastAsia="zh-CN"/>
              </w:rPr>
              <w:t>微电流刺激仪</w:t>
            </w:r>
          </w:p>
        </w:tc>
        <w:tc>
          <w:tcPr>
            <w:tcW w:w="6039" w:type="dxa"/>
          </w:tcPr>
          <w:p w14:paraId="39C6D4BE">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、刺激通道数：≥1导；</w:t>
            </w:r>
          </w:p>
          <w:p w14:paraId="33A4D67F">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、刺激频率：≥0.5Hz；</w:t>
            </w:r>
          </w:p>
          <w:p w14:paraId="2E51DA8B">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、刺激电流强度：0～500μA可调节；</w:t>
            </w:r>
          </w:p>
          <w:p w14:paraId="63B6F09B">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、波形：双极性，非对称长方波，净电流；</w:t>
            </w:r>
          </w:p>
          <w:p w14:paraId="6E879FE0">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、治疗电极线通过经UL认定的专用接头与治疗主机相连，安全可靠；</w:t>
            </w:r>
          </w:p>
          <w:p w14:paraId="00F86EA5">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、刺激时间：20分钟</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60分钟可选；</w:t>
            </w:r>
          </w:p>
          <w:p w14:paraId="156619A7">
            <w:pPr>
              <w:keepNext w:val="0"/>
              <w:keepLines w:val="0"/>
              <w:pageBreakBefore w:val="0"/>
              <w:kinsoku/>
              <w:wordWrap/>
              <w:overflowPunct/>
              <w:topLinePunct w:val="0"/>
              <w:autoSpaceDE/>
              <w:autoSpaceDN/>
              <w:bidi w:val="0"/>
              <w:adjustRightInd/>
              <w:snapToGrid/>
              <w:spacing w:line="300" w:lineRule="exac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、产品适用范围：用于改善失眠、焦虑症状</w:t>
            </w:r>
            <w:r>
              <w:rPr>
                <w:rFonts w:hint="eastAsia" w:ascii="宋体" w:hAnsi="宋体" w:eastAsia="宋体" w:cs="宋体"/>
                <w:sz w:val="21"/>
                <w:szCs w:val="21"/>
                <w:highlight w:val="none"/>
                <w:lang w:eastAsia="zh-CN"/>
              </w:rPr>
              <w:t>。</w:t>
            </w:r>
          </w:p>
        </w:tc>
        <w:tc>
          <w:tcPr>
            <w:tcW w:w="512" w:type="dxa"/>
            <w:vAlign w:val="center"/>
          </w:tcPr>
          <w:p w14:paraId="7C6098E9">
            <w:pPr>
              <w:jc w:val="center"/>
              <w:textAlignment w:val="baseline"/>
              <w:rPr>
                <w:rFonts w:hint="eastAsia" w:eastAsiaTheme="minorEastAsia"/>
                <w:highlight w:val="none"/>
                <w:lang w:val="en-US" w:eastAsia="zh-CN"/>
              </w:rPr>
            </w:pPr>
            <w:r>
              <w:rPr>
                <w:rFonts w:hint="eastAsia"/>
                <w:highlight w:val="none"/>
                <w:lang w:val="en-US" w:eastAsia="zh-CN"/>
              </w:rPr>
              <w:t>台</w:t>
            </w:r>
          </w:p>
        </w:tc>
        <w:tc>
          <w:tcPr>
            <w:tcW w:w="512" w:type="dxa"/>
            <w:vAlign w:val="center"/>
          </w:tcPr>
          <w:p w14:paraId="7C8C20BB">
            <w:pPr>
              <w:jc w:val="center"/>
              <w:textAlignment w:val="baseline"/>
              <w:rPr>
                <w:rFonts w:hint="eastAsia" w:eastAsiaTheme="minorEastAsia"/>
                <w:highlight w:val="none"/>
                <w:lang w:val="en-US" w:eastAsia="zh-CN"/>
              </w:rPr>
            </w:pPr>
            <w:r>
              <w:rPr>
                <w:rFonts w:hint="eastAsia"/>
                <w:highlight w:val="none"/>
                <w:lang w:val="en-US" w:eastAsia="zh-CN"/>
              </w:rPr>
              <w:t>5</w:t>
            </w:r>
          </w:p>
        </w:tc>
      </w:tr>
      <w:tr w14:paraId="379A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0" w:type="dxa"/>
            <w:vAlign w:val="center"/>
          </w:tcPr>
          <w:p w14:paraId="703835FF">
            <w:pPr>
              <w:spacing w:line="240" w:lineRule="exact"/>
              <w:jc w:val="center"/>
              <w:textAlignment w:val="baseline"/>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lang w:val="en-US" w:eastAsia="zh-CN"/>
              </w:rPr>
              <w:t>5</w:t>
            </w:r>
          </w:p>
        </w:tc>
        <w:tc>
          <w:tcPr>
            <w:tcW w:w="1795" w:type="dxa"/>
            <w:vAlign w:val="center"/>
          </w:tcPr>
          <w:p w14:paraId="48ED7295">
            <w:pPr>
              <w:widowControl/>
              <w:spacing w:line="240" w:lineRule="exact"/>
              <w:jc w:val="center"/>
              <w:textAlignment w:val="center"/>
              <w:rPr>
                <w:rFonts w:ascii="宋体" w:hAnsi="宋体" w:cs="宋体"/>
                <w:sz w:val="21"/>
                <w:szCs w:val="21"/>
                <w:highlight w:val="none"/>
              </w:rPr>
            </w:pPr>
            <w:r>
              <w:rPr>
                <w:rFonts w:hint="eastAsia" w:ascii="宋体" w:hAnsi="宋体" w:cs="宋体"/>
                <w:sz w:val="21"/>
                <w:szCs w:val="21"/>
                <w:highlight w:val="none"/>
                <w:lang w:val="en-US" w:eastAsia="zh-CN"/>
              </w:rPr>
              <w:t>子午流柱中医定向透药仪</w:t>
            </w:r>
          </w:p>
        </w:tc>
        <w:tc>
          <w:tcPr>
            <w:tcW w:w="6039" w:type="dxa"/>
          </w:tcPr>
          <w:p w14:paraId="6C4F16BA">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工作频率：2kHz</w:t>
            </w:r>
            <w:r>
              <w:rPr>
                <w:rFonts w:hint="eastAsia" w:ascii="宋体" w:hAnsi="宋体" w:eastAsia="宋体" w:cs="宋体"/>
                <w:bCs/>
                <w:kern w:val="0"/>
                <w:sz w:val="21"/>
                <w:szCs w:val="21"/>
                <w:highlight w:val="none"/>
                <w:lang w:eastAsia="zh-CN"/>
              </w:rPr>
              <w:t>；</w:t>
            </w:r>
          </w:p>
          <w:p w14:paraId="2F190AAE">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输出电流</w:t>
            </w:r>
            <w:r>
              <w:rPr>
                <w:rFonts w:hint="eastAsia" w:ascii="宋体" w:hAnsi="宋体" w:eastAsia="宋体" w:cs="宋体"/>
                <w:bCs/>
                <w:kern w:val="0"/>
                <w:sz w:val="21"/>
                <w:szCs w:val="21"/>
                <w:highlight w:val="none"/>
                <w:lang w:eastAsia="zh-CN"/>
              </w:rPr>
              <w:t>：不大于</w:t>
            </w:r>
            <w:r>
              <w:rPr>
                <w:rFonts w:hint="eastAsia" w:ascii="宋体" w:hAnsi="宋体" w:eastAsia="宋体" w:cs="宋体"/>
                <w:bCs/>
                <w:kern w:val="0"/>
                <w:sz w:val="21"/>
                <w:szCs w:val="21"/>
                <w:highlight w:val="none"/>
              </w:rPr>
              <w:t>1.5mA</w:t>
            </w:r>
            <w:r>
              <w:rPr>
                <w:rFonts w:hint="eastAsia" w:ascii="宋体" w:hAnsi="宋体" w:eastAsia="宋体" w:cs="宋体"/>
                <w:bCs/>
                <w:kern w:val="0"/>
                <w:sz w:val="21"/>
                <w:szCs w:val="21"/>
                <w:highlight w:val="none"/>
                <w:lang w:eastAsia="zh-CN"/>
              </w:rPr>
              <w:t>；</w:t>
            </w:r>
          </w:p>
          <w:p w14:paraId="21FBE2D1">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rPr>
              <w:t>输出幅度：共50档可调，最大为42V</w:t>
            </w:r>
            <w:r>
              <w:rPr>
                <w:rFonts w:hint="eastAsia" w:ascii="宋体" w:hAnsi="宋体" w:eastAsia="宋体" w:cs="宋体"/>
                <w:bCs/>
                <w:kern w:val="0"/>
                <w:sz w:val="21"/>
                <w:szCs w:val="21"/>
                <w:highlight w:val="none"/>
                <w:lang w:eastAsia="zh-CN"/>
              </w:rPr>
              <w:t>；</w:t>
            </w:r>
          </w:p>
          <w:p w14:paraId="4A141E6C">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rPr>
              <w:t>脉冲宽度20ms～200ms可调</w:t>
            </w:r>
            <w:r>
              <w:rPr>
                <w:rFonts w:hint="eastAsia" w:ascii="宋体" w:hAnsi="宋体" w:eastAsia="宋体" w:cs="宋体"/>
                <w:bCs/>
                <w:kern w:val="0"/>
                <w:sz w:val="21"/>
                <w:szCs w:val="21"/>
                <w:highlight w:val="none"/>
                <w:lang w:eastAsia="zh-CN"/>
              </w:rPr>
              <w:t>；</w:t>
            </w:r>
          </w:p>
          <w:p w14:paraId="2D0ABECE">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5、治疗</w:t>
            </w:r>
            <w:r>
              <w:rPr>
                <w:rFonts w:hint="eastAsia" w:ascii="宋体" w:hAnsi="宋体" w:eastAsia="宋体" w:cs="宋体"/>
                <w:bCs/>
                <w:kern w:val="0"/>
                <w:sz w:val="21"/>
                <w:szCs w:val="21"/>
                <w:highlight w:val="none"/>
              </w:rPr>
              <w:t>处方：</w:t>
            </w:r>
            <w:r>
              <w:rPr>
                <w:rFonts w:hint="eastAsia" w:ascii="宋体" w:hAnsi="宋体" w:eastAsia="宋体" w:cs="宋体"/>
                <w:bCs/>
                <w:kern w:val="0"/>
                <w:sz w:val="21"/>
                <w:szCs w:val="21"/>
                <w:highlight w:val="none"/>
                <w:lang w:eastAsia="zh-CN"/>
              </w:rPr>
              <w:t>治疗处方</w:t>
            </w:r>
            <w:r>
              <w:rPr>
                <w:rFonts w:hint="eastAsia" w:ascii="宋体" w:hAnsi="宋体" w:eastAsia="宋体" w:cs="宋体"/>
                <w:bCs/>
                <w:kern w:val="0"/>
                <w:sz w:val="21"/>
                <w:szCs w:val="21"/>
                <w:highlight w:val="none"/>
              </w:rPr>
              <w:t>8个</w:t>
            </w:r>
            <w:r>
              <w:rPr>
                <w:rFonts w:hint="eastAsia" w:ascii="宋体" w:hAnsi="宋体" w:eastAsia="宋体" w:cs="宋体"/>
                <w:bCs/>
                <w:kern w:val="0"/>
                <w:sz w:val="21"/>
                <w:szCs w:val="21"/>
                <w:highlight w:val="none"/>
                <w:lang w:eastAsia="zh-CN"/>
              </w:rPr>
              <w:t>可选；</w:t>
            </w:r>
          </w:p>
          <w:p w14:paraId="67EE772A">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6、</w:t>
            </w:r>
            <w:r>
              <w:rPr>
                <w:rFonts w:hint="eastAsia" w:ascii="宋体" w:hAnsi="宋体" w:eastAsia="宋体" w:cs="宋体"/>
                <w:bCs/>
                <w:kern w:val="0"/>
                <w:sz w:val="21"/>
                <w:szCs w:val="21"/>
                <w:highlight w:val="none"/>
              </w:rPr>
              <w:t>电致孔：脉冲数目：0～6调节；</w:t>
            </w:r>
          </w:p>
          <w:p w14:paraId="29624C79">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7、</w:t>
            </w:r>
            <w:r>
              <w:rPr>
                <w:rFonts w:hint="eastAsia" w:ascii="宋体" w:hAnsi="宋体" w:eastAsia="宋体" w:cs="宋体"/>
                <w:bCs/>
                <w:kern w:val="0"/>
                <w:sz w:val="21"/>
                <w:szCs w:val="21"/>
                <w:highlight w:val="none"/>
              </w:rPr>
              <w:t>脉冲宽度250μs；</w:t>
            </w:r>
          </w:p>
          <w:p w14:paraId="3B3FA4BA">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8、</w:t>
            </w:r>
            <w:r>
              <w:rPr>
                <w:rFonts w:hint="eastAsia" w:ascii="宋体" w:hAnsi="宋体" w:eastAsia="宋体" w:cs="宋体"/>
                <w:bCs/>
                <w:kern w:val="0"/>
                <w:sz w:val="21"/>
                <w:szCs w:val="21"/>
                <w:highlight w:val="none"/>
              </w:rPr>
              <w:t>脉冲宽度</w:t>
            </w:r>
            <w:r>
              <w:rPr>
                <w:rFonts w:hint="eastAsia" w:ascii="宋体" w:hAnsi="宋体" w:eastAsia="宋体" w:cs="宋体"/>
                <w:bCs/>
                <w:kern w:val="0"/>
                <w:sz w:val="21"/>
                <w:szCs w:val="21"/>
                <w:highlight w:val="none"/>
                <w:lang w:eastAsia="zh-CN"/>
              </w:rPr>
              <w:t>范围：</w:t>
            </w:r>
            <w:r>
              <w:rPr>
                <w:rFonts w:hint="eastAsia" w:ascii="宋体" w:hAnsi="宋体" w:eastAsia="宋体" w:cs="宋体"/>
                <w:bCs/>
                <w:kern w:val="0"/>
                <w:sz w:val="21"/>
                <w:szCs w:val="21"/>
                <w:highlight w:val="none"/>
              </w:rPr>
              <w:t>20ms～200ms</w:t>
            </w:r>
            <w:r>
              <w:rPr>
                <w:rFonts w:hint="eastAsia" w:ascii="宋体" w:hAnsi="宋体" w:eastAsia="宋体" w:cs="宋体"/>
                <w:bCs/>
                <w:kern w:val="0"/>
                <w:sz w:val="21"/>
                <w:szCs w:val="21"/>
                <w:highlight w:val="none"/>
                <w:lang w:eastAsia="zh-CN"/>
              </w:rPr>
              <w:t>；</w:t>
            </w:r>
          </w:p>
          <w:p w14:paraId="276F23E2">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9、</w:t>
            </w:r>
            <w:r>
              <w:rPr>
                <w:rFonts w:hint="eastAsia" w:ascii="宋体" w:hAnsi="宋体" w:eastAsia="宋体" w:cs="宋体"/>
                <w:bCs/>
                <w:kern w:val="0"/>
                <w:sz w:val="21"/>
                <w:szCs w:val="21"/>
                <w:highlight w:val="none"/>
              </w:rPr>
              <w:t>输出电流≤45mA；</w:t>
            </w:r>
          </w:p>
          <w:p w14:paraId="7CE7A6B5">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10、</w:t>
            </w:r>
            <w:r>
              <w:rPr>
                <w:rFonts w:hint="eastAsia" w:ascii="宋体" w:hAnsi="宋体" w:eastAsia="宋体" w:cs="宋体"/>
                <w:bCs/>
                <w:kern w:val="0"/>
                <w:sz w:val="21"/>
                <w:szCs w:val="21"/>
                <w:highlight w:val="none"/>
              </w:rPr>
              <w:t>调制波波形为正弦波；</w:t>
            </w:r>
          </w:p>
          <w:p w14:paraId="51704F7B">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11、</w:t>
            </w:r>
            <w:r>
              <w:rPr>
                <w:rFonts w:hint="eastAsia" w:ascii="宋体" w:hAnsi="宋体" w:eastAsia="宋体" w:cs="宋体"/>
                <w:bCs/>
                <w:kern w:val="0"/>
                <w:sz w:val="21"/>
                <w:szCs w:val="21"/>
                <w:highlight w:val="none"/>
              </w:rPr>
              <w:t>调幅度：100%；</w:t>
            </w:r>
          </w:p>
          <w:p w14:paraId="64B26E55">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12、</w:t>
            </w:r>
            <w:r>
              <w:rPr>
                <w:rFonts w:hint="eastAsia" w:ascii="宋体" w:hAnsi="宋体" w:eastAsia="宋体" w:cs="宋体"/>
                <w:bCs/>
                <w:kern w:val="0"/>
                <w:sz w:val="21"/>
                <w:szCs w:val="21"/>
                <w:highlight w:val="none"/>
              </w:rPr>
              <w:t>载波波形</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方波</w:t>
            </w:r>
            <w:r>
              <w:rPr>
                <w:rFonts w:hint="eastAsia" w:ascii="宋体" w:hAnsi="宋体" w:eastAsia="宋体" w:cs="宋体"/>
                <w:bCs/>
                <w:kern w:val="0"/>
                <w:sz w:val="21"/>
                <w:szCs w:val="21"/>
                <w:highlight w:val="none"/>
                <w:lang w:eastAsia="zh-CN"/>
              </w:rPr>
              <w:t>；</w:t>
            </w:r>
          </w:p>
          <w:p w14:paraId="1784A1B2">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13、</w:t>
            </w:r>
            <w:r>
              <w:rPr>
                <w:rFonts w:hint="eastAsia" w:ascii="宋体" w:hAnsi="宋体" w:eastAsia="宋体" w:cs="宋体"/>
                <w:bCs/>
                <w:kern w:val="0"/>
                <w:sz w:val="21"/>
                <w:szCs w:val="21"/>
                <w:highlight w:val="none"/>
              </w:rPr>
              <w:t>调制波形：三角波、正弦波、方波；</w:t>
            </w:r>
          </w:p>
          <w:p w14:paraId="69959993">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14、治疗仪仅立式配置四个脚轮可同时着地，转动灵活，装有锁止的脚轮应锁止牢固；</w:t>
            </w:r>
          </w:p>
          <w:p w14:paraId="2B9F2C2B">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15、</w:t>
            </w:r>
            <w:r>
              <w:rPr>
                <w:rFonts w:hint="eastAsia" w:ascii="宋体" w:hAnsi="宋体" w:eastAsia="宋体" w:cs="宋体"/>
                <w:bCs/>
                <w:kern w:val="0"/>
                <w:sz w:val="21"/>
                <w:szCs w:val="21"/>
                <w:highlight w:val="none"/>
              </w:rPr>
              <w:t>反向脉宽</w:t>
            </w:r>
            <w:r>
              <w:rPr>
                <w:rFonts w:hint="eastAsia" w:ascii="宋体" w:hAnsi="宋体" w:eastAsia="宋体" w:cs="宋体"/>
                <w:bCs/>
                <w:kern w:val="0"/>
                <w:sz w:val="21"/>
                <w:szCs w:val="21"/>
                <w:highlight w:val="none"/>
                <w:lang w:eastAsia="zh-CN"/>
              </w:rPr>
              <w:t>范围：</w:t>
            </w:r>
            <w:r>
              <w:rPr>
                <w:rFonts w:hint="eastAsia" w:ascii="宋体" w:hAnsi="宋体" w:eastAsia="宋体" w:cs="宋体"/>
                <w:bCs/>
                <w:kern w:val="0"/>
                <w:sz w:val="21"/>
                <w:szCs w:val="21"/>
                <w:highlight w:val="none"/>
              </w:rPr>
              <w:t>0us～210us,8档可调</w:t>
            </w:r>
            <w:r>
              <w:rPr>
                <w:rFonts w:hint="eastAsia" w:ascii="宋体" w:hAnsi="宋体" w:eastAsia="宋体" w:cs="宋体"/>
                <w:bCs/>
                <w:kern w:val="0"/>
                <w:sz w:val="21"/>
                <w:szCs w:val="21"/>
                <w:highlight w:val="none"/>
                <w:lang w:eastAsia="zh-CN"/>
              </w:rPr>
              <w:t>；</w:t>
            </w:r>
          </w:p>
          <w:p w14:paraId="5D6C9797">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16、</w:t>
            </w:r>
            <w:r>
              <w:rPr>
                <w:rFonts w:hint="eastAsia" w:ascii="宋体" w:hAnsi="宋体" w:eastAsia="宋体" w:cs="宋体"/>
                <w:bCs/>
                <w:kern w:val="0"/>
                <w:sz w:val="21"/>
                <w:szCs w:val="21"/>
                <w:highlight w:val="none"/>
              </w:rPr>
              <w:t>调制频率</w:t>
            </w:r>
            <w:r>
              <w:rPr>
                <w:rFonts w:hint="eastAsia" w:ascii="宋体" w:hAnsi="宋体" w:eastAsia="宋体" w:cs="宋体"/>
                <w:bCs/>
                <w:kern w:val="0"/>
                <w:sz w:val="21"/>
                <w:szCs w:val="21"/>
                <w:highlight w:val="none"/>
                <w:lang w:eastAsia="zh-CN"/>
              </w:rPr>
              <w:t>范围：</w:t>
            </w:r>
            <w:r>
              <w:rPr>
                <w:rFonts w:hint="eastAsia" w:ascii="宋体" w:hAnsi="宋体" w:eastAsia="宋体" w:cs="宋体"/>
                <w:bCs/>
                <w:kern w:val="0"/>
                <w:sz w:val="21"/>
                <w:szCs w:val="21"/>
                <w:highlight w:val="none"/>
              </w:rPr>
              <w:t>1Hz～20Hz</w:t>
            </w:r>
            <w:r>
              <w:rPr>
                <w:rFonts w:hint="eastAsia" w:ascii="宋体" w:hAnsi="宋体" w:eastAsia="宋体" w:cs="宋体"/>
                <w:bCs/>
                <w:kern w:val="0"/>
                <w:sz w:val="21"/>
                <w:szCs w:val="21"/>
                <w:highlight w:val="none"/>
                <w:lang w:eastAsia="zh-CN"/>
              </w:rPr>
              <w:t>；</w:t>
            </w:r>
          </w:p>
          <w:p w14:paraId="52F89F22">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17、</w:t>
            </w:r>
            <w:r>
              <w:rPr>
                <w:rFonts w:hint="eastAsia" w:ascii="宋体" w:hAnsi="宋体" w:eastAsia="宋体" w:cs="宋体"/>
                <w:bCs/>
                <w:kern w:val="0"/>
                <w:sz w:val="21"/>
                <w:szCs w:val="21"/>
                <w:highlight w:val="none"/>
              </w:rPr>
              <w:t>正反时间</w:t>
            </w:r>
            <w:r>
              <w:rPr>
                <w:rFonts w:hint="eastAsia" w:ascii="宋体" w:hAnsi="宋体" w:eastAsia="宋体" w:cs="宋体"/>
                <w:bCs/>
                <w:kern w:val="0"/>
                <w:sz w:val="21"/>
                <w:szCs w:val="21"/>
                <w:highlight w:val="none"/>
                <w:lang w:eastAsia="zh-CN"/>
              </w:rPr>
              <w:t>范围：</w:t>
            </w:r>
            <w:r>
              <w:rPr>
                <w:rFonts w:hint="eastAsia" w:ascii="宋体" w:hAnsi="宋体" w:eastAsia="宋体" w:cs="宋体"/>
                <w:bCs/>
                <w:kern w:val="0"/>
                <w:sz w:val="21"/>
                <w:szCs w:val="21"/>
                <w:highlight w:val="none"/>
              </w:rPr>
              <w:t>0s-10s</w:t>
            </w:r>
            <w:r>
              <w:rPr>
                <w:rFonts w:hint="eastAsia" w:ascii="宋体" w:hAnsi="宋体" w:eastAsia="宋体" w:cs="宋体"/>
                <w:bCs/>
                <w:kern w:val="0"/>
                <w:sz w:val="21"/>
                <w:szCs w:val="21"/>
                <w:highlight w:val="none"/>
                <w:lang w:eastAsia="zh-CN"/>
              </w:rPr>
              <w:t>；</w:t>
            </w:r>
          </w:p>
          <w:p w14:paraId="43375E60">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18、</w:t>
            </w:r>
            <w:r>
              <w:rPr>
                <w:rFonts w:hint="eastAsia" w:ascii="宋体" w:hAnsi="宋体" w:eastAsia="宋体" w:cs="宋体"/>
                <w:bCs/>
                <w:kern w:val="0"/>
                <w:sz w:val="21"/>
                <w:szCs w:val="21"/>
                <w:highlight w:val="none"/>
              </w:rPr>
              <w:t>自定义模式:治疗时间</w:t>
            </w:r>
            <w:r>
              <w:rPr>
                <w:rFonts w:hint="eastAsia" w:ascii="宋体" w:hAnsi="宋体" w:eastAsia="宋体" w:cs="宋体"/>
                <w:bCs/>
                <w:kern w:val="0"/>
                <w:sz w:val="21"/>
                <w:szCs w:val="21"/>
                <w:highlight w:val="none"/>
                <w:lang w:eastAsia="zh-CN"/>
              </w:rPr>
              <w:t>范围：</w:t>
            </w:r>
            <w:r>
              <w:rPr>
                <w:rFonts w:hint="eastAsia" w:ascii="宋体" w:hAnsi="宋体" w:eastAsia="宋体" w:cs="宋体"/>
                <w:bCs/>
                <w:kern w:val="0"/>
                <w:sz w:val="21"/>
                <w:szCs w:val="21"/>
                <w:highlight w:val="none"/>
              </w:rPr>
              <w:t>1min～60min</w:t>
            </w:r>
            <w:r>
              <w:rPr>
                <w:rFonts w:hint="eastAsia" w:ascii="宋体" w:hAnsi="宋体" w:eastAsia="宋体" w:cs="宋体"/>
                <w:bCs/>
                <w:kern w:val="0"/>
                <w:sz w:val="21"/>
                <w:szCs w:val="21"/>
                <w:highlight w:val="none"/>
                <w:lang w:eastAsia="zh-CN"/>
              </w:rPr>
              <w:t>；</w:t>
            </w:r>
          </w:p>
          <w:p w14:paraId="60618488">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19、</w:t>
            </w:r>
            <w:r>
              <w:rPr>
                <w:rFonts w:hint="eastAsia" w:ascii="宋体" w:hAnsi="宋体" w:eastAsia="宋体" w:cs="宋体"/>
                <w:bCs/>
                <w:kern w:val="0"/>
                <w:sz w:val="21"/>
                <w:szCs w:val="21"/>
                <w:highlight w:val="none"/>
              </w:rPr>
              <w:t>强度</w:t>
            </w:r>
            <w:r>
              <w:rPr>
                <w:rFonts w:hint="eastAsia" w:ascii="宋体" w:hAnsi="宋体" w:eastAsia="宋体" w:cs="宋体"/>
                <w:bCs/>
                <w:kern w:val="0"/>
                <w:sz w:val="21"/>
                <w:szCs w:val="21"/>
                <w:highlight w:val="none"/>
                <w:lang w:eastAsia="zh-CN"/>
              </w:rPr>
              <w:t>范围：</w:t>
            </w:r>
            <w:r>
              <w:rPr>
                <w:rFonts w:hint="eastAsia" w:ascii="宋体" w:hAnsi="宋体" w:eastAsia="宋体" w:cs="宋体"/>
                <w:bCs/>
                <w:kern w:val="0"/>
                <w:sz w:val="21"/>
                <w:szCs w:val="21"/>
                <w:highlight w:val="none"/>
                <w:lang w:val="en-US" w:eastAsia="zh-CN"/>
              </w:rPr>
              <w:t>0-</w:t>
            </w:r>
            <w:r>
              <w:rPr>
                <w:rFonts w:hint="eastAsia" w:ascii="宋体" w:hAnsi="宋体" w:eastAsia="宋体" w:cs="宋体"/>
                <w:bCs/>
                <w:kern w:val="0"/>
                <w:sz w:val="21"/>
                <w:szCs w:val="21"/>
                <w:highlight w:val="none"/>
              </w:rPr>
              <w:t>50档</w:t>
            </w:r>
            <w:r>
              <w:rPr>
                <w:rFonts w:hint="eastAsia" w:ascii="宋体" w:hAnsi="宋体" w:eastAsia="宋体" w:cs="宋体"/>
                <w:bCs/>
                <w:kern w:val="0"/>
                <w:sz w:val="21"/>
                <w:szCs w:val="21"/>
                <w:highlight w:val="none"/>
                <w:lang w:eastAsia="zh-CN"/>
              </w:rPr>
              <w:t>；</w:t>
            </w:r>
          </w:p>
          <w:p w14:paraId="1437EB6D">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20、通道数：2；</w:t>
            </w:r>
          </w:p>
          <w:p w14:paraId="6DDF6E61">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center"/>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21、</w:t>
            </w:r>
            <w:r>
              <w:rPr>
                <w:rFonts w:hint="eastAsia" w:ascii="宋体" w:hAnsi="宋体" w:eastAsia="宋体" w:cs="宋体"/>
                <w:bCs/>
                <w:kern w:val="0"/>
                <w:sz w:val="21"/>
                <w:szCs w:val="21"/>
                <w:highlight w:val="none"/>
              </w:rPr>
              <w:t>子午流注开穴查询:可实现逢时开穴、定时开穴、任一穴位未来五次开穴时间、任意时间开穴查询,可实现穴位部位、解剖图形查询,可进行时间设定</w:t>
            </w:r>
            <w:r>
              <w:rPr>
                <w:rFonts w:hint="eastAsia" w:ascii="宋体" w:hAnsi="宋体" w:eastAsia="宋体" w:cs="宋体"/>
                <w:bCs/>
                <w:kern w:val="0"/>
                <w:sz w:val="21"/>
                <w:szCs w:val="21"/>
                <w:highlight w:val="none"/>
                <w:lang w:eastAsia="zh-CN"/>
              </w:rPr>
              <w:t>。</w:t>
            </w:r>
          </w:p>
        </w:tc>
        <w:tc>
          <w:tcPr>
            <w:tcW w:w="512" w:type="dxa"/>
            <w:vAlign w:val="center"/>
          </w:tcPr>
          <w:p w14:paraId="6081A98B">
            <w:pPr>
              <w:widowControl/>
              <w:spacing w:line="240" w:lineRule="exact"/>
              <w:jc w:val="center"/>
              <w:textAlignment w:val="center"/>
              <w:rPr>
                <w:rFonts w:hint="eastAsia" w:ascii="宋体" w:hAnsi="宋体" w:cs="宋体" w:eastAsiaTheme="minorEastAsia"/>
                <w:bCs/>
                <w:kern w:val="0"/>
                <w:szCs w:val="21"/>
                <w:highlight w:val="none"/>
                <w:lang w:val="en-US" w:eastAsia="zh-CN"/>
              </w:rPr>
            </w:pPr>
            <w:r>
              <w:rPr>
                <w:rFonts w:hint="eastAsia" w:ascii="宋体" w:hAnsi="宋体" w:cs="宋体"/>
                <w:bCs/>
                <w:kern w:val="0"/>
                <w:szCs w:val="21"/>
                <w:highlight w:val="none"/>
                <w:lang w:val="en-US" w:eastAsia="zh-CN"/>
              </w:rPr>
              <w:t>台</w:t>
            </w:r>
          </w:p>
        </w:tc>
        <w:tc>
          <w:tcPr>
            <w:tcW w:w="512" w:type="dxa"/>
            <w:vAlign w:val="center"/>
          </w:tcPr>
          <w:p w14:paraId="5E9C6F02">
            <w:pPr>
              <w:widowControl/>
              <w:spacing w:line="240" w:lineRule="exact"/>
              <w:jc w:val="center"/>
              <w:textAlignment w:val="center"/>
              <w:rPr>
                <w:rFonts w:hint="eastAsia" w:ascii="宋体" w:hAnsi="宋体" w:cs="宋体" w:eastAsiaTheme="minorEastAsia"/>
                <w:bCs/>
                <w:kern w:val="0"/>
                <w:szCs w:val="21"/>
                <w:highlight w:val="none"/>
                <w:lang w:val="en-US" w:eastAsia="zh-CN"/>
              </w:rPr>
            </w:pPr>
            <w:r>
              <w:rPr>
                <w:rFonts w:hint="eastAsia" w:ascii="宋体" w:hAnsi="宋体" w:cs="宋体"/>
                <w:bCs/>
                <w:kern w:val="0"/>
                <w:szCs w:val="21"/>
                <w:highlight w:val="none"/>
                <w:lang w:val="en-US" w:eastAsia="zh-CN"/>
              </w:rPr>
              <w:t>1</w:t>
            </w:r>
          </w:p>
        </w:tc>
      </w:tr>
    </w:tbl>
    <w:p w14:paraId="6619AEBC">
      <w:pPr>
        <w:pStyle w:val="15"/>
        <w:rPr>
          <w:rFonts w:hint="eastAsia"/>
          <w:highlight w:val="none"/>
          <w:lang w:val="en-US" w:eastAsia="zh-CN"/>
        </w:rPr>
      </w:pPr>
    </w:p>
    <w:p w14:paraId="64FFA388">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14:paraId="4D1C7BF0">
      <w:pPr>
        <w:spacing w:before="1" w:line="219" w:lineRule="auto"/>
        <w:rPr>
          <w:rFonts w:hint="eastAsia" w:ascii="宋体" w:hAnsi="宋体" w:eastAsia="宋体" w:cs="宋体"/>
          <w:spacing w:val="-3"/>
          <w:sz w:val="24"/>
          <w:szCs w:val="24"/>
          <w:highlight w:val="none"/>
          <w:lang w:eastAsia="zh-CN"/>
          <w14:textOutline w14:w="4354" w14:cap="flat" w14:cmpd="sng">
            <w14:solidFill>
              <w14:srgbClr w14:val="000000"/>
            </w14:solidFill>
            <w14:prstDash w14:val="solid"/>
            <w14:miter w14:val="0"/>
          </w14:textOutline>
        </w:rPr>
        <w:sectPr>
          <w:footerReference r:id="rId16" w:type="default"/>
          <w:pgSz w:w="16839" w:h="11907" w:orient="landscape"/>
          <w:pgMar w:top="1785" w:right="1425" w:bottom="1785" w:left="1569" w:header="0" w:footer="1408" w:gutter="0"/>
          <w:pgNumType w:fmt="decimal"/>
          <w:cols w:space="720" w:num="1"/>
        </w:sectPr>
      </w:pPr>
    </w:p>
    <w:p w14:paraId="1E1C8BD0">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14:paraId="6D96B67F">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cstheme="minorEastAsia"/>
          <w:b/>
          <w:bCs/>
          <w:color w:val="auto"/>
          <w:sz w:val="24"/>
          <w:szCs w:val="24"/>
          <w:highlight w:val="none"/>
          <w:lang w:val="en-US" w:eastAsia="zh-CN"/>
        </w:rPr>
        <w:t>磋商</w:t>
      </w:r>
      <w:r>
        <w:rPr>
          <w:rFonts w:hint="eastAsia" w:asciiTheme="minorEastAsia" w:hAnsiTheme="minorEastAsia" w:eastAsiaTheme="minorEastAsia" w:cstheme="minorEastAsia"/>
          <w:b/>
          <w:bCs/>
          <w:color w:val="auto"/>
          <w:sz w:val="24"/>
          <w:szCs w:val="24"/>
          <w:highlight w:val="none"/>
          <w:lang w:eastAsia="zh-CN"/>
        </w:rPr>
        <w:t>文件规定技术参数的产品。</w:t>
      </w:r>
    </w:p>
    <w:p w14:paraId="53D826BE">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65F06FF2">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eastAsia="zh-CN"/>
        </w:rPr>
        <w:t>本项目核心产品：</w:t>
      </w:r>
      <w:r>
        <w:rPr>
          <w:rFonts w:hint="eastAsia" w:asciiTheme="minorEastAsia" w:hAnsiTheme="minorEastAsia" w:eastAsiaTheme="minorEastAsia" w:cstheme="minorEastAsia"/>
          <w:b/>
          <w:bCs/>
          <w:color w:val="auto"/>
          <w:sz w:val="24"/>
          <w:szCs w:val="24"/>
          <w:highlight w:val="none"/>
          <w:lang w:val="en-US" w:eastAsia="zh-CN"/>
        </w:rPr>
        <w:t>经颅磁治疗仪</w:t>
      </w:r>
    </w:p>
    <w:p w14:paraId="3E468301">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default" w:ascii="宋体" w:hAnsi="宋体" w:eastAsia="宋体" w:cs="宋体"/>
          <w:b/>
          <w:bCs/>
          <w:color w:val="auto"/>
          <w:kern w:val="0"/>
          <w:sz w:val="44"/>
          <w:szCs w:val="44"/>
          <w:highlight w:val="none"/>
          <w:lang w:val="en-US"/>
        </w:rPr>
        <w:sectPr>
          <w:footerReference r:id="rId17" w:type="default"/>
          <w:pgSz w:w="11907" w:h="16839"/>
          <w:pgMar w:top="1431" w:right="1723" w:bottom="1569" w:left="1785" w:header="0" w:footer="1408" w:gutter="0"/>
          <w:pgNumType w:fmt="decimal"/>
          <w:cols w:space="720" w:num="1"/>
        </w:sectPr>
      </w:pPr>
      <w:r>
        <w:rPr>
          <w:rFonts w:hint="eastAsia" w:asciiTheme="minorEastAsia" w:hAnsiTheme="minorEastAsia" w:eastAsiaTheme="minorEastAsia" w:cstheme="minorEastAsia"/>
          <w:b/>
          <w:bCs/>
          <w:color w:val="auto"/>
          <w:sz w:val="24"/>
          <w:szCs w:val="24"/>
          <w:highlight w:val="none"/>
          <w:lang w:val="en-US" w:eastAsia="zh-CN"/>
        </w:rPr>
        <w:t>4.本标的所属行业：其他未列明行业</w:t>
      </w:r>
    </w:p>
    <w:p w14:paraId="5098F141">
      <w:pPr>
        <w:pStyle w:val="6"/>
        <w:spacing w:line="256" w:lineRule="auto"/>
        <w:jc w:val="both"/>
        <w:rPr>
          <w:rFonts w:hint="eastAsia" w:ascii="宋体" w:hAnsi="宋体" w:eastAsia="宋体" w:cs="宋体"/>
          <w:sz w:val="44"/>
          <w:szCs w:val="44"/>
          <w:highlight w:val="none"/>
        </w:rPr>
      </w:pPr>
      <w:r>
        <w:rPr>
          <w:rFonts w:hint="eastAsia" w:ascii="宋体" w:hAnsi="宋体" w:eastAsia="宋体" w:cs="宋体"/>
          <w:b/>
          <w:bCs/>
          <w:color w:val="auto"/>
          <w:kern w:val="0"/>
          <w:sz w:val="44"/>
          <w:szCs w:val="44"/>
          <w:highlight w:val="none"/>
        </w:rPr>
        <w:t>第六部分  合同格式及主要条款</w:t>
      </w:r>
    </w:p>
    <w:p w14:paraId="6CB8EF84">
      <w:pPr>
        <w:pStyle w:val="6"/>
        <w:spacing w:line="256" w:lineRule="auto"/>
        <w:rPr>
          <w:highlight w:val="none"/>
        </w:rPr>
      </w:pPr>
    </w:p>
    <w:p w14:paraId="49481077">
      <w:pPr>
        <w:spacing w:before="78" w:line="468" w:lineRule="exact"/>
        <w:ind w:left="532"/>
        <w:rPr>
          <w:rFonts w:ascii="宋体" w:hAnsi="宋体" w:eastAsia="宋体" w:cs="宋体"/>
          <w:sz w:val="24"/>
          <w:szCs w:val="24"/>
          <w:highlight w:val="none"/>
        </w:rPr>
      </w:pPr>
      <w:r>
        <w:rPr>
          <w:rFonts w:ascii="宋体" w:hAnsi="宋体" w:eastAsia="宋体" w:cs="宋体"/>
          <w:spacing w:val="-6"/>
          <w:position w:val="17"/>
          <w:sz w:val="24"/>
          <w:szCs w:val="24"/>
          <w:highlight w:val="none"/>
        </w:rPr>
        <w:t>甲方</w:t>
      </w:r>
      <w:r>
        <w:rPr>
          <w:rFonts w:ascii="宋体" w:hAnsi="宋体" w:eastAsia="宋体" w:cs="宋体"/>
          <w:spacing w:val="-5"/>
          <w:position w:val="17"/>
          <w:sz w:val="24"/>
          <w:szCs w:val="24"/>
          <w:highlight w:val="none"/>
        </w:rPr>
        <w:t>：（</w:t>
      </w:r>
      <w:r>
        <w:rPr>
          <w:rFonts w:ascii="宋体" w:hAnsi="宋体" w:eastAsia="宋体" w:cs="宋体"/>
          <w:spacing w:val="-6"/>
          <w:position w:val="17"/>
          <w:sz w:val="24"/>
          <w:szCs w:val="24"/>
          <w:highlight w:val="none"/>
        </w:rPr>
        <w:t>采购单位）</w:t>
      </w:r>
    </w:p>
    <w:p w14:paraId="4649A8B0">
      <w:pPr>
        <w:spacing w:before="1" w:line="218" w:lineRule="auto"/>
        <w:ind w:left="521"/>
        <w:rPr>
          <w:rFonts w:ascii="宋体" w:hAnsi="宋体" w:eastAsia="宋体" w:cs="宋体"/>
          <w:sz w:val="24"/>
          <w:szCs w:val="24"/>
          <w:highlight w:val="none"/>
        </w:rPr>
      </w:pPr>
      <w:r>
        <w:rPr>
          <w:rFonts w:ascii="宋体" w:hAnsi="宋体" w:eastAsia="宋体" w:cs="宋体"/>
          <w:spacing w:val="-3"/>
          <w:sz w:val="24"/>
          <w:szCs w:val="24"/>
          <w:highlight w:val="none"/>
        </w:rPr>
        <w:t>乙方</w:t>
      </w:r>
      <w:r>
        <w:rPr>
          <w:rFonts w:ascii="宋体" w:hAnsi="宋体" w:eastAsia="宋体" w:cs="宋体"/>
          <w:spacing w:val="-5"/>
          <w:sz w:val="24"/>
          <w:szCs w:val="24"/>
          <w:highlight w:val="none"/>
        </w:rPr>
        <w:t>：（</w:t>
      </w:r>
      <w:r>
        <w:rPr>
          <w:rFonts w:ascii="宋体" w:hAnsi="宋体" w:eastAsia="宋体" w:cs="宋体"/>
          <w:spacing w:val="-3"/>
          <w:sz w:val="24"/>
          <w:szCs w:val="24"/>
          <w:highlight w:val="none"/>
        </w:rPr>
        <w:t>供应商 ）</w:t>
      </w:r>
    </w:p>
    <w:p w14:paraId="20A4BDB3">
      <w:pPr>
        <w:spacing w:before="183" w:line="360" w:lineRule="auto"/>
        <w:ind w:left="26" w:right="71" w:firstLine="506"/>
        <w:jc w:val="both"/>
        <w:rPr>
          <w:rFonts w:ascii="宋体" w:hAnsi="宋体" w:eastAsia="宋体" w:cs="宋体"/>
          <w:sz w:val="24"/>
          <w:szCs w:val="24"/>
          <w:highlight w:val="none"/>
        </w:rPr>
      </w:pPr>
      <w:r>
        <w:rPr>
          <w:rFonts w:ascii="宋体" w:hAnsi="宋体" w:eastAsia="宋体" w:cs="宋体"/>
          <w:spacing w:val="-6"/>
          <w:sz w:val="24"/>
          <w:szCs w:val="24"/>
          <w:highlight w:val="none"/>
        </w:rPr>
        <w:t>甲、乙双方持采购人、采购代理公司签发的</w:t>
      </w:r>
      <w:r>
        <w:rPr>
          <w:rFonts w:ascii="宋体" w:hAnsi="宋体" w:eastAsia="宋体" w:cs="宋体"/>
          <w:spacing w:val="-102"/>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12"/>
          <w:sz w:val="24"/>
          <w:szCs w:val="24"/>
          <w:highlight w:val="none"/>
        </w:rPr>
        <w:t xml:space="preserve"> </w:t>
      </w:r>
      <w:r>
        <w:rPr>
          <w:rFonts w:ascii="宋体" w:hAnsi="宋体" w:eastAsia="宋体" w:cs="宋体"/>
          <w:spacing w:val="-6"/>
          <w:sz w:val="24"/>
          <w:szCs w:val="24"/>
          <w:highlight w:val="none"/>
        </w:rPr>
        <w:t>采购项目成交通</w:t>
      </w:r>
      <w:r>
        <w:rPr>
          <w:rFonts w:ascii="宋体" w:hAnsi="宋体" w:eastAsia="宋体" w:cs="宋体"/>
          <w:sz w:val="24"/>
          <w:szCs w:val="24"/>
          <w:highlight w:val="none"/>
        </w:rPr>
        <w:t xml:space="preserve"> </w:t>
      </w:r>
      <w:r>
        <w:rPr>
          <w:rFonts w:ascii="宋体" w:hAnsi="宋体" w:eastAsia="宋体" w:cs="宋体"/>
          <w:spacing w:val="-12"/>
          <w:sz w:val="24"/>
          <w:szCs w:val="24"/>
          <w:highlight w:val="none"/>
        </w:rPr>
        <w:t>知书，</w:t>
      </w:r>
      <w:r>
        <w:rPr>
          <w:rFonts w:ascii="宋体" w:hAnsi="宋体" w:eastAsia="宋体" w:cs="宋体"/>
          <w:spacing w:val="-40"/>
          <w:sz w:val="24"/>
          <w:szCs w:val="24"/>
          <w:highlight w:val="none"/>
        </w:rPr>
        <w:t xml:space="preserve"> </w:t>
      </w:r>
      <w:r>
        <w:rPr>
          <w:rFonts w:ascii="宋体" w:hAnsi="宋体" w:eastAsia="宋体" w:cs="宋体"/>
          <w:spacing w:val="-12"/>
          <w:sz w:val="24"/>
          <w:szCs w:val="24"/>
          <w:highlight w:val="none"/>
        </w:rPr>
        <w:t>根据采购文件、响应性文件的内容，</w:t>
      </w:r>
      <w:r>
        <w:rPr>
          <w:rFonts w:ascii="宋体" w:hAnsi="宋体" w:eastAsia="宋体" w:cs="宋体"/>
          <w:spacing w:val="45"/>
          <w:sz w:val="24"/>
          <w:szCs w:val="24"/>
          <w:highlight w:val="none"/>
        </w:rPr>
        <w:t xml:space="preserve"> </w:t>
      </w:r>
      <w:r>
        <w:rPr>
          <w:rFonts w:ascii="宋体" w:hAnsi="宋体" w:eastAsia="宋体" w:cs="宋体"/>
          <w:spacing w:val="-12"/>
          <w:sz w:val="24"/>
          <w:szCs w:val="24"/>
          <w:highlight w:val="none"/>
        </w:rPr>
        <w:t>并经双方协商一致，</w:t>
      </w:r>
      <w:r>
        <w:rPr>
          <w:rFonts w:ascii="宋体" w:hAnsi="宋体" w:eastAsia="宋体" w:cs="宋体"/>
          <w:spacing w:val="-47"/>
          <w:sz w:val="24"/>
          <w:szCs w:val="24"/>
          <w:highlight w:val="none"/>
        </w:rPr>
        <w:t xml:space="preserve"> </w:t>
      </w:r>
      <w:r>
        <w:rPr>
          <w:rFonts w:ascii="宋体" w:hAnsi="宋体" w:eastAsia="宋体" w:cs="宋体"/>
          <w:spacing w:val="-12"/>
          <w:sz w:val="24"/>
          <w:szCs w:val="24"/>
          <w:highlight w:val="none"/>
        </w:rPr>
        <w:t>达成以下合同条</w:t>
      </w:r>
    </w:p>
    <w:p w14:paraId="68ADF914">
      <w:pPr>
        <w:spacing w:before="1" w:line="220" w:lineRule="auto"/>
        <w:ind w:left="22"/>
        <w:rPr>
          <w:rFonts w:ascii="宋体" w:hAnsi="宋体" w:eastAsia="宋体" w:cs="宋体"/>
          <w:sz w:val="24"/>
          <w:szCs w:val="24"/>
          <w:highlight w:val="none"/>
        </w:rPr>
      </w:pPr>
      <w:r>
        <w:rPr>
          <w:rFonts w:ascii="宋体" w:hAnsi="宋体" w:eastAsia="宋体" w:cs="宋体"/>
          <w:spacing w:val="-17"/>
          <w:sz w:val="24"/>
          <w:szCs w:val="24"/>
          <w:highlight w:val="none"/>
        </w:rPr>
        <w:t>款：</w:t>
      </w:r>
    </w:p>
    <w:p w14:paraId="5C8CCD2F">
      <w:pPr>
        <w:spacing w:before="181" w:line="218" w:lineRule="auto"/>
        <w:ind w:left="505"/>
        <w:rPr>
          <w:rFonts w:ascii="宋体" w:hAnsi="宋体" w:eastAsia="宋体" w:cs="宋体"/>
          <w:sz w:val="24"/>
          <w:szCs w:val="24"/>
          <w:highlight w:val="none"/>
        </w:rPr>
      </w:pPr>
      <w:r>
        <w:rPr>
          <w:rFonts w:ascii="宋体" w:hAnsi="宋体" w:eastAsia="宋体" w:cs="宋体"/>
          <w:spacing w:val="-3"/>
          <w:sz w:val="24"/>
          <w:szCs w:val="24"/>
          <w:highlight w:val="none"/>
        </w:rPr>
        <w:t>一、本合同所指货物为此次采购的货物（注明品名、规格</w:t>
      </w:r>
      <w:r>
        <w:rPr>
          <w:rFonts w:ascii="宋体" w:hAnsi="宋体" w:eastAsia="宋体" w:cs="宋体"/>
          <w:spacing w:val="-4"/>
          <w:sz w:val="24"/>
          <w:szCs w:val="24"/>
          <w:highlight w:val="none"/>
        </w:rPr>
        <w:t>、数量、单价等技</w:t>
      </w:r>
    </w:p>
    <w:p w14:paraId="5E6032B5">
      <w:pPr>
        <w:spacing w:before="185" w:line="218" w:lineRule="auto"/>
        <w:ind w:left="23"/>
        <w:rPr>
          <w:rFonts w:ascii="宋体" w:hAnsi="宋体" w:eastAsia="宋体" w:cs="宋体"/>
          <w:sz w:val="24"/>
          <w:szCs w:val="24"/>
          <w:highlight w:val="none"/>
        </w:rPr>
      </w:pPr>
      <w:r>
        <w:rPr>
          <w:rFonts w:ascii="宋体" w:hAnsi="宋体" w:eastAsia="宋体" w:cs="宋体"/>
          <w:spacing w:val="-10"/>
          <w:sz w:val="24"/>
          <w:szCs w:val="24"/>
          <w:highlight w:val="none"/>
        </w:rPr>
        <w:t>术要求</w:t>
      </w:r>
      <w:r>
        <w:rPr>
          <w:rFonts w:ascii="宋体" w:hAnsi="宋体" w:eastAsia="宋体" w:cs="宋体"/>
          <w:spacing w:val="5"/>
          <w:sz w:val="24"/>
          <w:szCs w:val="24"/>
          <w:highlight w:val="none"/>
        </w:rPr>
        <w:t>），</w:t>
      </w:r>
      <w:r>
        <w:rPr>
          <w:rFonts w:ascii="宋体" w:hAnsi="宋体" w:eastAsia="宋体" w:cs="宋体"/>
          <w:spacing w:val="-10"/>
          <w:sz w:val="24"/>
          <w:szCs w:val="24"/>
          <w:highlight w:val="none"/>
        </w:rPr>
        <w:t>合同总价款为</w:t>
      </w:r>
      <w:r>
        <w:rPr>
          <w:rFonts w:ascii="宋体" w:hAnsi="宋体" w:eastAsia="宋体" w:cs="宋体"/>
          <w:spacing w:val="-118"/>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0"/>
          <w:sz w:val="24"/>
          <w:szCs w:val="24"/>
          <w:highlight w:val="none"/>
        </w:rPr>
        <w:t xml:space="preserve"> 元（大写）</w:t>
      </w:r>
      <w:r>
        <w:rPr>
          <w:rFonts w:ascii="宋体" w:hAnsi="宋体" w:eastAsia="宋体" w:cs="宋体"/>
          <w:spacing w:val="1"/>
          <w:sz w:val="24"/>
          <w:szCs w:val="24"/>
          <w:highlight w:val="none"/>
          <w:u w:val="single"/>
        </w:rPr>
        <w:t xml:space="preserve">            </w:t>
      </w:r>
      <w:r>
        <w:rPr>
          <w:rFonts w:ascii="宋体" w:hAnsi="宋体" w:eastAsia="宋体" w:cs="宋体"/>
          <w:spacing w:val="-10"/>
          <w:sz w:val="24"/>
          <w:szCs w:val="24"/>
          <w:highlight w:val="none"/>
        </w:rPr>
        <w:t>。</w:t>
      </w:r>
    </w:p>
    <w:p w14:paraId="3B577472">
      <w:pPr>
        <w:spacing w:before="184" w:line="219" w:lineRule="auto"/>
        <w:ind w:left="505"/>
        <w:rPr>
          <w:rFonts w:ascii="宋体" w:hAnsi="宋体" w:eastAsia="宋体" w:cs="宋体"/>
          <w:sz w:val="24"/>
          <w:szCs w:val="24"/>
          <w:highlight w:val="none"/>
        </w:rPr>
      </w:pPr>
      <w:r>
        <w:rPr>
          <w:rFonts w:ascii="宋体" w:hAnsi="宋体" w:eastAsia="宋体" w:cs="宋体"/>
          <w:spacing w:val="-3"/>
          <w:sz w:val="24"/>
          <w:szCs w:val="24"/>
          <w:highlight w:val="none"/>
        </w:rPr>
        <w:t>二、货物质量要求及乙方对质量负责条件和期限：</w:t>
      </w:r>
    </w:p>
    <w:p w14:paraId="129E8779">
      <w:pPr>
        <w:spacing w:before="184" w:line="468" w:lineRule="exact"/>
        <w:ind w:left="521"/>
        <w:rPr>
          <w:rFonts w:ascii="宋体" w:hAnsi="宋体" w:eastAsia="宋体" w:cs="宋体"/>
          <w:sz w:val="24"/>
          <w:szCs w:val="24"/>
          <w:highlight w:val="none"/>
        </w:rPr>
      </w:pPr>
      <w:r>
        <w:rPr>
          <w:rFonts w:ascii="宋体" w:hAnsi="宋体" w:eastAsia="宋体" w:cs="宋体"/>
          <w:spacing w:val="-4"/>
          <w:position w:val="17"/>
          <w:sz w:val="24"/>
          <w:szCs w:val="24"/>
          <w:highlight w:val="none"/>
        </w:rPr>
        <w:t>乙方提供的货物是达到乙方响应文件及澄清中的技术标准。（售后服务要求</w:t>
      </w:r>
    </w:p>
    <w:p w14:paraId="02D791FB">
      <w:pPr>
        <w:spacing w:before="1" w:line="218" w:lineRule="auto"/>
        <w:ind w:left="23"/>
        <w:rPr>
          <w:rFonts w:ascii="宋体" w:hAnsi="宋体" w:eastAsia="宋体" w:cs="宋体"/>
          <w:sz w:val="24"/>
          <w:szCs w:val="24"/>
          <w:highlight w:val="none"/>
        </w:rPr>
      </w:pPr>
      <w:r>
        <w:rPr>
          <w:rFonts w:ascii="宋体" w:hAnsi="宋体" w:eastAsia="宋体" w:cs="宋体"/>
          <w:spacing w:val="-2"/>
          <w:sz w:val="24"/>
          <w:szCs w:val="24"/>
          <w:highlight w:val="none"/>
        </w:rPr>
        <w:t>按采购文件及响应性文件相应条款制订）</w:t>
      </w:r>
    </w:p>
    <w:p w14:paraId="4C94E27E">
      <w:pPr>
        <w:spacing w:before="183" w:line="219" w:lineRule="auto"/>
        <w:ind w:left="501"/>
        <w:rPr>
          <w:rFonts w:ascii="宋体" w:hAnsi="宋体" w:eastAsia="宋体" w:cs="宋体"/>
          <w:sz w:val="24"/>
          <w:szCs w:val="24"/>
          <w:highlight w:val="none"/>
        </w:rPr>
      </w:pPr>
      <w:r>
        <w:rPr>
          <w:rFonts w:ascii="宋体" w:hAnsi="宋体" w:eastAsia="宋体" w:cs="宋体"/>
          <w:spacing w:val="-4"/>
          <w:sz w:val="24"/>
          <w:szCs w:val="24"/>
          <w:highlight w:val="none"/>
        </w:rPr>
        <w:t>三、交货时间、地点、方式、验收：</w:t>
      </w:r>
    </w:p>
    <w:p w14:paraId="1A70ED43">
      <w:pPr>
        <w:spacing w:before="184" w:line="360" w:lineRule="auto"/>
        <w:ind w:left="21" w:right="70" w:firstLine="499"/>
        <w:rPr>
          <w:rFonts w:ascii="宋体" w:hAnsi="宋体" w:eastAsia="宋体" w:cs="宋体"/>
          <w:spacing w:val="-3"/>
          <w:sz w:val="24"/>
          <w:szCs w:val="24"/>
          <w:highlight w:val="none"/>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5</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3"/>
          <w:sz w:val="24"/>
          <w:szCs w:val="24"/>
          <w:highlight w:val="none"/>
        </w:rPr>
        <w:t xml:space="preserve">  （甲方指定地点）</w:t>
      </w:r>
      <w:r>
        <w:rPr>
          <w:rFonts w:ascii="宋体" w:hAnsi="宋体" w:eastAsia="宋体" w:cs="宋体"/>
          <w:spacing w:val="-3"/>
          <w:sz w:val="24"/>
          <w:szCs w:val="24"/>
          <w:highlight w:val="none"/>
        </w:rPr>
        <w:t>将货物运送达到验收条件。货物运送产生的费用由乙方负责。由甲方组织相关人员进行验收。</w:t>
      </w:r>
    </w:p>
    <w:p w14:paraId="0C4A633F">
      <w:pPr>
        <w:spacing w:before="184" w:line="360" w:lineRule="auto"/>
        <w:ind w:left="21" w:right="70" w:firstLine="499"/>
        <w:rPr>
          <w:rFonts w:hint="eastAsia" w:ascii="宋体" w:hAnsi="宋体" w:eastAsia="宋体" w:cs="宋体"/>
          <w:spacing w:val="-9"/>
          <w:sz w:val="24"/>
          <w:szCs w:val="24"/>
          <w:highlight w:val="none"/>
          <w:lang w:val="en-US" w:eastAsia="zh-CN"/>
        </w:rPr>
      </w:pPr>
      <w:r>
        <w:rPr>
          <w:rFonts w:ascii="宋体" w:hAnsi="宋体" w:eastAsia="宋体" w:cs="宋体"/>
          <w:spacing w:val="-3"/>
          <w:sz w:val="24"/>
          <w:szCs w:val="24"/>
          <w:highlight w:val="none"/>
        </w:rPr>
        <w:t>四、付款方式</w:t>
      </w:r>
      <w:r>
        <w:rPr>
          <w:rFonts w:hint="eastAsia" w:ascii="宋体" w:hAnsi="宋体" w:eastAsia="宋体" w:cs="宋体"/>
          <w:spacing w:val="-3"/>
          <w:sz w:val="24"/>
          <w:szCs w:val="24"/>
          <w:highlight w:val="none"/>
          <w:lang w:eastAsia="zh-CN"/>
        </w:rPr>
        <w:t>：合同签订后支付30%货款，剩余70%分期付款，分三年（36期），自设备到货安装完成开始，每月支付一期。</w:t>
      </w:r>
    </w:p>
    <w:p w14:paraId="5B8425E5">
      <w:pPr>
        <w:spacing w:before="169" w:line="468" w:lineRule="exact"/>
        <w:ind w:right="67"/>
        <w:jc w:val="center"/>
        <w:rPr>
          <w:rFonts w:ascii="宋体" w:hAnsi="宋体" w:eastAsia="宋体" w:cs="宋体"/>
          <w:sz w:val="24"/>
          <w:szCs w:val="24"/>
          <w:highlight w:val="none"/>
        </w:rPr>
      </w:pPr>
      <w:r>
        <w:rPr>
          <w:rFonts w:hint="eastAsia" w:ascii="宋体" w:hAnsi="宋体" w:eastAsia="宋体" w:cs="宋体"/>
          <w:spacing w:val="-15"/>
          <w:position w:val="17"/>
          <w:sz w:val="24"/>
          <w:szCs w:val="24"/>
          <w:highlight w:val="none"/>
          <w:lang w:val="en-US" w:eastAsia="zh-CN"/>
        </w:rPr>
        <w:t>五</w:t>
      </w:r>
      <w:r>
        <w:rPr>
          <w:rFonts w:ascii="宋体" w:hAnsi="宋体" w:eastAsia="宋体" w:cs="宋体"/>
          <w:spacing w:val="-15"/>
          <w:position w:val="17"/>
          <w:sz w:val="24"/>
          <w:szCs w:val="24"/>
          <w:highlight w:val="none"/>
        </w:rPr>
        <w:t>、</w:t>
      </w:r>
      <w:r>
        <w:rPr>
          <w:rFonts w:ascii="宋体" w:hAnsi="宋体" w:eastAsia="宋体" w:cs="宋体"/>
          <w:spacing w:val="-38"/>
          <w:position w:val="17"/>
          <w:sz w:val="24"/>
          <w:szCs w:val="24"/>
          <w:highlight w:val="none"/>
        </w:rPr>
        <w:t xml:space="preserve"> </w:t>
      </w:r>
      <w:r>
        <w:rPr>
          <w:rFonts w:ascii="宋体" w:hAnsi="宋体" w:eastAsia="宋体" w:cs="宋体"/>
          <w:spacing w:val="-15"/>
          <w:position w:val="17"/>
          <w:sz w:val="24"/>
          <w:szCs w:val="24"/>
          <w:highlight w:val="none"/>
        </w:rPr>
        <w:t>违约责任：甲方无正当理由拒收货物、拒付货款的，</w:t>
      </w:r>
      <w:r>
        <w:rPr>
          <w:rFonts w:ascii="宋体" w:hAnsi="宋体" w:eastAsia="宋体" w:cs="宋体"/>
          <w:spacing w:val="-16"/>
          <w:position w:val="17"/>
          <w:sz w:val="24"/>
          <w:szCs w:val="24"/>
          <w:highlight w:val="none"/>
        </w:rPr>
        <w:t>向乙方偿付拒收拒</w:t>
      </w:r>
    </w:p>
    <w:p w14:paraId="330E8D8B">
      <w:pPr>
        <w:spacing w:before="1" w:line="218" w:lineRule="auto"/>
        <w:ind w:left="21"/>
        <w:rPr>
          <w:rFonts w:ascii="宋体" w:hAnsi="宋体" w:eastAsia="宋体" w:cs="宋体"/>
          <w:sz w:val="24"/>
          <w:szCs w:val="24"/>
          <w:highlight w:val="none"/>
        </w:rPr>
      </w:pPr>
      <w:r>
        <w:rPr>
          <w:rFonts w:ascii="宋体" w:hAnsi="宋体" w:eastAsia="宋体" w:cs="宋体"/>
          <w:spacing w:val="-4"/>
          <w:sz w:val="24"/>
          <w:szCs w:val="24"/>
          <w:highlight w:val="none"/>
        </w:rPr>
        <w:t>付部分货物款总额的</w:t>
      </w:r>
      <w:r>
        <w:rPr>
          <w:rFonts w:ascii="宋体" w:hAnsi="宋体" w:eastAsia="宋体" w:cs="宋体"/>
          <w:spacing w:val="-111"/>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pacing w:val="-4"/>
          <w:sz w:val="24"/>
          <w:szCs w:val="24"/>
          <w:highlight w:val="none"/>
        </w:rPr>
        <w:t>违约金。</w:t>
      </w:r>
    </w:p>
    <w:p w14:paraId="56FFE375">
      <w:pPr>
        <w:spacing w:before="184" w:line="360" w:lineRule="auto"/>
        <w:ind w:left="20" w:right="71" w:firstLine="500"/>
        <w:rPr>
          <w:rFonts w:ascii="宋体" w:hAnsi="宋体" w:eastAsia="宋体" w:cs="宋体"/>
          <w:sz w:val="24"/>
          <w:szCs w:val="24"/>
          <w:highlight w:val="none"/>
        </w:rPr>
      </w:pPr>
      <w:r>
        <w:rPr>
          <w:rFonts w:ascii="宋体" w:hAnsi="宋体" w:eastAsia="宋体" w:cs="宋体"/>
          <w:spacing w:val="-9"/>
          <w:sz w:val="24"/>
          <w:szCs w:val="24"/>
          <w:highlight w:val="none"/>
        </w:rPr>
        <w:t>乙方所交货物的规格型号、技术要求、质量品质等不符合合同规定，</w:t>
      </w:r>
      <w:r>
        <w:rPr>
          <w:rFonts w:ascii="宋体" w:hAnsi="宋体" w:eastAsia="宋体" w:cs="宋体"/>
          <w:spacing w:val="-10"/>
          <w:sz w:val="24"/>
          <w:szCs w:val="24"/>
          <w:highlight w:val="none"/>
        </w:rPr>
        <w:t>甲方有</w:t>
      </w:r>
      <w:r>
        <w:rPr>
          <w:rFonts w:ascii="宋体" w:hAnsi="宋体" w:eastAsia="宋体" w:cs="宋体"/>
          <w:spacing w:val="-7"/>
          <w:sz w:val="24"/>
          <w:szCs w:val="24"/>
          <w:highlight w:val="none"/>
        </w:rPr>
        <w:t>权拒收货物，乙方应负责更换并承担因更换而支付的全部实</w:t>
      </w:r>
      <w:r>
        <w:rPr>
          <w:rFonts w:ascii="宋体" w:hAnsi="宋体" w:eastAsia="宋体" w:cs="宋体"/>
          <w:spacing w:val="-8"/>
          <w:sz w:val="24"/>
          <w:szCs w:val="24"/>
          <w:highlight w:val="none"/>
        </w:rPr>
        <w:t>际费用。因更换而造</w:t>
      </w:r>
      <w:r>
        <w:rPr>
          <w:rFonts w:ascii="宋体" w:hAnsi="宋体" w:eastAsia="宋体" w:cs="宋体"/>
          <w:spacing w:val="-3"/>
          <w:sz w:val="24"/>
          <w:szCs w:val="24"/>
          <w:highlight w:val="none"/>
        </w:rPr>
        <w:t>成逾期交货，则按逾期交货处理。</w:t>
      </w:r>
    </w:p>
    <w:p w14:paraId="0DE100F5">
      <w:pPr>
        <w:spacing w:before="184" w:line="219" w:lineRule="auto"/>
        <w:ind w:right="6"/>
        <w:jc w:val="right"/>
        <w:rPr>
          <w:rFonts w:ascii="宋体" w:hAnsi="宋体" w:eastAsia="宋体" w:cs="宋体"/>
          <w:sz w:val="24"/>
          <w:szCs w:val="24"/>
          <w:highlight w:val="none"/>
        </w:rPr>
      </w:pPr>
      <w:r>
        <w:rPr>
          <w:rFonts w:ascii="宋体" w:hAnsi="宋体" w:eastAsia="宋体" w:cs="宋体"/>
          <w:spacing w:val="-2"/>
          <w:sz w:val="24"/>
          <w:szCs w:val="24"/>
          <w:highlight w:val="none"/>
        </w:rPr>
        <w:t>乙方不能交付货物的，乙方向甲方支付未交付部分货物款总额</w:t>
      </w:r>
      <w:r>
        <w:rPr>
          <w:rFonts w:ascii="宋体" w:hAnsi="宋体" w:eastAsia="宋体" w:cs="宋体"/>
          <w:spacing w:val="-119"/>
          <w:sz w:val="24"/>
          <w:szCs w:val="24"/>
          <w:highlight w:val="none"/>
        </w:rPr>
        <w:t xml:space="preserve"> </w:t>
      </w:r>
      <w:r>
        <w:rPr>
          <w:rFonts w:ascii="宋体" w:hAnsi="宋体" w:eastAsia="宋体" w:cs="宋体"/>
          <w:sz w:val="24"/>
          <w:szCs w:val="24"/>
          <w:highlight w:val="none"/>
          <w:u w:val="single" w:color="auto"/>
        </w:rPr>
        <w:t xml:space="preserve">    </w:t>
      </w:r>
      <w:r>
        <w:rPr>
          <w:rFonts w:ascii="宋体" w:hAnsi="宋体" w:eastAsia="宋体" w:cs="宋体"/>
          <w:spacing w:val="-111"/>
          <w:sz w:val="24"/>
          <w:szCs w:val="24"/>
          <w:highlight w:val="none"/>
        </w:rPr>
        <w:t xml:space="preserve"> </w:t>
      </w:r>
      <w:r>
        <w:rPr>
          <w:rFonts w:ascii="宋体" w:hAnsi="宋体" w:eastAsia="宋体" w:cs="宋体"/>
          <w:spacing w:val="-2"/>
          <w:sz w:val="24"/>
          <w:szCs w:val="24"/>
          <w:highlight w:val="none"/>
        </w:rPr>
        <w:t>违约金。</w:t>
      </w:r>
    </w:p>
    <w:p w14:paraId="2957651A">
      <w:pPr>
        <w:spacing w:before="183" w:line="468" w:lineRule="exact"/>
        <w:jc w:val="right"/>
        <w:rPr>
          <w:rFonts w:ascii="宋体" w:hAnsi="宋体" w:eastAsia="宋体" w:cs="宋体"/>
          <w:sz w:val="24"/>
          <w:szCs w:val="24"/>
          <w:highlight w:val="none"/>
        </w:rPr>
      </w:pPr>
      <w:r>
        <w:rPr>
          <w:rFonts w:ascii="宋体" w:hAnsi="宋体" w:eastAsia="宋体" w:cs="宋体"/>
          <w:spacing w:val="-1"/>
          <w:position w:val="17"/>
          <w:sz w:val="24"/>
          <w:szCs w:val="24"/>
          <w:highlight w:val="none"/>
        </w:rPr>
        <w:t>若因中标人（成交人）原因不能按期按质供货的，将扣除中标人（成交人）</w:t>
      </w:r>
    </w:p>
    <w:p w14:paraId="0C38FC5F">
      <w:pPr>
        <w:spacing w:before="1" w:line="219" w:lineRule="auto"/>
        <w:ind w:left="24"/>
        <w:rPr>
          <w:rFonts w:ascii="宋体" w:hAnsi="宋体" w:eastAsia="宋体" w:cs="宋体"/>
          <w:sz w:val="24"/>
          <w:szCs w:val="24"/>
          <w:highlight w:val="none"/>
        </w:rPr>
      </w:pPr>
      <w:r>
        <w:rPr>
          <w:rFonts w:ascii="宋体" w:hAnsi="宋体" w:eastAsia="宋体" w:cs="宋体"/>
          <w:spacing w:val="-1"/>
          <w:sz w:val="24"/>
          <w:szCs w:val="24"/>
          <w:highlight w:val="none"/>
        </w:rPr>
        <w:t>2</w:t>
      </w:r>
      <w:r>
        <w:rPr>
          <w:rFonts w:ascii="宋体" w:hAnsi="宋体" w:eastAsia="宋体" w:cs="宋体"/>
          <w:spacing w:val="-45"/>
          <w:sz w:val="24"/>
          <w:szCs w:val="24"/>
          <w:highlight w:val="none"/>
        </w:rPr>
        <w:t xml:space="preserve"> </w:t>
      </w:r>
      <w:r>
        <w:rPr>
          <w:rFonts w:ascii="宋体" w:hAnsi="宋体" w:eastAsia="宋体" w:cs="宋体"/>
          <w:spacing w:val="-1"/>
          <w:sz w:val="24"/>
          <w:szCs w:val="24"/>
          <w:highlight w:val="none"/>
        </w:rPr>
        <w:t>万元的违约金，同时每超过一天另扣除合同金额的千分之一。</w:t>
      </w:r>
    </w:p>
    <w:p w14:paraId="2C0B5CBA">
      <w:pPr>
        <w:spacing w:before="182" w:line="468" w:lineRule="exact"/>
        <w:ind w:right="69"/>
        <w:jc w:val="right"/>
        <w:rPr>
          <w:rFonts w:hint="eastAsia" w:ascii="宋体" w:hAnsi="宋体" w:eastAsia="宋体" w:cs="宋体"/>
          <w:sz w:val="24"/>
          <w:szCs w:val="24"/>
          <w:highlight w:val="none"/>
          <w:lang w:eastAsia="zh-CN"/>
        </w:rPr>
      </w:pPr>
      <w:r>
        <w:rPr>
          <w:rFonts w:hint="eastAsia" w:ascii="宋体" w:hAnsi="宋体" w:eastAsia="宋体" w:cs="宋体"/>
          <w:spacing w:val="-8"/>
          <w:position w:val="17"/>
          <w:sz w:val="24"/>
          <w:szCs w:val="24"/>
          <w:highlight w:val="none"/>
          <w:lang w:val="en-US" w:eastAsia="zh-CN"/>
        </w:rPr>
        <w:t xml:space="preserve">    </w:t>
      </w:r>
      <w:r>
        <w:rPr>
          <w:rFonts w:ascii="宋体" w:hAnsi="宋体" w:eastAsia="宋体" w:cs="宋体"/>
          <w:spacing w:val="-8"/>
          <w:position w:val="17"/>
          <w:sz w:val="24"/>
          <w:szCs w:val="24"/>
          <w:highlight w:val="none"/>
        </w:rPr>
        <w:t>六、因货物的质量问题发生争议，由甲方所在地市级技术监督单位进行质量</w:t>
      </w:r>
      <w:r>
        <w:rPr>
          <w:rFonts w:hint="eastAsia" w:ascii="宋体" w:hAnsi="宋体" w:eastAsia="宋体" w:cs="宋体"/>
          <w:spacing w:val="-8"/>
          <w:position w:val="17"/>
          <w:sz w:val="24"/>
          <w:szCs w:val="24"/>
          <w:highlight w:val="none"/>
          <w:lang w:eastAsia="zh-CN"/>
        </w:rPr>
        <w:t>鉴定。</w:t>
      </w:r>
    </w:p>
    <w:p w14:paraId="5BC26A2D">
      <w:pPr>
        <w:spacing w:before="1" w:line="220" w:lineRule="auto"/>
        <w:ind w:left="24"/>
        <w:rPr>
          <w:rFonts w:ascii="宋体" w:hAnsi="宋体" w:eastAsia="宋体" w:cs="宋体"/>
          <w:sz w:val="24"/>
          <w:szCs w:val="24"/>
          <w:highlight w:val="none"/>
        </w:rPr>
        <w:sectPr>
          <w:pgSz w:w="11907" w:h="16839"/>
          <w:pgMar w:top="1431" w:right="1723" w:bottom="1569" w:left="1785" w:header="0" w:footer="1408" w:gutter="0"/>
          <w:pgNumType w:fmt="decimal"/>
          <w:cols w:space="720" w:num="1"/>
        </w:sectPr>
      </w:pPr>
    </w:p>
    <w:p w14:paraId="215640BA">
      <w:pPr>
        <w:spacing w:before="121" w:line="469" w:lineRule="exact"/>
        <w:ind w:right="64" w:firstLine="436" w:firstLineChars="200"/>
        <w:jc w:val="both"/>
        <w:rPr>
          <w:rFonts w:ascii="宋体" w:hAnsi="宋体" w:eastAsia="宋体" w:cs="宋体"/>
          <w:sz w:val="24"/>
          <w:szCs w:val="24"/>
          <w:highlight w:val="none"/>
        </w:rPr>
      </w:pPr>
      <w:r>
        <w:rPr>
          <w:rFonts w:ascii="宋体" w:hAnsi="宋体" w:eastAsia="宋体" w:cs="宋体"/>
          <w:spacing w:val="-11"/>
          <w:position w:val="17"/>
          <w:sz w:val="24"/>
          <w:szCs w:val="24"/>
          <w:highlight w:val="none"/>
        </w:rPr>
        <w:t>七、甲乙双方应严格遵守投标要求和供应商须知，如有违反，按投标要求和</w:t>
      </w:r>
    </w:p>
    <w:p w14:paraId="0ABB92D9">
      <w:pPr>
        <w:spacing w:before="1" w:line="218" w:lineRule="auto"/>
        <w:ind w:left="21"/>
        <w:rPr>
          <w:rFonts w:ascii="宋体" w:hAnsi="宋体" w:eastAsia="宋体" w:cs="宋体"/>
          <w:sz w:val="24"/>
          <w:szCs w:val="24"/>
          <w:highlight w:val="none"/>
        </w:rPr>
      </w:pPr>
      <w:r>
        <w:rPr>
          <w:rFonts w:ascii="宋体" w:hAnsi="宋体" w:eastAsia="宋体" w:cs="宋体"/>
          <w:spacing w:val="-4"/>
          <w:sz w:val="24"/>
          <w:szCs w:val="24"/>
          <w:highlight w:val="none"/>
        </w:rPr>
        <w:t>供应商须知规定予以处理。</w:t>
      </w:r>
    </w:p>
    <w:p w14:paraId="39700C20">
      <w:pPr>
        <w:spacing w:before="183" w:line="468" w:lineRule="exact"/>
        <w:ind w:right="66"/>
        <w:jc w:val="center"/>
        <w:rPr>
          <w:rFonts w:ascii="宋体" w:hAnsi="宋体" w:eastAsia="宋体" w:cs="宋体"/>
          <w:sz w:val="24"/>
          <w:szCs w:val="24"/>
          <w:highlight w:val="none"/>
        </w:rPr>
      </w:pPr>
      <w:r>
        <w:rPr>
          <w:rFonts w:hint="eastAsia" w:ascii="宋体" w:hAnsi="宋体" w:eastAsia="宋体" w:cs="宋体"/>
          <w:spacing w:val="-3"/>
          <w:position w:val="17"/>
          <w:sz w:val="24"/>
          <w:szCs w:val="24"/>
          <w:highlight w:val="none"/>
          <w:lang w:val="en-US" w:eastAsia="zh-CN"/>
        </w:rPr>
        <w:t xml:space="preserve">   </w:t>
      </w:r>
      <w:r>
        <w:rPr>
          <w:rFonts w:ascii="宋体" w:hAnsi="宋体" w:eastAsia="宋体" w:cs="宋体"/>
          <w:spacing w:val="-3"/>
          <w:position w:val="17"/>
          <w:sz w:val="24"/>
          <w:szCs w:val="24"/>
          <w:highlight w:val="none"/>
        </w:rPr>
        <w:t>八、采购文件及其修改补充、投标文件及其修改补充澄清均为本合同的</w:t>
      </w:r>
      <w:r>
        <w:rPr>
          <w:rFonts w:ascii="宋体" w:hAnsi="宋体" w:eastAsia="宋体" w:cs="宋体"/>
          <w:spacing w:val="-4"/>
          <w:position w:val="17"/>
          <w:sz w:val="24"/>
          <w:szCs w:val="24"/>
          <w:highlight w:val="none"/>
        </w:rPr>
        <w:t>组成</w:t>
      </w:r>
    </w:p>
    <w:p w14:paraId="62F33C55">
      <w:pPr>
        <w:spacing w:line="219" w:lineRule="auto"/>
        <w:ind w:left="24"/>
        <w:rPr>
          <w:rFonts w:ascii="宋体" w:hAnsi="宋体" w:eastAsia="宋体" w:cs="宋体"/>
          <w:sz w:val="24"/>
          <w:szCs w:val="24"/>
          <w:highlight w:val="none"/>
        </w:rPr>
      </w:pPr>
      <w:r>
        <w:rPr>
          <w:rFonts w:ascii="宋体" w:hAnsi="宋体" w:eastAsia="宋体" w:cs="宋体"/>
          <w:spacing w:val="-11"/>
          <w:sz w:val="24"/>
          <w:szCs w:val="24"/>
          <w:highlight w:val="none"/>
        </w:rPr>
        <w:t>部分。</w:t>
      </w:r>
    </w:p>
    <w:p w14:paraId="507B0EAA">
      <w:pPr>
        <w:spacing w:before="182" w:line="360" w:lineRule="auto"/>
        <w:ind w:left="21" w:right="66" w:firstLine="485"/>
        <w:rPr>
          <w:rFonts w:ascii="宋体" w:hAnsi="宋体" w:eastAsia="宋体" w:cs="宋体"/>
          <w:sz w:val="24"/>
          <w:szCs w:val="24"/>
          <w:highlight w:val="none"/>
        </w:rPr>
      </w:pPr>
      <w:r>
        <w:rPr>
          <w:rFonts w:ascii="宋体" w:hAnsi="宋体" w:eastAsia="宋体" w:cs="宋体"/>
          <w:spacing w:val="-8"/>
          <w:sz w:val="24"/>
          <w:szCs w:val="24"/>
          <w:highlight w:val="none"/>
        </w:rPr>
        <w:t>九、本合同发生争议时双方应按合同条款协商解决。双方协商不成的，可以</w:t>
      </w:r>
      <w:r>
        <w:rPr>
          <w:rFonts w:ascii="宋体" w:hAnsi="宋体" w:eastAsia="宋体" w:cs="宋体"/>
          <w:spacing w:val="-3"/>
          <w:sz w:val="24"/>
          <w:szCs w:val="24"/>
          <w:highlight w:val="none"/>
        </w:rPr>
        <w:t>根据仲裁协议向当地仲裁机构申请仲裁。当事人没有订立仲裁协议或者仲裁协议无效的，可以向当地人民法院起诉。</w:t>
      </w:r>
    </w:p>
    <w:p w14:paraId="1995C0C1">
      <w:pPr>
        <w:spacing w:before="182" w:line="220" w:lineRule="auto"/>
        <w:ind w:left="502"/>
        <w:rPr>
          <w:rFonts w:ascii="宋体" w:hAnsi="宋体" w:eastAsia="宋体" w:cs="宋体"/>
          <w:sz w:val="24"/>
          <w:szCs w:val="24"/>
          <w:highlight w:val="none"/>
        </w:rPr>
      </w:pPr>
      <w:r>
        <w:rPr>
          <w:rFonts w:ascii="宋体" w:hAnsi="宋体" w:eastAsia="宋体" w:cs="宋体"/>
          <w:spacing w:val="-6"/>
          <w:sz w:val="24"/>
          <w:szCs w:val="24"/>
          <w:highlight w:val="none"/>
        </w:rPr>
        <w:t>十、合同生效及其它：</w:t>
      </w:r>
    </w:p>
    <w:p w14:paraId="4CC7728E">
      <w:pPr>
        <w:spacing w:before="182" w:line="360" w:lineRule="auto"/>
        <w:ind w:left="52" w:firstLine="449"/>
        <w:rPr>
          <w:rFonts w:ascii="宋体" w:hAnsi="宋体" w:eastAsia="宋体" w:cs="宋体"/>
          <w:sz w:val="24"/>
          <w:szCs w:val="24"/>
          <w:highlight w:val="none"/>
        </w:rPr>
      </w:pPr>
      <w:r>
        <w:rPr>
          <w:rFonts w:ascii="宋体" w:hAnsi="宋体" w:eastAsia="宋体" w:cs="宋体"/>
          <w:spacing w:val="-8"/>
          <w:sz w:val="24"/>
          <w:szCs w:val="24"/>
          <w:highlight w:val="none"/>
        </w:rPr>
        <w:t>本合同经甲、乙双方代表签字、加盖公章和骑缝章后生效。本合同一式五份，甲乙双方各持两份。合同签订后在</w:t>
      </w:r>
      <w:r>
        <w:rPr>
          <w:rFonts w:ascii="宋体" w:hAnsi="宋体" w:eastAsia="宋体" w:cs="宋体"/>
          <w:spacing w:val="-28"/>
          <w:sz w:val="24"/>
          <w:szCs w:val="24"/>
          <w:highlight w:val="none"/>
        </w:rPr>
        <w:t xml:space="preserve"> </w:t>
      </w:r>
      <w:r>
        <w:rPr>
          <w:rFonts w:ascii="宋体" w:hAnsi="宋体" w:eastAsia="宋体" w:cs="宋体"/>
          <w:spacing w:val="-8"/>
          <w:sz w:val="24"/>
          <w:szCs w:val="24"/>
          <w:highlight w:val="none"/>
        </w:rPr>
        <w:t>1</w:t>
      </w:r>
      <w:r>
        <w:rPr>
          <w:rFonts w:ascii="宋体" w:hAnsi="宋体" w:eastAsia="宋体" w:cs="宋体"/>
          <w:spacing w:val="-51"/>
          <w:sz w:val="24"/>
          <w:szCs w:val="24"/>
          <w:highlight w:val="none"/>
        </w:rPr>
        <w:t xml:space="preserve"> </w:t>
      </w:r>
      <w:r>
        <w:rPr>
          <w:rFonts w:ascii="宋体" w:hAnsi="宋体" w:eastAsia="宋体" w:cs="宋体"/>
          <w:spacing w:val="-8"/>
          <w:sz w:val="24"/>
          <w:szCs w:val="24"/>
          <w:highlight w:val="none"/>
        </w:rPr>
        <w:t>个工作日内，采购人将合同在焦作市政府采</w:t>
      </w:r>
      <w:r>
        <w:rPr>
          <w:rFonts w:ascii="宋体" w:hAnsi="宋体" w:eastAsia="宋体" w:cs="宋体"/>
          <w:spacing w:val="-5"/>
          <w:sz w:val="24"/>
          <w:szCs w:val="24"/>
          <w:highlight w:val="none"/>
        </w:rPr>
        <w:t>购网公示并备案。</w:t>
      </w:r>
    </w:p>
    <w:p w14:paraId="7EB72251">
      <w:pPr>
        <w:spacing w:before="182" w:line="221" w:lineRule="auto"/>
        <w:ind w:left="521"/>
        <w:rPr>
          <w:rFonts w:ascii="宋体" w:hAnsi="宋体" w:eastAsia="宋体" w:cs="宋体"/>
          <w:sz w:val="24"/>
          <w:szCs w:val="24"/>
          <w:highlight w:val="none"/>
        </w:rPr>
      </w:pPr>
      <w:r>
        <w:rPr>
          <w:rFonts w:ascii="宋体" w:hAnsi="宋体" w:eastAsia="宋体" w:cs="宋体"/>
          <w:spacing w:val="-34"/>
          <w:sz w:val="24"/>
          <w:szCs w:val="24"/>
          <w:highlight w:val="none"/>
        </w:rPr>
        <w:t>乙方：</w:t>
      </w:r>
      <w:r>
        <w:rPr>
          <w:rFonts w:ascii="宋体" w:hAnsi="宋体" w:eastAsia="宋体" w:cs="宋体"/>
          <w:spacing w:val="1"/>
          <w:sz w:val="24"/>
          <w:szCs w:val="24"/>
          <w:highlight w:val="none"/>
        </w:rPr>
        <w:t xml:space="preserve">                          </w:t>
      </w:r>
      <w:r>
        <w:rPr>
          <w:rFonts w:ascii="宋体" w:hAnsi="宋体" w:eastAsia="宋体" w:cs="宋体"/>
          <w:spacing w:val="-34"/>
          <w:sz w:val="24"/>
          <w:szCs w:val="24"/>
          <w:highlight w:val="none"/>
        </w:rPr>
        <w:t>甲方：</w:t>
      </w:r>
    </w:p>
    <w:p w14:paraId="370DF223">
      <w:pPr>
        <w:spacing w:before="181" w:line="229" w:lineRule="auto"/>
        <w:ind w:left="501"/>
        <w:rPr>
          <w:rFonts w:ascii="宋体" w:hAnsi="宋体" w:eastAsia="宋体" w:cs="宋体"/>
          <w:sz w:val="24"/>
          <w:szCs w:val="24"/>
          <w:highlight w:val="none"/>
        </w:rPr>
      </w:pPr>
      <w:r>
        <w:rPr>
          <w:rFonts w:ascii="宋体" w:hAnsi="宋体" w:eastAsia="宋体" w:cs="宋体"/>
          <w:spacing w:val="-28"/>
          <w:sz w:val="24"/>
          <w:szCs w:val="24"/>
          <w:highlight w:val="none"/>
        </w:rPr>
        <w:t>地址：</w:t>
      </w:r>
      <w:r>
        <w:rPr>
          <w:rFonts w:ascii="宋体" w:hAnsi="宋体" w:eastAsia="宋体" w:cs="宋体"/>
          <w:sz w:val="24"/>
          <w:szCs w:val="24"/>
          <w:highlight w:val="none"/>
        </w:rPr>
        <w:t xml:space="preserve">                          </w:t>
      </w:r>
      <w:r>
        <w:rPr>
          <w:rFonts w:ascii="宋体" w:hAnsi="宋体" w:eastAsia="宋体" w:cs="宋体"/>
          <w:spacing w:val="-28"/>
          <w:sz w:val="24"/>
          <w:szCs w:val="24"/>
          <w:highlight w:val="none"/>
        </w:rPr>
        <w:t>地址：</w:t>
      </w:r>
    </w:p>
    <w:p w14:paraId="0EB1B34C">
      <w:pPr>
        <w:spacing w:before="170" w:line="220" w:lineRule="auto"/>
        <w:ind w:left="502"/>
        <w:rPr>
          <w:rFonts w:ascii="宋体" w:hAnsi="宋体" w:eastAsia="宋体" w:cs="宋体"/>
          <w:sz w:val="24"/>
          <w:szCs w:val="24"/>
          <w:highlight w:val="none"/>
        </w:rPr>
      </w:pPr>
      <w:r>
        <w:rPr>
          <w:rFonts w:ascii="宋体" w:hAnsi="宋体" w:eastAsia="宋体" w:cs="宋体"/>
          <w:spacing w:val="-12"/>
          <w:sz w:val="24"/>
          <w:szCs w:val="24"/>
          <w:highlight w:val="none"/>
        </w:rPr>
        <w:t xml:space="preserve">法定代表人：                    </w:t>
      </w:r>
      <w:r>
        <w:rPr>
          <w:rFonts w:ascii="宋体" w:hAnsi="宋体" w:eastAsia="宋体" w:cs="宋体"/>
          <w:spacing w:val="-13"/>
          <w:sz w:val="24"/>
          <w:szCs w:val="24"/>
          <w:highlight w:val="none"/>
        </w:rPr>
        <w:t xml:space="preserve">  </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法定代表人：</w:t>
      </w:r>
    </w:p>
    <w:p w14:paraId="35199194">
      <w:pPr>
        <w:spacing w:before="182" w:line="220" w:lineRule="auto"/>
        <w:ind w:left="500"/>
        <w:rPr>
          <w:rFonts w:ascii="宋体" w:hAnsi="宋体" w:eastAsia="宋体" w:cs="宋体"/>
          <w:sz w:val="24"/>
          <w:szCs w:val="24"/>
          <w:highlight w:val="none"/>
        </w:rPr>
      </w:pPr>
      <w:r>
        <w:rPr>
          <w:rFonts w:ascii="宋体" w:hAnsi="宋体" w:eastAsia="宋体" w:cs="宋体"/>
          <w:spacing w:val="-12"/>
          <w:sz w:val="24"/>
          <w:szCs w:val="24"/>
          <w:highlight w:val="none"/>
        </w:rPr>
        <w:t xml:space="preserve">委托代理人：                      </w:t>
      </w:r>
      <w:r>
        <w:rPr>
          <w:rFonts w:hint="eastAsia" w:ascii="宋体" w:hAnsi="宋体" w:eastAsia="宋体" w:cs="宋体"/>
          <w:spacing w:val="-12"/>
          <w:sz w:val="24"/>
          <w:szCs w:val="24"/>
          <w:highlight w:val="none"/>
          <w:lang w:val="en-US" w:eastAsia="zh-CN"/>
        </w:rPr>
        <w:t xml:space="preserve">   </w:t>
      </w:r>
      <w:r>
        <w:rPr>
          <w:rFonts w:ascii="宋体" w:hAnsi="宋体" w:eastAsia="宋体" w:cs="宋体"/>
          <w:spacing w:val="-13"/>
          <w:sz w:val="24"/>
          <w:szCs w:val="24"/>
          <w:highlight w:val="none"/>
        </w:rPr>
        <w:t>委托代理人：</w:t>
      </w:r>
    </w:p>
    <w:p w14:paraId="0D2E92AC">
      <w:pPr>
        <w:spacing w:before="182" w:line="222" w:lineRule="auto"/>
        <w:ind w:left="529"/>
        <w:rPr>
          <w:rFonts w:ascii="宋体" w:hAnsi="宋体" w:eastAsia="宋体" w:cs="宋体"/>
          <w:sz w:val="24"/>
          <w:szCs w:val="24"/>
          <w:highlight w:val="none"/>
        </w:rPr>
      </w:pPr>
      <w:r>
        <w:rPr>
          <w:rFonts w:ascii="宋体" w:hAnsi="宋体" w:eastAsia="宋体" w:cs="宋体"/>
          <w:spacing w:val="-13"/>
          <w:sz w:val="24"/>
          <w:szCs w:val="24"/>
          <w:highlight w:val="none"/>
        </w:rPr>
        <w:t xml:space="preserve">电话：           </w:t>
      </w:r>
      <w:r>
        <w:rPr>
          <w:rFonts w:ascii="宋体" w:hAnsi="宋体" w:eastAsia="宋体" w:cs="宋体"/>
          <w:spacing w:val="3"/>
          <w:sz w:val="24"/>
          <w:szCs w:val="24"/>
          <w:highlight w:val="none"/>
        </w:rPr>
        <w:t xml:space="preserve">            </w:t>
      </w:r>
      <w:r>
        <w:rPr>
          <w:rFonts w:ascii="宋体" w:hAnsi="宋体" w:eastAsia="宋体" w:cs="宋体"/>
          <w:spacing w:val="-13"/>
          <w:sz w:val="24"/>
          <w:szCs w:val="24"/>
          <w:highlight w:val="none"/>
        </w:rPr>
        <w:t xml:space="preserve">  </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电话：</w:t>
      </w:r>
    </w:p>
    <w:p w14:paraId="7A25D8BD">
      <w:pPr>
        <w:spacing w:before="180" w:line="220" w:lineRule="auto"/>
        <w:ind w:left="502"/>
        <w:rPr>
          <w:rFonts w:ascii="宋体" w:hAnsi="宋体" w:eastAsia="宋体" w:cs="宋体"/>
          <w:sz w:val="24"/>
          <w:szCs w:val="24"/>
          <w:highlight w:val="none"/>
        </w:rPr>
      </w:pPr>
      <w:r>
        <w:rPr>
          <w:rFonts w:ascii="宋体" w:hAnsi="宋体" w:eastAsia="宋体" w:cs="宋体"/>
          <w:spacing w:val="-21"/>
          <w:sz w:val="24"/>
          <w:szCs w:val="24"/>
          <w:highlight w:val="none"/>
        </w:rPr>
        <w:t>开户银行：</w:t>
      </w:r>
      <w:r>
        <w:rPr>
          <w:rFonts w:ascii="宋体" w:hAnsi="宋体" w:eastAsia="宋体" w:cs="宋体"/>
          <w:spacing w:val="4"/>
          <w:sz w:val="24"/>
          <w:szCs w:val="24"/>
          <w:highlight w:val="none"/>
        </w:rPr>
        <w:t xml:space="preserve">                     </w:t>
      </w:r>
      <w:r>
        <w:rPr>
          <w:rFonts w:ascii="宋体" w:hAnsi="宋体" w:eastAsia="宋体" w:cs="宋体"/>
          <w:spacing w:val="-21"/>
          <w:sz w:val="24"/>
          <w:szCs w:val="24"/>
          <w:highlight w:val="none"/>
        </w:rPr>
        <w:t>开户银行：</w:t>
      </w:r>
    </w:p>
    <w:p w14:paraId="4E16F4AB">
      <w:pPr>
        <w:spacing w:before="183" w:line="220" w:lineRule="auto"/>
        <w:ind w:left="502"/>
        <w:rPr>
          <w:rFonts w:ascii="宋体" w:hAnsi="宋体" w:eastAsia="宋体" w:cs="宋体"/>
          <w:sz w:val="24"/>
          <w:szCs w:val="24"/>
          <w:highlight w:val="none"/>
        </w:rPr>
      </w:pPr>
      <w:r>
        <w:rPr>
          <w:rFonts w:ascii="宋体" w:hAnsi="宋体" w:eastAsia="宋体" w:cs="宋体"/>
          <w:spacing w:val="-10"/>
          <w:sz w:val="24"/>
          <w:szCs w:val="24"/>
          <w:highlight w:val="none"/>
        </w:rPr>
        <w:t xml:space="preserve">银行账号：                </w:t>
      </w:r>
      <w:r>
        <w:rPr>
          <w:rFonts w:ascii="宋体" w:hAnsi="宋体" w:eastAsia="宋体" w:cs="宋体"/>
          <w:spacing w:val="-11"/>
          <w:sz w:val="24"/>
          <w:szCs w:val="24"/>
          <w:highlight w:val="none"/>
        </w:rPr>
        <w:t xml:space="preserve">        </w:t>
      </w:r>
      <w:r>
        <w:rPr>
          <w:rFonts w:hint="eastAsia" w:ascii="宋体" w:hAnsi="宋体" w:eastAsia="宋体" w:cs="宋体"/>
          <w:spacing w:val="-11"/>
          <w:sz w:val="24"/>
          <w:szCs w:val="24"/>
          <w:highlight w:val="none"/>
          <w:lang w:val="en-US" w:eastAsia="zh-CN"/>
        </w:rPr>
        <w:t xml:space="preserve">  </w:t>
      </w:r>
      <w:r>
        <w:rPr>
          <w:rFonts w:ascii="宋体" w:hAnsi="宋体" w:eastAsia="宋体" w:cs="宋体"/>
          <w:spacing w:val="-11"/>
          <w:sz w:val="24"/>
          <w:szCs w:val="24"/>
          <w:highlight w:val="none"/>
        </w:rPr>
        <w:t>银行账号：</w:t>
      </w:r>
    </w:p>
    <w:p w14:paraId="4969D11C">
      <w:pPr>
        <w:spacing w:before="181" w:line="222" w:lineRule="auto"/>
        <w:ind w:left="501"/>
        <w:rPr>
          <w:rFonts w:ascii="宋体" w:hAnsi="宋体" w:eastAsia="宋体" w:cs="宋体"/>
          <w:sz w:val="24"/>
          <w:szCs w:val="24"/>
          <w:highlight w:val="none"/>
        </w:rPr>
      </w:pPr>
      <w:r>
        <w:rPr>
          <w:rFonts w:ascii="宋体" w:hAnsi="宋体" w:eastAsia="宋体" w:cs="宋体"/>
          <w:spacing w:val="-12"/>
          <w:sz w:val="24"/>
          <w:szCs w:val="24"/>
          <w:highlight w:val="none"/>
        </w:rPr>
        <w:t xml:space="preserve">签约时间：                        </w:t>
      </w:r>
      <w:r>
        <w:rPr>
          <w:rFonts w:hint="eastAsia" w:ascii="宋体" w:hAnsi="宋体" w:eastAsia="宋体" w:cs="宋体"/>
          <w:spacing w:val="-12"/>
          <w:sz w:val="24"/>
          <w:szCs w:val="24"/>
          <w:highlight w:val="none"/>
          <w:lang w:val="en-US" w:eastAsia="zh-CN"/>
        </w:rPr>
        <w:t xml:space="preserve">   </w:t>
      </w:r>
      <w:r>
        <w:rPr>
          <w:rFonts w:ascii="宋体" w:hAnsi="宋体" w:eastAsia="宋体" w:cs="宋体"/>
          <w:spacing w:val="-13"/>
          <w:sz w:val="24"/>
          <w:szCs w:val="24"/>
          <w:highlight w:val="none"/>
        </w:rPr>
        <w:t>签约地点：</w:t>
      </w:r>
    </w:p>
    <w:p w14:paraId="20DA8133">
      <w:pPr>
        <w:spacing w:before="180" w:line="360" w:lineRule="auto"/>
        <w:ind w:left="24" w:right="66" w:firstLine="482"/>
        <w:rPr>
          <w:rFonts w:ascii="宋体" w:hAnsi="宋体" w:eastAsia="宋体" w:cs="宋体"/>
          <w:sz w:val="24"/>
          <w:szCs w:val="24"/>
          <w:highlight w:val="none"/>
        </w:rPr>
      </w:pPr>
      <w:r>
        <w:rPr>
          <w:rFonts w:hint="eastAsia" w:ascii="宋体" w:hAnsi="宋体" w:eastAsia="宋体" w:cs="宋体"/>
          <w:spacing w:val="-13"/>
          <w:sz w:val="24"/>
          <w:szCs w:val="24"/>
          <w:highlight w:val="none"/>
        </w:rPr>
        <w:t>重要提示：</w:t>
      </w:r>
      <w:r>
        <w:rPr>
          <w:rFonts w:ascii="宋体" w:hAnsi="宋体" w:eastAsia="宋体" w:cs="宋体"/>
          <w:spacing w:val="-13"/>
          <w:sz w:val="24"/>
          <w:szCs w:val="24"/>
          <w:highlight w:val="none"/>
        </w:rPr>
        <w:t>以上合同文本作为签订合同的重要依据，涉及付款方式、供应商</w:t>
      </w:r>
      <w:r>
        <w:rPr>
          <w:rFonts w:ascii="宋体" w:hAnsi="宋体" w:eastAsia="宋体" w:cs="宋体"/>
          <w:spacing w:val="4"/>
          <w:sz w:val="24"/>
          <w:szCs w:val="24"/>
          <w:highlight w:val="none"/>
        </w:rPr>
        <w:t>名称等实质性内容不得变更。其他部分按照竞争性</w:t>
      </w:r>
      <w:r>
        <w:rPr>
          <w:rFonts w:hint="eastAsia" w:ascii="宋体" w:hAnsi="宋体" w:eastAsia="宋体" w:cs="宋体"/>
          <w:spacing w:val="4"/>
          <w:sz w:val="24"/>
          <w:szCs w:val="24"/>
          <w:highlight w:val="none"/>
          <w:lang w:eastAsia="zh-CN"/>
        </w:rPr>
        <w:t>磋商</w:t>
      </w:r>
      <w:r>
        <w:rPr>
          <w:rFonts w:ascii="宋体" w:hAnsi="宋体" w:eastAsia="宋体" w:cs="宋体"/>
          <w:spacing w:val="4"/>
          <w:sz w:val="24"/>
          <w:szCs w:val="24"/>
          <w:highlight w:val="none"/>
        </w:rPr>
        <w:t>文件及采购资料增减确</w:t>
      </w:r>
      <w:r>
        <w:rPr>
          <w:rFonts w:ascii="宋体" w:hAnsi="宋体" w:eastAsia="宋体" w:cs="宋体"/>
          <w:spacing w:val="-13"/>
          <w:sz w:val="24"/>
          <w:szCs w:val="24"/>
          <w:highlight w:val="none"/>
        </w:rPr>
        <w:t>定。</w:t>
      </w:r>
    </w:p>
    <w:p w14:paraId="423706BF">
      <w:pPr>
        <w:spacing w:line="220" w:lineRule="auto"/>
        <w:rPr>
          <w:rFonts w:ascii="宋体" w:hAnsi="宋体" w:eastAsia="宋体" w:cs="宋体"/>
          <w:sz w:val="24"/>
          <w:szCs w:val="24"/>
          <w:highlight w:val="none"/>
        </w:rPr>
        <w:sectPr>
          <w:footerReference r:id="rId18" w:type="default"/>
          <w:pgSz w:w="11907" w:h="16839"/>
          <w:pgMar w:top="1431" w:right="1728" w:bottom="1569" w:left="1785" w:header="0" w:footer="1408" w:gutter="0"/>
          <w:pgNumType w:fmt="decimal"/>
          <w:cols w:space="720" w:num="1"/>
        </w:sectPr>
      </w:pPr>
    </w:p>
    <w:p w14:paraId="2F7B1879">
      <w:pPr>
        <w:pStyle w:val="15"/>
        <w:pageBreakBefore w:val="0"/>
        <w:kinsoku/>
        <w:wordWrap/>
        <w:overflowPunct/>
        <w:topLinePunct w:val="0"/>
        <w:bidi w:val="0"/>
        <w:spacing w:beforeAutospacing="0" w:after="0" w:afterAutospacing="0" w:line="360" w:lineRule="auto"/>
        <w:ind w:left="0" w:leftChars="0" w:firstLine="0" w:firstLineChars="0"/>
        <w:jc w:val="center"/>
        <w:rPr>
          <w:highlight w:val="none"/>
        </w:rPr>
      </w:pPr>
      <w:r>
        <w:rPr>
          <w:rFonts w:hint="eastAsia"/>
          <w:b/>
          <w:bCs/>
          <w:color w:val="auto"/>
          <w:sz w:val="52"/>
          <w:szCs w:val="52"/>
          <w:highlight w:val="none"/>
          <w:lang w:val="en-US" w:eastAsia="zh-CN"/>
        </w:rPr>
        <w:t>第七部分 履约验收</w:t>
      </w:r>
    </w:p>
    <w:p w14:paraId="27C9D9FF">
      <w:pPr>
        <w:pStyle w:val="6"/>
        <w:spacing w:line="287" w:lineRule="auto"/>
        <w:rPr>
          <w:highlight w:val="none"/>
        </w:rPr>
      </w:pPr>
    </w:p>
    <w:p w14:paraId="6DD10A36">
      <w:pPr>
        <w:spacing w:before="78" w:line="360" w:lineRule="auto"/>
        <w:ind w:left="22" w:right="136" w:firstLine="47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供应商履约完成后，向采购人提出验收建议，采购人自收到验收建议之日起五个工作日内，采购人组织供应商参与，共同完成验收。技术复杂、专业性</w:t>
      </w:r>
      <w:r>
        <w:rPr>
          <w:rFonts w:hint="eastAsia" w:ascii="宋体" w:hAnsi="宋体" w:eastAsia="宋体" w:cs="宋体"/>
          <w:spacing w:val="-4"/>
          <w:sz w:val="24"/>
          <w:szCs w:val="24"/>
          <w:highlight w:val="none"/>
        </w:rPr>
        <w:t>强等项目可适当延长验收时间。验收流程如下：</w:t>
      </w:r>
    </w:p>
    <w:p w14:paraId="22516E60">
      <w:pPr>
        <w:spacing w:before="183" w:line="360" w:lineRule="auto"/>
        <w:ind w:left="21" w:right="45" w:firstLine="4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1.编制验收方案。明确验收时间、方式、程序等内容。技术复杂、社会影</w:t>
      </w:r>
      <w:r>
        <w:rPr>
          <w:rFonts w:hint="eastAsia" w:ascii="宋体" w:hAnsi="宋体" w:eastAsia="宋体" w:cs="宋体"/>
          <w:spacing w:val="-8"/>
          <w:sz w:val="24"/>
          <w:szCs w:val="24"/>
          <w:highlight w:val="none"/>
        </w:rPr>
        <w:t>响较大的货物类项目，可以根据需要设置出厂检验、到货检</w:t>
      </w:r>
      <w:r>
        <w:rPr>
          <w:rFonts w:hint="eastAsia" w:ascii="宋体" w:hAnsi="宋体" w:eastAsia="宋体" w:cs="宋体"/>
          <w:spacing w:val="-9"/>
          <w:sz w:val="24"/>
          <w:szCs w:val="24"/>
          <w:highlight w:val="none"/>
        </w:rPr>
        <w:t>验、安装调试检验、</w:t>
      </w:r>
      <w:r>
        <w:rPr>
          <w:rFonts w:hint="eastAsia" w:ascii="宋体" w:hAnsi="宋体" w:eastAsia="宋体" w:cs="宋体"/>
          <w:sz w:val="24"/>
          <w:szCs w:val="24"/>
          <w:highlight w:val="none"/>
        </w:rPr>
        <w:t>配套服务检验等多重验收环节；服务类项目、可根据项目特点对服务期内的服</w:t>
      </w:r>
      <w:r>
        <w:rPr>
          <w:rFonts w:hint="eastAsia" w:ascii="宋体" w:hAnsi="宋体" w:eastAsia="宋体" w:cs="宋体"/>
          <w:spacing w:val="-6"/>
          <w:sz w:val="24"/>
          <w:szCs w:val="24"/>
          <w:highlight w:val="none"/>
        </w:rPr>
        <w:t>务实施情况分期考核，结合考核情况和服务效果进行验收；</w:t>
      </w:r>
      <w:r>
        <w:rPr>
          <w:rFonts w:hint="eastAsia" w:ascii="宋体" w:hAnsi="宋体" w:eastAsia="宋体" w:cs="宋体"/>
          <w:spacing w:val="-7"/>
          <w:sz w:val="24"/>
          <w:szCs w:val="24"/>
          <w:highlight w:val="none"/>
        </w:rPr>
        <w:t>工程类项目按照行</w:t>
      </w:r>
      <w:r>
        <w:rPr>
          <w:rFonts w:hint="eastAsia" w:ascii="宋体" w:hAnsi="宋体" w:eastAsia="宋体" w:cs="宋体"/>
          <w:spacing w:val="-3"/>
          <w:sz w:val="24"/>
          <w:szCs w:val="24"/>
          <w:highlight w:val="none"/>
        </w:rPr>
        <w:t>业部门规定的标准、方法和内容进行验收。</w:t>
      </w:r>
    </w:p>
    <w:p w14:paraId="6EADD0DE">
      <w:pPr>
        <w:spacing w:before="183" w:line="360" w:lineRule="auto"/>
        <w:ind w:left="21" w:right="45" w:firstLine="47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2.完善验收方式。对于采购人和使用人分离的采购项目，应邀请使用人参与验收。采购人可邀请参与本项目的其他供应商或第三方机构及专家参与验收。</w:t>
      </w:r>
      <w:r>
        <w:rPr>
          <w:rFonts w:hint="eastAsia" w:ascii="宋体" w:hAnsi="宋体" w:eastAsia="宋体" w:cs="宋体"/>
          <w:spacing w:val="-1"/>
          <w:sz w:val="24"/>
          <w:szCs w:val="24"/>
          <w:highlight w:val="none"/>
        </w:rPr>
        <w:t>相关验收意见作为验收书的参考资料。政府向社会公众提供的公共服务项目，</w:t>
      </w:r>
      <w:r>
        <w:rPr>
          <w:rFonts w:hint="eastAsia" w:ascii="宋体" w:hAnsi="宋体" w:eastAsia="宋体" w:cs="宋体"/>
          <w:spacing w:val="-6"/>
          <w:sz w:val="24"/>
          <w:szCs w:val="24"/>
          <w:highlight w:val="none"/>
        </w:rPr>
        <w:t>验收时应邀请服务对象参与并出具意见，</w:t>
      </w:r>
      <w:r>
        <w:rPr>
          <w:rFonts w:hint="eastAsia" w:ascii="宋体" w:hAnsi="宋体" w:eastAsia="宋体" w:cs="宋体"/>
          <w:spacing w:val="-29"/>
          <w:sz w:val="24"/>
          <w:szCs w:val="24"/>
          <w:highlight w:val="none"/>
        </w:rPr>
        <w:t xml:space="preserve"> </w:t>
      </w:r>
      <w:r>
        <w:rPr>
          <w:rFonts w:hint="eastAsia" w:ascii="宋体" w:hAnsi="宋体" w:eastAsia="宋体" w:cs="宋体"/>
          <w:spacing w:val="-6"/>
          <w:sz w:val="24"/>
          <w:szCs w:val="24"/>
          <w:highlight w:val="none"/>
        </w:rPr>
        <w:t>验收结果应在焦</w:t>
      </w:r>
      <w:r>
        <w:rPr>
          <w:rFonts w:hint="eastAsia" w:ascii="宋体" w:hAnsi="宋体" w:eastAsia="宋体" w:cs="宋体"/>
          <w:spacing w:val="-7"/>
          <w:sz w:val="24"/>
          <w:szCs w:val="24"/>
          <w:highlight w:val="none"/>
        </w:rPr>
        <w:t>作市政府采购网公示。</w:t>
      </w:r>
    </w:p>
    <w:p w14:paraId="00871CEC">
      <w:pPr>
        <w:spacing w:before="184" w:line="360" w:lineRule="auto"/>
        <w:ind w:left="21" w:right="136" w:firstLine="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3.按照合同履约验收。验收时，应当按照采购合同的约定对每</w:t>
      </w:r>
      <w:r>
        <w:rPr>
          <w:rFonts w:hint="eastAsia" w:ascii="宋体" w:hAnsi="宋体" w:eastAsia="宋体" w:cs="宋体"/>
          <w:spacing w:val="-2"/>
          <w:sz w:val="24"/>
          <w:szCs w:val="24"/>
          <w:highlight w:val="none"/>
        </w:rPr>
        <w:t>一项技术</w:t>
      </w:r>
      <w:r>
        <w:rPr>
          <w:rFonts w:hint="eastAsia" w:ascii="宋体" w:hAnsi="宋体" w:eastAsia="宋体" w:cs="宋体"/>
          <w:sz w:val="24"/>
          <w:szCs w:val="24"/>
          <w:highlight w:val="none"/>
        </w:rPr>
        <w:t>服务、安全标准的履约情况进行确认。验收后，应当出具验收书，列明各项标准的验收情况及项目的总体评价，由验收双方共同签署。采购人将履约验收情</w:t>
      </w:r>
      <w:r>
        <w:rPr>
          <w:rFonts w:hint="eastAsia" w:ascii="宋体" w:hAnsi="宋体" w:eastAsia="宋体" w:cs="宋体"/>
          <w:spacing w:val="-2"/>
          <w:sz w:val="24"/>
          <w:szCs w:val="24"/>
          <w:highlight w:val="none"/>
        </w:rPr>
        <w:t>况在焦作市政府采购网公示，履约验收各项资料采购人应当存档备查。</w:t>
      </w:r>
    </w:p>
    <w:p w14:paraId="3818431C">
      <w:pPr>
        <w:spacing w:before="183" w:line="360" w:lineRule="auto"/>
        <w:ind w:left="21" w:right="135" w:firstLine="47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4.落实履约验收责任。验收合格的项目，</w:t>
      </w:r>
      <w:r>
        <w:rPr>
          <w:rFonts w:hint="eastAsia" w:ascii="宋体" w:hAnsi="宋体" w:eastAsia="宋体" w:cs="宋体"/>
          <w:spacing w:val="-4"/>
          <w:sz w:val="24"/>
          <w:szCs w:val="24"/>
          <w:highlight w:val="none"/>
        </w:rPr>
        <w:t>采购人应当按照合同约定及时支</w:t>
      </w:r>
      <w:r>
        <w:rPr>
          <w:rFonts w:hint="eastAsia" w:ascii="宋体" w:hAnsi="宋体" w:eastAsia="宋体" w:cs="宋体"/>
          <w:spacing w:val="-3"/>
          <w:sz w:val="24"/>
          <w:szCs w:val="24"/>
          <w:highlight w:val="none"/>
        </w:rPr>
        <w:t>付资金。验收不合格的项目，采购人应当依法及时处理。合同履行、违约责任</w:t>
      </w:r>
      <w:r>
        <w:rPr>
          <w:rFonts w:hint="eastAsia" w:ascii="宋体" w:hAnsi="宋体" w:eastAsia="宋体" w:cs="宋体"/>
          <w:sz w:val="24"/>
          <w:szCs w:val="24"/>
          <w:highlight w:val="none"/>
        </w:rPr>
        <w:t>和解决争议的方式使用《中华人民共和国民法典》。供应商在履约过程中有政</w:t>
      </w:r>
      <w:r>
        <w:rPr>
          <w:rFonts w:hint="eastAsia" w:ascii="宋体" w:hAnsi="宋体" w:eastAsia="宋体" w:cs="宋体"/>
          <w:spacing w:val="-2"/>
          <w:sz w:val="24"/>
          <w:szCs w:val="24"/>
          <w:highlight w:val="none"/>
        </w:rPr>
        <w:t>府采购法律法规规定的违法委会情形，采购人应及时报财政部门。</w:t>
      </w:r>
    </w:p>
    <w:p w14:paraId="1AD3F941">
      <w:pPr>
        <w:spacing w:line="218" w:lineRule="auto"/>
        <w:rPr>
          <w:rFonts w:hint="eastAsia" w:ascii="宋体" w:hAnsi="宋体" w:eastAsia="宋体" w:cs="宋体"/>
          <w:sz w:val="24"/>
          <w:szCs w:val="24"/>
          <w:highlight w:val="none"/>
        </w:rPr>
        <w:sectPr>
          <w:footerReference r:id="rId19" w:type="default"/>
          <w:pgSz w:w="11907" w:h="16839"/>
          <w:pgMar w:top="1431" w:right="1785" w:bottom="1569" w:left="1785" w:header="0" w:footer="1408" w:gutter="0"/>
          <w:pgNumType w:fmt="decimal"/>
          <w:cols w:space="720" w:num="1"/>
        </w:sectPr>
      </w:pPr>
    </w:p>
    <w:p w14:paraId="54A6E0C0">
      <w:pPr>
        <w:pStyle w:val="6"/>
        <w:spacing w:line="274" w:lineRule="auto"/>
        <w:rPr>
          <w:highlight w:val="none"/>
        </w:rPr>
      </w:pPr>
    </w:p>
    <w:p w14:paraId="0ABE6B2D">
      <w:pPr>
        <w:tabs>
          <w:tab w:val="left" w:pos="2106"/>
        </w:tabs>
        <w:spacing w:before="100" w:line="226" w:lineRule="auto"/>
        <w:rPr>
          <w:rFonts w:hint="eastAsia" w:ascii="宋体" w:hAnsi="宋体" w:eastAsia="宋体" w:cs="宋体"/>
          <w:sz w:val="52"/>
          <w:szCs w:val="52"/>
          <w:highlight w:val="none"/>
          <w:u w:val="none" w:color="auto"/>
          <w:lang w:eastAsia="zh-CN"/>
        </w:rPr>
      </w:pPr>
    </w:p>
    <w:p w14:paraId="09385B47">
      <w:pPr>
        <w:tabs>
          <w:tab w:val="left" w:pos="2106"/>
        </w:tabs>
        <w:spacing w:before="100" w:line="226" w:lineRule="auto"/>
        <w:rPr>
          <w:rFonts w:hint="eastAsia" w:ascii="宋体" w:hAnsi="宋体" w:eastAsia="宋体" w:cs="宋体"/>
          <w:sz w:val="52"/>
          <w:szCs w:val="52"/>
          <w:highlight w:val="none"/>
          <w:u w:val="none" w:color="auto"/>
          <w:lang w:eastAsia="zh-CN"/>
        </w:rPr>
      </w:pPr>
    </w:p>
    <w:p w14:paraId="52EA6E4F">
      <w:pPr>
        <w:tabs>
          <w:tab w:val="left" w:pos="2106"/>
        </w:tabs>
        <w:spacing w:before="100" w:line="226" w:lineRule="auto"/>
        <w:rPr>
          <w:rFonts w:hint="eastAsia" w:ascii="宋体" w:hAnsi="宋体" w:eastAsia="宋体" w:cs="宋体"/>
          <w:sz w:val="52"/>
          <w:szCs w:val="52"/>
          <w:highlight w:val="none"/>
          <w:u w:val="none" w:color="auto"/>
          <w:lang w:eastAsia="zh-CN"/>
        </w:rPr>
      </w:pPr>
    </w:p>
    <w:p w14:paraId="28D0BD76">
      <w:pPr>
        <w:tabs>
          <w:tab w:val="left" w:pos="2106"/>
        </w:tabs>
        <w:spacing w:before="100" w:line="226" w:lineRule="auto"/>
        <w:jc w:val="center"/>
        <w:rPr>
          <w:rFonts w:hint="eastAsia" w:ascii="宋体" w:hAnsi="宋体" w:eastAsia="宋体" w:cs="宋体"/>
          <w:b/>
          <w:bCs/>
          <w:sz w:val="44"/>
          <w:szCs w:val="44"/>
          <w:highlight w:val="none"/>
          <w:u w:val="none" w:color="auto"/>
          <w:lang w:eastAsia="zh-CN"/>
        </w:rPr>
      </w:pPr>
    </w:p>
    <w:p w14:paraId="01B11EE8">
      <w:pPr>
        <w:tabs>
          <w:tab w:val="left" w:pos="2106"/>
        </w:tabs>
        <w:spacing w:before="100" w:line="226" w:lineRule="auto"/>
        <w:jc w:val="center"/>
        <w:rPr>
          <w:rFonts w:hint="default" w:ascii="宋体" w:hAnsi="宋体" w:eastAsia="宋体" w:cs="宋体"/>
          <w:b/>
          <w:bCs/>
          <w:sz w:val="44"/>
          <w:szCs w:val="44"/>
          <w:highlight w:val="none"/>
          <w:u w:val="none" w:color="auto"/>
          <w:lang w:val="en-US" w:eastAsia="zh-CN"/>
        </w:rPr>
      </w:pPr>
      <w:r>
        <w:rPr>
          <w:rFonts w:hint="eastAsia" w:ascii="宋体" w:hAnsi="宋体" w:eastAsia="宋体" w:cs="宋体"/>
          <w:b/>
          <w:bCs/>
          <w:sz w:val="44"/>
          <w:szCs w:val="44"/>
          <w:highlight w:val="none"/>
          <w:u w:val="none" w:color="auto"/>
          <w:lang w:eastAsia="zh-CN"/>
        </w:rPr>
        <w:t>第八部分</w:t>
      </w:r>
      <w:r>
        <w:rPr>
          <w:rFonts w:hint="eastAsia" w:ascii="宋体" w:hAnsi="宋体" w:eastAsia="宋体" w:cs="宋体"/>
          <w:b/>
          <w:bCs/>
          <w:sz w:val="44"/>
          <w:szCs w:val="44"/>
          <w:highlight w:val="none"/>
          <w:u w:val="none" w:color="auto"/>
          <w:lang w:val="en-US" w:eastAsia="zh-CN"/>
        </w:rPr>
        <w:t xml:space="preserve"> 附件--供应商响应文件格式</w:t>
      </w:r>
    </w:p>
    <w:p w14:paraId="562E4A50">
      <w:pPr>
        <w:tabs>
          <w:tab w:val="left" w:pos="2106"/>
        </w:tabs>
        <w:spacing w:before="100" w:line="226" w:lineRule="auto"/>
        <w:ind w:left="1927"/>
        <w:rPr>
          <w:rFonts w:ascii="宋体" w:hAnsi="宋体" w:eastAsia="宋体" w:cs="宋体"/>
          <w:sz w:val="31"/>
          <w:szCs w:val="31"/>
          <w:highlight w:val="none"/>
          <w:u w:val="single" w:color="auto"/>
        </w:rPr>
      </w:pPr>
    </w:p>
    <w:p w14:paraId="79E6D7A6">
      <w:pPr>
        <w:tabs>
          <w:tab w:val="left" w:pos="2106"/>
        </w:tabs>
        <w:spacing w:before="100" w:line="226" w:lineRule="auto"/>
        <w:ind w:left="1927"/>
        <w:rPr>
          <w:rFonts w:ascii="宋体" w:hAnsi="宋体" w:eastAsia="宋体" w:cs="宋体"/>
          <w:sz w:val="31"/>
          <w:szCs w:val="31"/>
          <w:highlight w:val="none"/>
          <w:u w:val="single" w:color="auto"/>
        </w:rPr>
      </w:pPr>
    </w:p>
    <w:p w14:paraId="26E639DD">
      <w:pPr>
        <w:tabs>
          <w:tab w:val="left" w:pos="2106"/>
        </w:tabs>
        <w:spacing w:before="100" w:line="226" w:lineRule="auto"/>
        <w:ind w:left="1927"/>
        <w:rPr>
          <w:rFonts w:ascii="宋体" w:hAnsi="宋体" w:eastAsia="宋体" w:cs="宋体"/>
          <w:sz w:val="31"/>
          <w:szCs w:val="31"/>
          <w:highlight w:val="none"/>
        </w:rPr>
      </w:pPr>
      <w:r>
        <w:rPr>
          <w:rFonts w:ascii="宋体" w:hAnsi="宋体" w:eastAsia="宋体" w:cs="宋体"/>
          <w:sz w:val="31"/>
          <w:szCs w:val="31"/>
          <w:highlight w:val="none"/>
          <w:u w:val="single" w:color="auto"/>
        </w:rPr>
        <w:tab/>
      </w:r>
      <w:r>
        <w:rPr>
          <w:rFonts w:ascii="宋体" w:hAnsi="宋体" w:eastAsia="宋体" w:cs="宋体"/>
          <w:spacing w:val="-22"/>
          <w:sz w:val="31"/>
          <w:szCs w:val="31"/>
          <w:highlight w:val="none"/>
          <w:u w:val="single" w:color="auto"/>
        </w:rPr>
        <w:t>（项目名称</w:t>
      </w:r>
      <w:r>
        <w:rPr>
          <w:rFonts w:ascii="宋体" w:hAnsi="宋体" w:eastAsia="宋体" w:cs="宋体"/>
          <w:spacing w:val="55"/>
          <w:sz w:val="31"/>
          <w:szCs w:val="31"/>
          <w:highlight w:val="none"/>
          <w:u w:val="single" w:color="auto"/>
        </w:rPr>
        <w:t xml:space="preserve"> </w:t>
      </w:r>
      <w:r>
        <w:rPr>
          <w:rFonts w:ascii="宋体" w:hAnsi="宋体" w:eastAsia="宋体" w:cs="宋体"/>
          <w:spacing w:val="-22"/>
          <w:sz w:val="31"/>
          <w:szCs w:val="31"/>
          <w:highlight w:val="none"/>
          <w:u w:val="single" w:color="auto"/>
        </w:rPr>
        <w:t>）</w:t>
      </w:r>
      <w:r>
        <w:rPr>
          <w:rFonts w:ascii="宋体" w:hAnsi="宋体" w:eastAsia="宋体" w:cs="宋体"/>
          <w:spacing w:val="5"/>
          <w:sz w:val="31"/>
          <w:szCs w:val="31"/>
          <w:highlight w:val="none"/>
          <w:u w:val="single" w:color="auto"/>
        </w:rPr>
        <w:t xml:space="preserve">           </w:t>
      </w:r>
      <w:r>
        <w:rPr>
          <w:rFonts w:ascii="宋体" w:hAnsi="宋体" w:eastAsia="宋体" w:cs="宋体"/>
          <w:spacing w:val="-128"/>
          <w:sz w:val="31"/>
          <w:szCs w:val="31"/>
          <w:highlight w:val="none"/>
        </w:rPr>
        <w:t xml:space="preserve"> </w:t>
      </w:r>
      <w:r>
        <w:rPr>
          <w:rFonts w:ascii="宋体" w:hAnsi="宋体" w:eastAsia="宋体" w:cs="宋体"/>
          <w:spacing w:val="-22"/>
          <w:sz w:val="31"/>
          <w:szCs w:val="31"/>
          <w:highlight w:val="none"/>
        </w:rPr>
        <w:t>项目</w:t>
      </w:r>
    </w:p>
    <w:p w14:paraId="69ED1FD0">
      <w:pPr>
        <w:pStyle w:val="6"/>
        <w:spacing w:line="253" w:lineRule="auto"/>
        <w:rPr>
          <w:highlight w:val="none"/>
        </w:rPr>
      </w:pPr>
    </w:p>
    <w:p w14:paraId="06DB7D7E">
      <w:pPr>
        <w:pStyle w:val="6"/>
        <w:spacing w:line="253" w:lineRule="auto"/>
        <w:rPr>
          <w:highlight w:val="none"/>
        </w:rPr>
      </w:pPr>
    </w:p>
    <w:p w14:paraId="19698F83">
      <w:pPr>
        <w:pStyle w:val="6"/>
        <w:spacing w:line="253" w:lineRule="auto"/>
        <w:rPr>
          <w:highlight w:val="none"/>
        </w:rPr>
      </w:pPr>
    </w:p>
    <w:p w14:paraId="192F1A82">
      <w:pPr>
        <w:pStyle w:val="6"/>
        <w:spacing w:line="253" w:lineRule="auto"/>
        <w:rPr>
          <w:highlight w:val="none"/>
        </w:rPr>
      </w:pPr>
    </w:p>
    <w:p w14:paraId="5BB0671B">
      <w:pPr>
        <w:pStyle w:val="6"/>
        <w:spacing w:line="254" w:lineRule="auto"/>
        <w:rPr>
          <w:highlight w:val="none"/>
        </w:rPr>
      </w:pPr>
    </w:p>
    <w:p w14:paraId="0A0DF7DD">
      <w:pPr>
        <w:spacing w:before="312" w:line="220" w:lineRule="auto"/>
        <w:ind w:left="2266"/>
        <w:rPr>
          <w:rFonts w:ascii="宋体" w:hAnsi="宋体" w:eastAsia="宋体" w:cs="宋体"/>
          <w:sz w:val="96"/>
          <w:szCs w:val="96"/>
          <w:highlight w:val="none"/>
        </w:rPr>
      </w:pPr>
      <w:bookmarkStart w:id="12" w:name="bookmark10"/>
      <w:bookmarkEnd w:id="12"/>
      <w:bookmarkStart w:id="13" w:name="bookmark9"/>
      <w:bookmarkEnd w:id="13"/>
      <w:r>
        <w:rPr>
          <w:rFonts w:hint="eastAsia" w:ascii="宋体" w:hAnsi="宋体" w:eastAsia="宋体" w:cs="宋体"/>
          <w:spacing w:val="-21"/>
          <w:sz w:val="96"/>
          <w:szCs w:val="96"/>
          <w:highlight w:val="none"/>
          <w:lang w:eastAsia="zh-CN"/>
          <w14:textOutline w14:w="17416" w14:cap="flat" w14:cmpd="sng">
            <w14:solidFill>
              <w14:srgbClr w14:val="000000"/>
            </w14:solidFill>
            <w14:prstDash w14:val="solid"/>
            <w14:miter w14:val="0"/>
          </w14:textOutline>
        </w:rPr>
        <w:t>磋商</w:t>
      </w:r>
      <w:r>
        <w:rPr>
          <w:rFonts w:ascii="宋体" w:hAnsi="宋体" w:eastAsia="宋体" w:cs="宋体"/>
          <w:spacing w:val="-21"/>
          <w:sz w:val="96"/>
          <w:szCs w:val="96"/>
          <w:highlight w:val="none"/>
          <w14:textOutline w14:w="17416" w14:cap="flat" w14:cmpd="sng">
            <w14:solidFill>
              <w14:srgbClr w14:val="000000"/>
            </w14:solidFill>
            <w14:prstDash w14:val="solid"/>
            <w14:miter w14:val="0"/>
          </w14:textOutline>
        </w:rPr>
        <w:t>响应文件</w:t>
      </w:r>
    </w:p>
    <w:p w14:paraId="56F65954">
      <w:pPr>
        <w:spacing w:before="91" w:line="221" w:lineRule="auto"/>
        <w:ind w:left="3492"/>
        <w:rPr>
          <w:rFonts w:ascii="宋体" w:hAnsi="宋体" w:eastAsia="宋体" w:cs="宋体"/>
          <w:sz w:val="21"/>
          <w:szCs w:val="21"/>
          <w:highlight w:val="none"/>
        </w:rPr>
      </w:pPr>
      <w:r>
        <w:rPr>
          <w:rFonts w:ascii="宋体" w:hAnsi="宋体" w:eastAsia="宋体" w:cs="宋体"/>
          <w:spacing w:val="-2"/>
          <w:sz w:val="21"/>
          <w:szCs w:val="21"/>
          <w:highlight w:val="none"/>
        </w:rPr>
        <w:t>（封面格式）</w:t>
      </w:r>
    </w:p>
    <w:p w14:paraId="07AD9A88">
      <w:pPr>
        <w:pStyle w:val="6"/>
        <w:spacing w:line="241" w:lineRule="auto"/>
        <w:rPr>
          <w:highlight w:val="none"/>
        </w:rPr>
      </w:pPr>
    </w:p>
    <w:p w14:paraId="5A8E37BB">
      <w:pPr>
        <w:pStyle w:val="6"/>
        <w:spacing w:line="242" w:lineRule="auto"/>
        <w:rPr>
          <w:highlight w:val="none"/>
        </w:rPr>
      </w:pPr>
    </w:p>
    <w:p w14:paraId="63C7A177">
      <w:pPr>
        <w:pStyle w:val="6"/>
        <w:spacing w:line="242" w:lineRule="auto"/>
        <w:rPr>
          <w:highlight w:val="none"/>
        </w:rPr>
      </w:pPr>
    </w:p>
    <w:p w14:paraId="3EF5F53B">
      <w:pPr>
        <w:pStyle w:val="6"/>
        <w:spacing w:line="242" w:lineRule="auto"/>
        <w:rPr>
          <w:highlight w:val="none"/>
        </w:rPr>
      </w:pPr>
    </w:p>
    <w:p w14:paraId="4B66C6A2">
      <w:pPr>
        <w:pStyle w:val="6"/>
        <w:spacing w:line="242" w:lineRule="auto"/>
        <w:rPr>
          <w:highlight w:val="none"/>
        </w:rPr>
      </w:pPr>
    </w:p>
    <w:p w14:paraId="39EBC3CD">
      <w:pPr>
        <w:pStyle w:val="6"/>
        <w:spacing w:line="242" w:lineRule="auto"/>
        <w:rPr>
          <w:highlight w:val="none"/>
        </w:rPr>
      </w:pPr>
    </w:p>
    <w:p w14:paraId="7B303CB7">
      <w:pPr>
        <w:pStyle w:val="6"/>
        <w:spacing w:line="242" w:lineRule="auto"/>
        <w:rPr>
          <w:highlight w:val="none"/>
        </w:rPr>
      </w:pPr>
    </w:p>
    <w:p w14:paraId="76F5BF8E">
      <w:pPr>
        <w:pStyle w:val="6"/>
        <w:spacing w:line="242" w:lineRule="auto"/>
        <w:rPr>
          <w:highlight w:val="none"/>
        </w:rPr>
      </w:pPr>
    </w:p>
    <w:p w14:paraId="443AE3E0">
      <w:pPr>
        <w:pStyle w:val="6"/>
        <w:spacing w:line="242" w:lineRule="auto"/>
        <w:rPr>
          <w:highlight w:val="none"/>
        </w:rPr>
      </w:pPr>
    </w:p>
    <w:p w14:paraId="2DC67167">
      <w:pPr>
        <w:pStyle w:val="6"/>
        <w:spacing w:line="242" w:lineRule="auto"/>
        <w:rPr>
          <w:highlight w:val="none"/>
        </w:rPr>
      </w:pPr>
    </w:p>
    <w:p w14:paraId="3E4B9274">
      <w:pPr>
        <w:pStyle w:val="6"/>
        <w:spacing w:line="242" w:lineRule="auto"/>
        <w:rPr>
          <w:highlight w:val="none"/>
        </w:rPr>
      </w:pPr>
    </w:p>
    <w:p w14:paraId="5883BCB6">
      <w:pPr>
        <w:pStyle w:val="6"/>
        <w:spacing w:line="242" w:lineRule="auto"/>
        <w:rPr>
          <w:highlight w:val="none"/>
        </w:rPr>
      </w:pPr>
    </w:p>
    <w:p w14:paraId="251EA680">
      <w:pPr>
        <w:pStyle w:val="6"/>
        <w:spacing w:line="242" w:lineRule="auto"/>
        <w:rPr>
          <w:highlight w:val="none"/>
        </w:rPr>
      </w:pPr>
    </w:p>
    <w:p w14:paraId="4DFF21AD">
      <w:pPr>
        <w:pStyle w:val="6"/>
        <w:spacing w:line="242" w:lineRule="auto"/>
        <w:rPr>
          <w:highlight w:val="none"/>
        </w:rPr>
      </w:pPr>
    </w:p>
    <w:p w14:paraId="488893A1">
      <w:pPr>
        <w:pStyle w:val="6"/>
        <w:spacing w:line="242" w:lineRule="auto"/>
        <w:rPr>
          <w:highlight w:val="none"/>
        </w:rPr>
      </w:pPr>
    </w:p>
    <w:p w14:paraId="54F63330">
      <w:pPr>
        <w:pStyle w:val="6"/>
        <w:spacing w:line="242" w:lineRule="auto"/>
        <w:rPr>
          <w:highlight w:val="none"/>
        </w:rPr>
      </w:pPr>
    </w:p>
    <w:p w14:paraId="2B96EE9D">
      <w:pPr>
        <w:spacing w:before="99" w:line="219" w:lineRule="auto"/>
        <w:ind w:left="1082"/>
        <w:rPr>
          <w:rFonts w:ascii="宋体" w:hAnsi="宋体" w:eastAsia="宋体" w:cs="宋体"/>
          <w:sz w:val="30"/>
          <w:szCs w:val="30"/>
          <w:highlight w:val="none"/>
        </w:rPr>
      </w:pPr>
      <w:r>
        <w:rPr>
          <w:rFonts w:ascii="宋体" w:hAnsi="宋体" w:eastAsia="宋体" w:cs="宋体"/>
          <w:spacing w:val="-36"/>
          <w:sz w:val="30"/>
          <w:szCs w:val="30"/>
          <w:highlight w:val="none"/>
        </w:rPr>
        <w:t>供</w:t>
      </w:r>
      <w:r>
        <w:rPr>
          <w:rFonts w:ascii="宋体" w:hAnsi="宋体" w:eastAsia="宋体" w:cs="宋体"/>
          <w:spacing w:val="14"/>
          <w:sz w:val="30"/>
          <w:szCs w:val="30"/>
          <w:highlight w:val="none"/>
        </w:rPr>
        <w:t xml:space="preserve"> </w:t>
      </w:r>
      <w:r>
        <w:rPr>
          <w:rFonts w:ascii="宋体" w:hAnsi="宋体" w:eastAsia="宋体" w:cs="宋体"/>
          <w:spacing w:val="-36"/>
          <w:sz w:val="30"/>
          <w:szCs w:val="30"/>
          <w:highlight w:val="none"/>
        </w:rPr>
        <w:t>应</w:t>
      </w:r>
      <w:r>
        <w:rPr>
          <w:rFonts w:ascii="宋体" w:hAnsi="宋体" w:eastAsia="宋体" w:cs="宋体"/>
          <w:spacing w:val="19"/>
          <w:sz w:val="30"/>
          <w:szCs w:val="30"/>
          <w:highlight w:val="none"/>
        </w:rPr>
        <w:t xml:space="preserve"> </w:t>
      </w:r>
      <w:r>
        <w:rPr>
          <w:rFonts w:ascii="宋体" w:hAnsi="宋体" w:eastAsia="宋体" w:cs="宋体"/>
          <w:spacing w:val="-36"/>
          <w:sz w:val="30"/>
          <w:szCs w:val="30"/>
          <w:highlight w:val="none"/>
        </w:rPr>
        <w:t>商：</w:t>
      </w:r>
      <w:r>
        <w:rPr>
          <w:rFonts w:ascii="宋体" w:hAnsi="宋体" w:eastAsia="宋体" w:cs="宋体"/>
          <w:spacing w:val="-49"/>
          <w:sz w:val="30"/>
          <w:szCs w:val="30"/>
          <w:highlight w:val="none"/>
        </w:rPr>
        <w:t xml:space="preserve"> </w:t>
      </w:r>
      <w:r>
        <w:rPr>
          <w:rFonts w:ascii="宋体" w:hAnsi="宋体" w:eastAsia="宋体" w:cs="宋体"/>
          <w:sz w:val="30"/>
          <w:szCs w:val="30"/>
          <w:highlight w:val="none"/>
          <w:u w:val="single" w:color="auto"/>
        </w:rPr>
        <w:t xml:space="preserve">              </w:t>
      </w:r>
      <w:r>
        <w:rPr>
          <w:rFonts w:hint="eastAsia" w:ascii="宋体" w:hAnsi="宋体" w:eastAsia="宋体" w:cs="宋体"/>
          <w:sz w:val="30"/>
          <w:szCs w:val="30"/>
          <w:highlight w:val="none"/>
          <w:u w:val="single" w:color="auto"/>
          <w:lang w:val="en-US" w:eastAsia="zh-CN"/>
        </w:rPr>
        <w:t xml:space="preserve">  </w:t>
      </w:r>
      <w:r>
        <w:rPr>
          <w:rFonts w:ascii="宋体" w:hAnsi="宋体" w:eastAsia="宋体" w:cs="宋体"/>
          <w:sz w:val="30"/>
          <w:szCs w:val="30"/>
          <w:highlight w:val="none"/>
          <w:u w:val="single" w:color="auto"/>
        </w:rPr>
        <w:t xml:space="preserve">                 </w:t>
      </w:r>
    </w:p>
    <w:p w14:paraId="150EF790">
      <w:pPr>
        <w:spacing w:before="268" w:line="219" w:lineRule="auto"/>
        <w:ind w:left="1083"/>
        <w:rPr>
          <w:rFonts w:ascii="宋体" w:hAnsi="宋体" w:eastAsia="宋体" w:cs="宋体"/>
          <w:sz w:val="30"/>
          <w:szCs w:val="30"/>
          <w:highlight w:val="none"/>
        </w:rPr>
      </w:pPr>
      <w:r>
        <w:rPr>
          <w:rFonts w:ascii="宋体" w:hAnsi="宋体" w:eastAsia="宋体" w:cs="宋体"/>
          <w:spacing w:val="-20"/>
          <w:sz w:val="30"/>
          <w:szCs w:val="30"/>
          <w:highlight w:val="none"/>
        </w:rPr>
        <w:t>法定代表人（授权委托人</w:t>
      </w:r>
      <w:r>
        <w:rPr>
          <w:rFonts w:ascii="宋体" w:hAnsi="宋体" w:eastAsia="宋体" w:cs="宋体"/>
          <w:spacing w:val="-22"/>
          <w:sz w:val="30"/>
          <w:szCs w:val="30"/>
          <w:highlight w:val="none"/>
        </w:rPr>
        <w:t>）：</w:t>
      </w:r>
      <w:r>
        <w:rPr>
          <w:rFonts w:ascii="宋体" w:hAnsi="宋体" w:eastAsia="宋体" w:cs="宋体"/>
          <w:sz w:val="30"/>
          <w:szCs w:val="30"/>
          <w:highlight w:val="none"/>
          <w:u w:val="single" w:color="auto"/>
        </w:rPr>
        <w:t xml:space="preserve">   </w:t>
      </w:r>
      <w:r>
        <w:rPr>
          <w:rFonts w:hint="eastAsia" w:ascii="宋体" w:hAnsi="宋体" w:eastAsia="宋体" w:cs="宋体"/>
          <w:sz w:val="30"/>
          <w:szCs w:val="30"/>
          <w:highlight w:val="none"/>
          <w:u w:val="single" w:color="auto"/>
          <w:lang w:val="en-US" w:eastAsia="zh-CN"/>
        </w:rPr>
        <w:t xml:space="preserve">  </w:t>
      </w:r>
      <w:r>
        <w:rPr>
          <w:rFonts w:ascii="宋体" w:hAnsi="宋体" w:eastAsia="宋体" w:cs="宋体"/>
          <w:sz w:val="30"/>
          <w:szCs w:val="30"/>
          <w:highlight w:val="none"/>
          <w:u w:val="single" w:color="auto"/>
        </w:rPr>
        <w:t xml:space="preserve"> </w:t>
      </w:r>
      <w:r>
        <w:rPr>
          <w:rFonts w:ascii="宋体" w:hAnsi="宋体" w:eastAsia="宋体" w:cs="宋体"/>
          <w:spacing w:val="-22"/>
          <w:sz w:val="30"/>
          <w:szCs w:val="30"/>
          <w:highlight w:val="none"/>
          <w:u w:val="single" w:color="auto"/>
        </w:rPr>
        <w:t>（</w:t>
      </w:r>
      <w:r>
        <w:rPr>
          <w:rFonts w:ascii="宋体" w:hAnsi="宋体" w:eastAsia="宋体" w:cs="宋体"/>
          <w:spacing w:val="-20"/>
          <w:sz w:val="30"/>
          <w:szCs w:val="30"/>
          <w:highlight w:val="none"/>
          <w:u w:val="single" w:color="auto"/>
        </w:rPr>
        <w:t>签字或盖章）</w:t>
      </w:r>
      <w:r>
        <w:rPr>
          <w:rFonts w:ascii="宋体" w:hAnsi="宋体" w:eastAsia="宋体" w:cs="宋体"/>
          <w:spacing w:val="1"/>
          <w:sz w:val="30"/>
          <w:szCs w:val="30"/>
          <w:highlight w:val="none"/>
          <w:u w:val="single" w:color="auto"/>
        </w:rPr>
        <w:t xml:space="preserve">  </w:t>
      </w:r>
    </w:p>
    <w:p w14:paraId="2C2871FA">
      <w:pPr>
        <w:spacing w:before="268" w:line="185" w:lineRule="auto"/>
        <w:ind w:left="1133"/>
        <w:rPr>
          <w:rFonts w:ascii="宋体" w:hAnsi="宋体" w:eastAsia="宋体" w:cs="宋体"/>
          <w:sz w:val="30"/>
          <w:szCs w:val="30"/>
          <w:highlight w:val="none"/>
        </w:rPr>
      </w:pPr>
      <w:r>
        <w:rPr>
          <w:rFonts w:ascii="宋体" w:hAnsi="宋体" w:eastAsia="宋体" w:cs="宋体"/>
          <w:spacing w:val="-36"/>
          <w:sz w:val="30"/>
          <w:szCs w:val="30"/>
          <w:highlight w:val="none"/>
        </w:rPr>
        <w:t>日</w:t>
      </w:r>
      <w:r>
        <w:rPr>
          <w:rFonts w:ascii="宋体" w:hAnsi="宋体" w:eastAsia="宋体" w:cs="宋体"/>
          <w:spacing w:val="3"/>
          <w:sz w:val="30"/>
          <w:szCs w:val="30"/>
          <w:highlight w:val="none"/>
        </w:rPr>
        <w:t xml:space="preserve">      </w:t>
      </w:r>
      <w:r>
        <w:rPr>
          <w:rFonts w:ascii="宋体" w:hAnsi="宋体" w:eastAsia="宋体" w:cs="宋体"/>
          <w:spacing w:val="-36"/>
          <w:sz w:val="30"/>
          <w:szCs w:val="30"/>
          <w:highlight w:val="none"/>
        </w:rPr>
        <w:t>期：</w:t>
      </w:r>
      <w:r>
        <w:rPr>
          <w:rFonts w:ascii="宋体" w:hAnsi="宋体" w:eastAsia="宋体" w:cs="宋体"/>
          <w:spacing w:val="19"/>
          <w:sz w:val="30"/>
          <w:szCs w:val="30"/>
          <w:highlight w:val="none"/>
        </w:rPr>
        <w:t xml:space="preserve">      </w:t>
      </w:r>
      <w:r>
        <w:rPr>
          <w:rFonts w:ascii="宋体" w:hAnsi="宋体" w:eastAsia="宋体" w:cs="宋体"/>
          <w:spacing w:val="-36"/>
          <w:sz w:val="30"/>
          <w:szCs w:val="30"/>
          <w:highlight w:val="none"/>
        </w:rPr>
        <w:t>年</w:t>
      </w:r>
      <w:r>
        <w:rPr>
          <w:rFonts w:ascii="宋体" w:hAnsi="宋体" w:eastAsia="宋体" w:cs="宋体"/>
          <w:spacing w:val="8"/>
          <w:sz w:val="30"/>
          <w:szCs w:val="30"/>
          <w:highlight w:val="none"/>
        </w:rPr>
        <w:t xml:space="preserve">   </w:t>
      </w:r>
      <w:r>
        <w:rPr>
          <w:rFonts w:ascii="宋体" w:hAnsi="宋体" w:eastAsia="宋体" w:cs="宋体"/>
          <w:spacing w:val="-36"/>
          <w:sz w:val="30"/>
          <w:szCs w:val="30"/>
          <w:highlight w:val="none"/>
        </w:rPr>
        <w:t>月</w:t>
      </w:r>
      <w:r>
        <w:rPr>
          <w:rFonts w:ascii="宋体" w:hAnsi="宋体" w:eastAsia="宋体" w:cs="宋体"/>
          <w:spacing w:val="20"/>
          <w:sz w:val="30"/>
          <w:szCs w:val="30"/>
          <w:highlight w:val="none"/>
        </w:rPr>
        <w:t xml:space="preserve">   </w:t>
      </w:r>
      <w:r>
        <w:rPr>
          <w:rFonts w:ascii="宋体" w:hAnsi="宋体" w:eastAsia="宋体" w:cs="宋体"/>
          <w:spacing w:val="-36"/>
          <w:sz w:val="30"/>
          <w:szCs w:val="30"/>
          <w:highlight w:val="none"/>
        </w:rPr>
        <w:t>日</w:t>
      </w:r>
    </w:p>
    <w:p w14:paraId="6AF67A73">
      <w:pPr>
        <w:spacing w:line="185" w:lineRule="auto"/>
        <w:rPr>
          <w:rFonts w:ascii="宋体" w:hAnsi="宋体" w:eastAsia="宋体" w:cs="宋体"/>
          <w:sz w:val="30"/>
          <w:szCs w:val="30"/>
          <w:highlight w:val="none"/>
        </w:rPr>
        <w:sectPr>
          <w:footerReference r:id="rId20" w:type="default"/>
          <w:type w:val="continuous"/>
          <w:pgSz w:w="11907" w:h="16839"/>
          <w:pgMar w:top="1431" w:right="1785" w:bottom="1569" w:left="1785" w:header="0" w:footer="1408" w:gutter="0"/>
          <w:pgNumType w:fmt="decimal"/>
          <w:cols w:equalWidth="0" w:num="1">
            <w:col w:w="8335"/>
          </w:cols>
        </w:sectPr>
      </w:pPr>
    </w:p>
    <w:p w14:paraId="304D1CEF">
      <w:pPr>
        <w:pStyle w:val="6"/>
        <w:spacing w:line="290" w:lineRule="auto"/>
        <w:rPr>
          <w:highlight w:val="none"/>
        </w:rPr>
      </w:pPr>
    </w:p>
    <w:p w14:paraId="122BA6B4">
      <w:pPr>
        <w:pStyle w:val="6"/>
        <w:spacing w:line="290" w:lineRule="auto"/>
        <w:rPr>
          <w:highlight w:val="none"/>
        </w:rPr>
      </w:pPr>
    </w:p>
    <w:p w14:paraId="154AEE23">
      <w:pPr>
        <w:spacing w:before="140" w:line="624" w:lineRule="exact"/>
        <w:ind w:left="3701"/>
        <w:rPr>
          <w:rFonts w:ascii="宋体" w:hAnsi="宋体" w:eastAsia="宋体" w:cs="宋体"/>
          <w:sz w:val="43"/>
          <w:szCs w:val="43"/>
          <w:highlight w:val="none"/>
        </w:rPr>
      </w:pPr>
      <w:r>
        <w:rPr>
          <w:rFonts w:ascii="宋体" w:hAnsi="宋体" w:eastAsia="宋体" w:cs="宋体"/>
          <w:spacing w:val="-46"/>
          <w:position w:val="13"/>
          <w:sz w:val="43"/>
          <w:szCs w:val="43"/>
          <w:highlight w:val="none"/>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highlight w:val="none"/>
        </w:rPr>
        <w:t xml:space="preserve">     </w:t>
      </w:r>
      <w:r>
        <w:rPr>
          <w:rFonts w:ascii="宋体" w:hAnsi="宋体" w:eastAsia="宋体" w:cs="宋体"/>
          <w:spacing w:val="-46"/>
          <w:position w:val="13"/>
          <w:sz w:val="43"/>
          <w:szCs w:val="43"/>
          <w:highlight w:val="none"/>
          <w14:textOutline w14:w="7968" w14:cap="flat" w14:cmpd="sng">
            <w14:solidFill>
              <w14:srgbClr w14:val="000000"/>
            </w14:solidFill>
            <w14:prstDash w14:val="solid"/>
            <w14:miter w14:val="0"/>
          </w14:textOutline>
        </w:rPr>
        <w:t>录</w:t>
      </w:r>
    </w:p>
    <w:p w14:paraId="663E2CFD">
      <w:pPr>
        <w:spacing w:before="1" w:line="222" w:lineRule="auto"/>
        <w:ind w:left="3257"/>
        <w:rPr>
          <w:rFonts w:ascii="宋体" w:hAnsi="宋体" w:eastAsia="宋体" w:cs="宋体"/>
          <w:sz w:val="43"/>
          <w:szCs w:val="43"/>
          <w:highlight w:val="none"/>
        </w:rPr>
      </w:pPr>
      <w:r>
        <w:rPr>
          <w:rFonts w:ascii="宋体" w:hAnsi="宋体" w:eastAsia="宋体" w:cs="宋体"/>
          <w:sz w:val="43"/>
          <w:szCs w:val="43"/>
          <w:highlight w:val="none"/>
          <w14:textOutline w14:w="7968" w14:cap="flat" w14:cmpd="sng">
            <w14:solidFill>
              <w14:srgbClr w14:val="000000"/>
            </w14:solidFill>
            <w14:prstDash w14:val="solid"/>
            <w14:miter w14:val="0"/>
          </w14:textOutline>
        </w:rPr>
        <w:t>（格式自拟）</w:t>
      </w:r>
    </w:p>
    <w:p w14:paraId="3F4667E0">
      <w:pPr>
        <w:spacing w:line="222" w:lineRule="auto"/>
        <w:rPr>
          <w:rFonts w:ascii="宋体" w:hAnsi="宋体" w:eastAsia="宋体" w:cs="宋体"/>
          <w:sz w:val="43"/>
          <w:szCs w:val="43"/>
          <w:highlight w:val="none"/>
        </w:rPr>
        <w:sectPr>
          <w:footerReference r:id="rId21" w:type="default"/>
          <w:pgSz w:w="11907" w:h="16839"/>
          <w:pgMar w:top="1431" w:right="1785" w:bottom="1569" w:left="1785" w:header="0" w:footer="1408" w:gutter="0"/>
          <w:pgNumType w:fmt="decimal"/>
          <w:cols w:space="720" w:num="1"/>
        </w:sectPr>
      </w:pPr>
    </w:p>
    <w:p w14:paraId="35DAE0B7">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08F8F23F">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27FB4B1D">
      <w:pPr>
        <w:pStyle w:val="6"/>
        <w:spacing w:line="245" w:lineRule="auto"/>
        <w:rPr>
          <w:highlight w:val="none"/>
        </w:rPr>
      </w:pPr>
    </w:p>
    <w:p w14:paraId="3F1DAD8C">
      <w:pPr>
        <w:pStyle w:val="6"/>
        <w:spacing w:line="246" w:lineRule="auto"/>
        <w:rPr>
          <w:highlight w:val="none"/>
        </w:rPr>
      </w:pPr>
    </w:p>
    <w:p w14:paraId="366A773D">
      <w:pPr>
        <w:keepNext w:val="0"/>
        <w:keepLines w:val="0"/>
        <w:pageBreakBefore w:val="0"/>
        <w:widowControl w:val="0"/>
        <w:kinsoku/>
        <w:wordWrap/>
        <w:overflowPunct/>
        <w:topLinePunct w:val="0"/>
        <w:autoSpaceDE/>
        <w:autoSpaceDN/>
        <w:bidi w:val="0"/>
        <w:adjustRightInd/>
        <w:snapToGrid/>
        <w:spacing w:line="560" w:lineRule="exact"/>
        <w:ind w:left="0" w:right="0" w:firstLine="562" w:firstLineChars="200"/>
        <w:textAlignment w:val="auto"/>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36C31E55">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 xml:space="preserve">我单位已收到的 </w:t>
      </w:r>
      <w:r>
        <w:rPr>
          <w:rFonts w:ascii="宋体" w:hAnsi="宋体" w:eastAsia="宋体" w:cs="宋体"/>
          <w:spacing w:val="0"/>
          <w:sz w:val="24"/>
          <w:szCs w:val="24"/>
          <w:highlight w:val="none"/>
          <w:u w:val="single" w:color="auto"/>
        </w:rPr>
        <w:t xml:space="preserve">                          </w:t>
      </w:r>
      <w:r>
        <w:rPr>
          <w:rFonts w:ascii="宋体" w:hAnsi="宋体" w:eastAsia="宋体" w:cs="宋体"/>
          <w:spacing w:val="0"/>
          <w:sz w:val="24"/>
          <w:szCs w:val="24"/>
          <w:highlight w:val="none"/>
        </w:rPr>
        <w:t xml:space="preserve"> 项目</w:t>
      </w:r>
      <w:r>
        <w:rPr>
          <w:rFonts w:hint="eastAsia" w:ascii="宋体" w:hAnsi="宋体" w:eastAsia="宋体" w:cs="宋体"/>
          <w:spacing w:val="0"/>
          <w:sz w:val="24"/>
          <w:szCs w:val="24"/>
          <w:highlight w:val="none"/>
          <w:lang w:val="en-US" w:eastAsia="zh-CN"/>
        </w:rPr>
        <w:t>磋商</w:t>
      </w:r>
      <w:r>
        <w:rPr>
          <w:rFonts w:ascii="宋体" w:hAnsi="宋体" w:eastAsia="宋体" w:cs="宋体"/>
          <w:spacing w:val="0"/>
          <w:sz w:val="24"/>
          <w:szCs w:val="24"/>
          <w:highlight w:val="none"/>
        </w:rPr>
        <w:t>文件及有关纪要通知，现对参与投标及成交后工作，做出如下郑重承诺：</w:t>
      </w:r>
    </w:p>
    <w:p w14:paraId="56F9F06F">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val="en-US" w:eastAsia="zh-CN"/>
        </w:rPr>
        <w:t xml:space="preserve">    </w:t>
      </w:r>
      <w:r>
        <w:rPr>
          <w:rFonts w:ascii="宋体" w:hAnsi="宋体" w:eastAsia="宋体" w:cs="宋体"/>
          <w:spacing w:val="0"/>
          <w:position w:val="0"/>
          <w:sz w:val="24"/>
          <w:szCs w:val="24"/>
          <w:highlight w:val="none"/>
        </w:rPr>
        <w:t>1、我方愿以总价为人民币（大写）</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 xml:space="preserve">（小写）￥ </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 xml:space="preserve"> 元，</w:t>
      </w:r>
    </w:p>
    <w:p w14:paraId="2AFEC5E5">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lang w:eastAsia="zh-CN"/>
        </w:rPr>
        <w:t>合同履行期限</w:t>
      </w:r>
      <w:r>
        <w:rPr>
          <w:rFonts w:ascii="宋体" w:hAnsi="宋体" w:eastAsia="宋体" w:cs="宋体"/>
          <w:spacing w:val="0"/>
          <w:position w:val="0"/>
          <w:sz w:val="24"/>
          <w:szCs w:val="24"/>
          <w:highlight w:val="none"/>
        </w:rPr>
        <w:t>：</w:t>
      </w:r>
      <w:r>
        <w:rPr>
          <w:rFonts w:ascii="宋体" w:hAnsi="宋体" w:eastAsia="宋体" w:cs="宋体"/>
          <w:spacing w:val="0"/>
          <w:position w:val="0"/>
          <w:sz w:val="24"/>
          <w:szCs w:val="24"/>
          <w:highlight w:val="none"/>
          <w:u w:val="single" w:color="auto"/>
        </w:rPr>
        <w:t xml:space="preserve">            </w:t>
      </w:r>
      <w:r>
        <w:rPr>
          <w:rFonts w:ascii="宋体" w:hAnsi="宋体" w:eastAsia="宋体" w:cs="宋体"/>
          <w:spacing w:val="0"/>
          <w:position w:val="0"/>
          <w:sz w:val="24"/>
          <w:szCs w:val="24"/>
          <w:highlight w:val="none"/>
        </w:rPr>
        <w:t xml:space="preserve"> ，按合同约定实施和完成本项目。</w:t>
      </w:r>
    </w:p>
    <w:p w14:paraId="441F3D3B">
      <w:pPr>
        <w:keepNext w:val="0"/>
        <w:keepLines w:val="0"/>
        <w:pageBreakBefore w:val="0"/>
        <w:widowControl w:val="0"/>
        <w:kinsoku/>
        <w:wordWrap/>
        <w:overflowPunct/>
        <w:topLinePunct w:val="0"/>
        <w:autoSpaceDE/>
        <w:autoSpaceDN/>
        <w:bidi w:val="0"/>
        <w:adjustRightInd/>
        <w:snapToGrid/>
        <w:spacing w:line="560" w:lineRule="exact"/>
        <w:ind w:left="0" w:right="0" w:firstLine="481"/>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2、</w:t>
      </w:r>
      <w:r>
        <w:rPr>
          <w:spacing w:val="0"/>
          <w:position w:val="0"/>
          <w:highlight w:val="none"/>
        </w:rPr>
        <w:fldChar w:fldCharType="begin"/>
      </w:r>
      <w:r>
        <w:rPr>
          <w:spacing w:val="0"/>
          <w:position w:val="0"/>
          <w:highlight w:val="none"/>
        </w:rPr>
        <w:instrText xml:space="preserve"> HYPERLINK "https://baike.so.com/doc/5394983-5632135.html" </w:instrText>
      </w:r>
      <w:r>
        <w:rPr>
          <w:spacing w:val="0"/>
          <w:position w:val="0"/>
          <w:highlight w:val="none"/>
        </w:rPr>
        <w:fldChar w:fldCharType="separate"/>
      </w:r>
      <w:r>
        <w:rPr>
          <w:rFonts w:ascii="宋体" w:hAnsi="宋体" w:eastAsia="宋体" w:cs="宋体"/>
          <w:spacing w:val="0"/>
          <w:position w:val="0"/>
          <w:sz w:val="24"/>
          <w:szCs w:val="24"/>
          <w:highlight w:val="none"/>
        </w:rPr>
        <w:t>在响应性文件递交截止时间后至确定成交人的投标有效期内，我单位不</w:t>
      </w:r>
      <w:r>
        <w:rPr>
          <w:rFonts w:ascii="宋体" w:hAnsi="宋体" w:eastAsia="宋体" w:cs="宋体"/>
          <w:spacing w:val="0"/>
          <w:position w:val="0"/>
          <w:sz w:val="24"/>
          <w:szCs w:val="24"/>
          <w:highlight w:val="none"/>
        </w:rPr>
        <w:fldChar w:fldCharType="end"/>
      </w:r>
      <w:r>
        <w:rPr>
          <w:rFonts w:ascii="宋体" w:hAnsi="宋体" w:eastAsia="宋体" w:cs="宋体"/>
          <w:spacing w:val="0"/>
          <w:position w:val="0"/>
          <w:sz w:val="24"/>
          <w:szCs w:val="24"/>
          <w:highlight w:val="none"/>
        </w:rPr>
        <w:t xml:space="preserve"> 得要求退出竞标或者修改响应性文件。</w:t>
      </w:r>
    </w:p>
    <w:p w14:paraId="094C43F5">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3、我方明白采购人不一定接纳最低投标报价的采购，也不需要采购人解释</w:t>
      </w:r>
    </w:p>
    <w:p w14:paraId="2CCA4F79">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选择或否决任何供应商的原因和理由。</w:t>
      </w:r>
    </w:p>
    <w:p w14:paraId="4D09EA56">
      <w:pPr>
        <w:pStyle w:val="6"/>
        <w:spacing w:line="250" w:lineRule="auto"/>
        <w:rPr>
          <w:highlight w:val="none"/>
        </w:rPr>
      </w:pPr>
    </w:p>
    <w:p w14:paraId="7765F668">
      <w:pPr>
        <w:pStyle w:val="6"/>
        <w:spacing w:line="250" w:lineRule="auto"/>
        <w:rPr>
          <w:highlight w:val="none"/>
        </w:rPr>
      </w:pPr>
    </w:p>
    <w:p w14:paraId="06593ADA">
      <w:pPr>
        <w:pStyle w:val="6"/>
        <w:spacing w:line="250" w:lineRule="auto"/>
        <w:rPr>
          <w:highlight w:val="none"/>
        </w:rPr>
      </w:pPr>
    </w:p>
    <w:p w14:paraId="6700C05B">
      <w:pPr>
        <w:pStyle w:val="6"/>
        <w:spacing w:line="250" w:lineRule="auto"/>
        <w:rPr>
          <w:highlight w:val="none"/>
        </w:rPr>
      </w:pPr>
    </w:p>
    <w:p w14:paraId="367A27A4">
      <w:pPr>
        <w:pStyle w:val="6"/>
        <w:spacing w:line="250" w:lineRule="auto"/>
        <w:rPr>
          <w:highlight w:val="none"/>
        </w:rPr>
      </w:pPr>
    </w:p>
    <w:p w14:paraId="71C24771">
      <w:pPr>
        <w:pStyle w:val="6"/>
        <w:spacing w:line="250" w:lineRule="auto"/>
        <w:rPr>
          <w:highlight w:val="none"/>
        </w:rPr>
      </w:pPr>
    </w:p>
    <w:p w14:paraId="23C1C712">
      <w:pPr>
        <w:spacing w:before="79" w:line="219" w:lineRule="auto"/>
        <w:ind w:firstLine="5148" w:firstLineChars="2200"/>
        <w:rPr>
          <w:rFonts w:ascii="宋体" w:hAnsi="宋体" w:eastAsia="宋体" w:cs="宋体"/>
          <w:sz w:val="24"/>
          <w:szCs w:val="24"/>
          <w:highlight w:val="none"/>
        </w:rPr>
      </w:pPr>
      <w:r>
        <w:rPr>
          <w:rFonts w:ascii="宋体" w:hAnsi="宋体" w:eastAsia="宋体" w:cs="宋体"/>
          <w:spacing w:val="-3"/>
          <w:sz w:val="24"/>
          <w:szCs w:val="24"/>
          <w:highlight w:val="none"/>
        </w:rPr>
        <w:t>供应商：（盖章）</w:t>
      </w:r>
    </w:p>
    <w:p w14:paraId="68C068F3">
      <w:pPr>
        <w:spacing w:before="183" w:line="468" w:lineRule="exact"/>
        <w:ind w:firstLine="3540" w:firstLineChars="1500"/>
        <w:rPr>
          <w:rFonts w:ascii="宋体" w:hAnsi="宋体" w:eastAsia="宋体" w:cs="宋体"/>
          <w:sz w:val="24"/>
          <w:szCs w:val="24"/>
          <w:highlight w:val="none"/>
        </w:rPr>
      </w:pPr>
      <w:r>
        <w:rPr>
          <w:rFonts w:ascii="宋体" w:hAnsi="宋体" w:eastAsia="宋体" w:cs="宋体"/>
          <w:spacing w:val="-2"/>
          <w:position w:val="17"/>
          <w:sz w:val="24"/>
          <w:szCs w:val="24"/>
          <w:highlight w:val="none"/>
        </w:rPr>
        <w:t>法定代表人或授权委托代理人</w:t>
      </w:r>
      <w:r>
        <w:rPr>
          <w:rFonts w:ascii="宋体" w:hAnsi="宋体" w:eastAsia="宋体" w:cs="宋体"/>
          <w:spacing w:val="6"/>
          <w:position w:val="17"/>
          <w:sz w:val="24"/>
          <w:szCs w:val="24"/>
          <w:highlight w:val="none"/>
        </w:rPr>
        <w:t>：（</w:t>
      </w:r>
      <w:r>
        <w:rPr>
          <w:rFonts w:ascii="宋体" w:hAnsi="宋体" w:eastAsia="宋体" w:cs="宋体"/>
          <w:spacing w:val="-2"/>
          <w:position w:val="17"/>
          <w:sz w:val="24"/>
          <w:szCs w:val="24"/>
          <w:highlight w:val="none"/>
        </w:rPr>
        <w:t>签字或盖章）</w:t>
      </w:r>
    </w:p>
    <w:p w14:paraId="6D518BEB">
      <w:pPr>
        <w:spacing w:before="1" w:line="219" w:lineRule="auto"/>
        <w:ind w:left="502" w:firstLine="4440" w:firstLineChars="2000"/>
        <w:rPr>
          <w:rFonts w:ascii="宋体" w:hAnsi="宋体" w:eastAsia="宋体" w:cs="宋体"/>
          <w:sz w:val="24"/>
          <w:szCs w:val="24"/>
          <w:highlight w:val="none"/>
        </w:rPr>
      </w:pPr>
      <w:r>
        <w:rPr>
          <w:rFonts w:ascii="宋体" w:hAnsi="宋体" w:eastAsia="宋体" w:cs="宋体"/>
          <w:spacing w:val="-9"/>
          <w:sz w:val="24"/>
          <w:szCs w:val="24"/>
          <w:highlight w:val="none"/>
        </w:rPr>
        <w:t>年</w:t>
      </w:r>
      <w:r>
        <w:rPr>
          <w:rFonts w:ascii="宋体" w:hAnsi="宋体" w:eastAsia="宋体" w:cs="宋体"/>
          <w:spacing w:val="2"/>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9"/>
          <w:sz w:val="24"/>
          <w:szCs w:val="24"/>
          <w:highlight w:val="none"/>
        </w:rPr>
        <w:t xml:space="preserve">      </w:t>
      </w:r>
      <w:r>
        <w:rPr>
          <w:rFonts w:ascii="宋体" w:hAnsi="宋体" w:eastAsia="宋体" w:cs="宋体"/>
          <w:spacing w:val="-9"/>
          <w:sz w:val="24"/>
          <w:szCs w:val="24"/>
          <w:highlight w:val="none"/>
        </w:rPr>
        <w:t>日</w:t>
      </w:r>
    </w:p>
    <w:p w14:paraId="69BE4FBE">
      <w:pPr>
        <w:spacing w:line="219" w:lineRule="auto"/>
        <w:rPr>
          <w:rFonts w:ascii="宋体" w:hAnsi="宋体" w:eastAsia="宋体" w:cs="宋体"/>
          <w:sz w:val="24"/>
          <w:szCs w:val="24"/>
          <w:highlight w:val="none"/>
        </w:rPr>
        <w:sectPr>
          <w:footerReference r:id="rId22" w:type="default"/>
          <w:pgSz w:w="11907" w:h="16839"/>
          <w:pgMar w:top="1431" w:right="1785" w:bottom="1569" w:left="1785" w:header="0" w:footer="1408" w:gutter="0"/>
          <w:pgNumType w:fmt="decimal"/>
          <w:cols w:space="720" w:num="1"/>
        </w:sectPr>
      </w:pPr>
    </w:p>
    <w:p w14:paraId="2FA3EF2C">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480688A6">
      <w:pPr>
        <w:spacing w:before="129" w:line="468" w:lineRule="exact"/>
        <w:ind w:right="67"/>
        <w:jc w:val="center"/>
        <w:rPr>
          <w:rFonts w:ascii="宋体" w:hAnsi="宋体" w:eastAsia="宋体" w:cs="宋体"/>
          <w:sz w:val="24"/>
          <w:szCs w:val="24"/>
          <w:highlight w:val="none"/>
        </w:rPr>
      </w:pPr>
      <w:r>
        <w:rPr>
          <w:rFonts w:hint="eastAsia" w:ascii="宋体" w:hAnsi="宋体" w:eastAsia="宋体" w:cs="宋体"/>
          <w:spacing w:val="-3"/>
          <w:position w:val="17"/>
          <w:sz w:val="24"/>
          <w:szCs w:val="24"/>
          <w:highlight w:val="none"/>
          <w:lang w:val="en-US" w:eastAsia="zh-CN"/>
        </w:rPr>
        <w:t xml:space="preserve">  </w:t>
      </w:r>
      <w:r>
        <w:rPr>
          <w:rFonts w:ascii="宋体" w:hAnsi="宋体" w:eastAsia="宋体" w:cs="宋体"/>
          <w:spacing w:val="-3"/>
          <w:position w:val="17"/>
          <w:sz w:val="24"/>
          <w:szCs w:val="24"/>
          <w:highlight w:val="none"/>
        </w:rPr>
        <w:t>说明：1、供应商单位应将第一轮报价填入</w:t>
      </w:r>
      <w:r>
        <w:rPr>
          <w:rFonts w:ascii="宋体" w:hAnsi="宋体" w:eastAsia="宋体" w:cs="宋体"/>
          <w:spacing w:val="-4"/>
          <w:position w:val="17"/>
          <w:sz w:val="24"/>
          <w:szCs w:val="24"/>
          <w:highlight w:val="none"/>
        </w:rPr>
        <w:t>下表并按要求签字或盖章，本表</w:t>
      </w:r>
    </w:p>
    <w:p w14:paraId="6F3A974C">
      <w:pPr>
        <w:spacing w:before="1" w:line="218" w:lineRule="auto"/>
        <w:ind w:left="63"/>
        <w:rPr>
          <w:rFonts w:ascii="宋体" w:hAnsi="宋体" w:eastAsia="宋体" w:cs="宋体"/>
          <w:sz w:val="24"/>
          <w:szCs w:val="24"/>
          <w:highlight w:val="none"/>
        </w:rPr>
      </w:pPr>
      <w:r>
        <w:rPr>
          <w:rFonts w:ascii="宋体" w:hAnsi="宋体" w:eastAsia="宋体" w:cs="宋体"/>
          <w:spacing w:val="-5"/>
          <w:sz w:val="24"/>
          <w:szCs w:val="24"/>
          <w:highlight w:val="none"/>
        </w:rPr>
        <w:t>要附在响应文件中。</w:t>
      </w:r>
    </w:p>
    <w:p w14:paraId="728E0186">
      <w:pPr>
        <w:spacing w:before="28"/>
        <w:rPr>
          <w:highlight w:val="none"/>
        </w:rPr>
      </w:pPr>
    </w:p>
    <w:p w14:paraId="1D10900D">
      <w:pPr>
        <w:spacing w:before="27"/>
        <w:rPr>
          <w:highlight w:val="none"/>
        </w:rPr>
      </w:pPr>
    </w:p>
    <w:tbl>
      <w:tblPr>
        <w:tblStyle w:val="31"/>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1489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14:paraId="00D60188">
            <w:pPr>
              <w:spacing w:line="354" w:lineRule="auto"/>
              <w:rPr>
                <w:rFonts w:ascii="Arial"/>
                <w:sz w:val="21"/>
                <w:highlight w:val="none"/>
              </w:rPr>
            </w:pPr>
          </w:p>
          <w:p w14:paraId="614A55DA">
            <w:pPr>
              <w:pStyle w:val="30"/>
              <w:spacing w:before="78" w:line="220" w:lineRule="auto"/>
              <w:ind w:left="622"/>
              <w:rPr>
                <w:highlight w:val="none"/>
              </w:rPr>
            </w:pPr>
            <w:r>
              <w:rPr>
                <w:spacing w:val="-3"/>
                <w:highlight w:val="none"/>
              </w:rPr>
              <w:t>项目名称</w:t>
            </w:r>
          </w:p>
        </w:tc>
        <w:tc>
          <w:tcPr>
            <w:tcW w:w="6228" w:type="dxa"/>
            <w:vAlign w:val="top"/>
          </w:tcPr>
          <w:p w14:paraId="6D639F9C">
            <w:pPr>
              <w:rPr>
                <w:rFonts w:ascii="Arial"/>
                <w:sz w:val="21"/>
                <w:highlight w:val="none"/>
              </w:rPr>
            </w:pPr>
          </w:p>
        </w:tc>
      </w:tr>
      <w:tr w14:paraId="21401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14:paraId="68EBC842">
            <w:pPr>
              <w:spacing w:line="378" w:lineRule="auto"/>
              <w:rPr>
                <w:rFonts w:ascii="Arial"/>
                <w:sz w:val="21"/>
                <w:highlight w:val="none"/>
              </w:rPr>
            </w:pPr>
          </w:p>
          <w:p w14:paraId="6639FD94">
            <w:pPr>
              <w:pStyle w:val="30"/>
              <w:spacing w:before="78" w:line="219" w:lineRule="auto"/>
              <w:ind w:left="738"/>
              <w:rPr>
                <w:highlight w:val="none"/>
              </w:rPr>
            </w:pPr>
            <w:r>
              <w:rPr>
                <w:spacing w:val="-3"/>
                <w:highlight w:val="none"/>
              </w:rPr>
              <w:t>供应商</w:t>
            </w:r>
          </w:p>
        </w:tc>
        <w:tc>
          <w:tcPr>
            <w:tcW w:w="6228" w:type="dxa"/>
            <w:vAlign w:val="top"/>
          </w:tcPr>
          <w:p w14:paraId="6B8E5042">
            <w:pPr>
              <w:rPr>
                <w:rFonts w:ascii="Arial"/>
                <w:sz w:val="21"/>
                <w:highlight w:val="none"/>
              </w:rPr>
            </w:pPr>
          </w:p>
        </w:tc>
      </w:tr>
      <w:tr w14:paraId="33A5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14:paraId="4FFEED2B">
            <w:pPr>
              <w:spacing w:line="343" w:lineRule="auto"/>
              <w:rPr>
                <w:rFonts w:ascii="Arial"/>
                <w:sz w:val="21"/>
                <w:highlight w:val="none"/>
              </w:rPr>
            </w:pPr>
          </w:p>
          <w:p w14:paraId="0485125E">
            <w:pPr>
              <w:spacing w:line="344" w:lineRule="auto"/>
              <w:rPr>
                <w:rFonts w:ascii="Arial"/>
                <w:sz w:val="21"/>
                <w:highlight w:val="none"/>
              </w:rPr>
            </w:pPr>
          </w:p>
          <w:p w14:paraId="05C83E9A">
            <w:pPr>
              <w:pStyle w:val="30"/>
              <w:spacing w:before="78" w:line="218" w:lineRule="auto"/>
              <w:ind w:left="621"/>
              <w:rPr>
                <w:highlight w:val="none"/>
              </w:rPr>
            </w:pPr>
            <w:r>
              <w:rPr>
                <w:spacing w:val="-3"/>
                <w:highlight w:val="none"/>
              </w:rPr>
              <w:t>投标报价</w:t>
            </w:r>
          </w:p>
        </w:tc>
        <w:tc>
          <w:tcPr>
            <w:tcW w:w="6228" w:type="dxa"/>
            <w:vAlign w:val="top"/>
          </w:tcPr>
          <w:p w14:paraId="04826664">
            <w:pPr>
              <w:spacing w:line="453" w:lineRule="auto"/>
              <w:rPr>
                <w:rFonts w:ascii="Arial"/>
                <w:sz w:val="21"/>
                <w:highlight w:val="none"/>
              </w:rPr>
            </w:pPr>
          </w:p>
          <w:p w14:paraId="29618A96">
            <w:pPr>
              <w:pStyle w:val="30"/>
              <w:spacing w:before="78" w:line="360" w:lineRule="auto"/>
              <w:ind w:left="600"/>
              <w:rPr>
                <w:highlight w:val="none"/>
              </w:rPr>
            </w:pPr>
            <w:r>
              <w:rPr>
                <w:spacing w:val="-29"/>
                <w:highlight w:val="none"/>
              </w:rPr>
              <w:t>（大写）</w:t>
            </w:r>
            <w:r>
              <w:rPr>
                <w:spacing w:val="-21"/>
                <w:highlight w:val="none"/>
              </w:rPr>
              <w:t xml:space="preserve"> </w:t>
            </w:r>
            <w:r>
              <w:rPr>
                <w:highlight w:val="none"/>
                <w:u w:val="single" w:color="auto"/>
              </w:rPr>
              <w:t xml:space="preserve">                                 </w:t>
            </w:r>
          </w:p>
          <w:p w14:paraId="3944850A">
            <w:pPr>
              <w:pStyle w:val="30"/>
              <w:spacing w:line="221" w:lineRule="auto"/>
              <w:ind w:left="600"/>
              <w:rPr>
                <w:highlight w:val="none"/>
              </w:rPr>
            </w:pPr>
            <w:r>
              <w:rPr>
                <w:spacing w:val="-29"/>
                <w:highlight w:val="none"/>
              </w:rPr>
              <w:t>（小写）</w:t>
            </w:r>
            <w:r>
              <w:rPr>
                <w:spacing w:val="-21"/>
                <w:highlight w:val="none"/>
              </w:rPr>
              <w:t xml:space="preserve"> </w:t>
            </w:r>
            <w:r>
              <w:rPr>
                <w:highlight w:val="none"/>
                <w:u w:val="single" w:color="auto"/>
              </w:rPr>
              <w:t xml:space="preserve">                                 </w:t>
            </w:r>
          </w:p>
        </w:tc>
      </w:tr>
      <w:tr w14:paraId="40896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14:paraId="0221036D">
            <w:pPr>
              <w:pStyle w:val="30"/>
              <w:spacing w:before="249" w:line="219" w:lineRule="auto"/>
              <w:jc w:val="center"/>
              <w:rPr>
                <w:rFonts w:hint="eastAsia" w:cs="宋体"/>
                <w:color w:val="auto"/>
                <w:sz w:val="24"/>
                <w:szCs w:val="24"/>
                <w:highlight w:val="none"/>
                <w:lang w:val="en-US" w:eastAsia="zh-CN"/>
              </w:rPr>
            </w:pPr>
            <w:r>
              <w:rPr>
                <w:rFonts w:hint="eastAsia" w:cs="宋体"/>
                <w:color w:val="auto"/>
                <w:sz w:val="24"/>
                <w:szCs w:val="24"/>
                <w:highlight w:val="none"/>
                <w:lang w:val="en-US" w:eastAsia="zh-CN"/>
              </w:rPr>
              <w:t>合同履行期限</w:t>
            </w:r>
          </w:p>
          <w:p w14:paraId="6B95B3ED">
            <w:pPr>
              <w:pStyle w:val="30"/>
              <w:spacing w:before="249" w:line="219" w:lineRule="auto"/>
              <w:jc w:val="center"/>
              <w:rPr>
                <w:rFonts w:hint="default"/>
                <w:color w:val="auto"/>
                <w:highlight w:val="none"/>
                <w:lang w:val="en-US"/>
              </w:rPr>
            </w:pPr>
            <w:r>
              <w:rPr>
                <w:rFonts w:hint="eastAsia" w:cs="宋体"/>
                <w:color w:val="auto"/>
                <w:sz w:val="24"/>
                <w:szCs w:val="24"/>
                <w:highlight w:val="none"/>
                <w:lang w:val="en-US" w:eastAsia="zh-CN"/>
              </w:rPr>
              <w:t>（供货安装期）</w:t>
            </w:r>
          </w:p>
        </w:tc>
        <w:tc>
          <w:tcPr>
            <w:tcW w:w="6228" w:type="dxa"/>
            <w:vAlign w:val="top"/>
          </w:tcPr>
          <w:p w14:paraId="4A3DA909">
            <w:pPr>
              <w:jc w:val="center"/>
              <w:rPr>
                <w:rFonts w:hint="default" w:ascii="Arial" w:eastAsiaTheme="minorEastAsia"/>
                <w:color w:val="auto"/>
                <w:sz w:val="21"/>
                <w:highlight w:val="none"/>
                <w:lang w:val="en-US" w:eastAsia="zh-CN"/>
              </w:rPr>
            </w:pPr>
          </w:p>
          <w:p w14:paraId="7CB89163">
            <w:pPr>
              <w:jc w:val="center"/>
              <w:rPr>
                <w:rFonts w:hint="default" w:ascii="Arial" w:eastAsiaTheme="minorEastAsia"/>
                <w:color w:val="auto"/>
                <w:sz w:val="21"/>
                <w:highlight w:val="none"/>
                <w:lang w:val="en-US" w:eastAsia="zh-CN"/>
              </w:rPr>
            </w:pPr>
          </w:p>
        </w:tc>
      </w:tr>
      <w:tr w14:paraId="730E3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0F9255A3">
            <w:pPr>
              <w:pStyle w:val="30"/>
              <w:spacing w:before="308" w:line="220" w:lineRule="auto"/>
              <w:ind w:left="619"/>
              <w:rPr>
                <w:highlight w:val="none"/>
              </w:rPr>
            </w:pPr>
            <w:r>
              <w:rPr>
                <w:spacing w:val="-2"/>
                <w:highlight w:val="none"/>
              </w:rPr>
              <w:t>质量要求</w:t>
            </w:r>
          </w:p>
        </w:tc>
        <w:tc>
          <w:tcPr>
            <w:tcW w:w="6228" w:type="dxa"/>
            <w:vAlign w:val="top"/>
          </w:tcPr>
          <w:p w14:paraId="1E229E15">
            <w:pPr>
              <w:rPr>
                <w:rFonts w:ascii="Arial"/>
                <w:sz w:val="21"/>
                <w:highlight w:val="none"/>
              </w:rPr>
            </w:pPr>
          </w:p>
        </w:tc>
      </w:tr>
      <w:tr w14:paraId="734F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1150FE62">
            <w:pPr>
              <w:pStyle w:val="30"/>
              <w:spacing w:before="306" w:line="220" w:lineRule="auto"/>
              <w:ind w:left="739"/>
              <w:rPr>
                <w:highlight w:val="none"/>
              </w:rPr>
            </w:pPr>
            <w:r>
              <w:rPr>
                <w:spacing w:val="-3"/>
                <w:highlight w:val="none"/>
              </w:rPr>
              <w:t>质保期</w:t>
            </w:r>
          </w:p>
        </w:tc>
        <w:tc>
          <w:tcPr>
            <w:tcW w:w="6228" w:type="dxa"/>
            <w:vAlign w:val="top"/>
          </w:tcPr>
          <w:p w14:paraId="54B9B9B0">
            <w:pPr>
              <w:rPr>
                <w:rFonts w:ascii="Arial"/>
                <w:sz w:val="21"/>
                <w:highlight w:val="none"/>
              </w:rPr>
            </w:pPr>
          </w:p>
        </w:tc>
      </w:tr>
      <w:tr w14:paraId="3B69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433D40C7">
            <w:pPr>
              <w:pStyle w:val="30"/>
              <w:spacing w:before="306" w:line="220" w:lineRule="auto"/>
              <w:ind w:left="501"/>
              <w:rPr>
                <w:highlight w:val="none"/>
              </w:rPr>
            </w:pPr>
            <w:r>
              <w:rPr>
                <w:spacing w:val="-2"/>
                <w:highlight w:val="none"/>
              </w:rPr>
              <w:t>投标有效期</w:t>
            </w:r>
          </w:p>
        </w:tc>
        <w:tc>
          <w:tcPr>
            <w:tcW w:w="6228" w:type="dxa"/>
            <w:vAlign w:val="top"/>
          </w:tcPr>
          <w:p w14:paraId="66BC6E14">
            <w:pPr>
              <w:rPr>
                <w:rFonts w:ascii="Arial"/>
                <w:sz w:val="21"/>
                <w:highlight w:val="none"/>
              </w:rPr>
            </w:pPr>
          </w:p>
        </w:tc>
      </w:tr>
      <w:tr w14:paraId="56E1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14:paraId="13ED2B34">
            <w:pPr>
              <w:spacing w:line="377" w:lineRule="auto"/>
              <w:rPr>
                <w:rFonts w:ascii="Arial"/>
                <w:sz w:val="21"/>
                <w:highlight w:val="none"/>
              </w:rPr>
            </w:pPr>
          </w:p>
          <w:p w14:paraId="33545BD0">
            <w:pPr>
              <w:pStyle w:val="30"/>
              <w:spacing w:before="1" w:line="218" w:lineRule="auto"/>
              <w:ind w:left="605"/>
              <w:rPr>
                <w:highlight w:val="none"/>
              </w:rPr>
            </w:pPr>
          </w:p>
        </w:tc>
      </w:tr>
    </w:tbl>
    <w:p w14:paraId="66479D43">
      <w:pPr>
        <w:pStyle w:val="6"/>
        <w:spacing w:line="250" w:lineRule="auto"/>
        <w:rPr>
          <w:highlight w:val="none"/>
        </w:rPr>
      </w:pPr>
    </w:p>
    <w:p w14:paraId="78F54661">
      <w:pPr>
        <w:pStyle w:val="6"/>
        <w:spacing w:line="250" w:lineRule="auto"/>
        <w:rPr>
          <w:highlight w:val="none"/>
        </w:rPr>
      </w:pPr>
    </w:p>
    <w:p w14:paraId="41FC408A">
      <w:pPr>
        <w:spacing w:before="78" w:line="219" w:lineRule="auto"/>
        <w:ind w:left="3437"/>
        <w:rPr>
          <w:rFonts w:ascii="宋体" w:hAnsi="宋体" w:eastAsia="宋体" w:cs="宋体"/>
          <w:sz w:val="24"/>
          <w:szCs w:val="24"/>
          <w:highlight w:val="none"/>
        </w:rPr>
      </w:pPr>
      <w:r>
        <w:rPr>
          <w:rFonts w:ascii="宋体" w:hAnsi="宋体" w:eastAsia="宋体" w:cs="宋体"/>
          <w:spacing w:val="-9"/>
          <w:sz w:val="24"/>
          <w:szCs w:val="24"/>
          <w:highlight w:val="none"/>
        </w:rPr>
        <w:t>供应商（盖章</w:t>
      </w:r>
      <w:r>
        <w:rPr>
          <w:rFonts w:ascii="宋体" w:hAnsi="宋体" w:eastAsia="宋体" w:cs="宋体"/>
          <w:spacing w:val="-2"/>
          <w:sz w:val="24"/>
          <w:szCs w:val="24"/>
          <w:highlight w:val="none"/>
        </w:rPr>
        <w:t>）：</w:t>
      </w:r>
    </w:p>
    <w:p w14:paraId="70F62983">
      <w:pPr>
        <w:spacing w:before="183" w:line="468" w:lineRule="exact"/>
        <w:ind w:left="3258"/>
        <w:rPr>
          <w:rFonts w:ascii="宋体" w:hAnsi="宋体" w:eastAsia="宋体" w:cs="宋体"/>
          <w:sz w:val="24"/>
          <w:szCs w:val="24"/>
          <w:highlight w:val="none"/>
        </w:rPr>
      </w:pPr>
      <w:r>
        <w:rPr>
          <w:rFonts w:ascii="宋体" w:hAnsi="宋体" w:eastAsia="宋体" w:cs="宋体"/>
          <w:spacing w:val="-4"/>
          <w:position w:val="17"/>
          <w:sz w:val="24"/>
          <w:szCs w:val="24"/>
          <w:highlight w:val="none"/>
        </w:rPr>
        <w:t>法人代表或授权代表（签字或盖章</w:t>
      </w:r>
      <w:r>
        <w:rPr>
          <w:rFonts w:ascii="宋体" w:hAnsi="宋体" w:eastAsia="宋体" w:cs="宋体"/>
          <w:spacing w:val="-2"/>
          <w:position w:val="17"/>
          <w:sz w:val="24"/>
          <w:szCs w:val="24"/>
          <w:highlight w:val="none"/>
        </w:rPr>
        <w:t>）：</w:t>
      </w:r>
    </w:p>
    <w:p w14:paraId="5B5F6460">
      <w:pPr>
        <w:spacing w:before="1" w:line="219" w:lineRule="auto"/>
        <w:ind w:left="4218"/>
        <w:jc w:val="both"/>
        <w:rPr>
          <w:rFonts w:ascii="宋体" w:hAnsi="宋体" w:eastAsia="宋体" w:cs="宋体"/>
          <w:sz w:val="24"/>
          <w:szCs w:val="24"/>
          <w:highlight w:val="none"/>
        </w:rPr>
        <w:sectPr>
          <w:footerReference r:id="rId23"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highlight w:val="none"/>
        </w:rPr>
        <w:t>年</w:t>
      </w:r>
      <w:r>
        <w:rPr>
          <w:rFonts w:ascii="宋体" w:hAnsi="宋体" w:eastAsia="宋体" w:cs="宋体"/>
          <w:spacing w:val="3"/>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0"/>
          <w:sz w:val="24"/>
          <w:szCs w:val="24"/>
          <w:highlight w:val="none"/>
        </w:rPr>
        <w:t xml:space="preserve">     </w:t>
      </w:r>
      <w:r>
        <w:rPr>
          <w:rFonts w:ascii="宋体" w:hAnsi="宋体" w:eastAsia="宋体" w:cs="宋体"/>
          <w:spacing w:val="-9"/>
          <w:sz w:val="24"/>
          <w:szCs w:val="24"/>
          <w:highlight w:val="none"/>
        </w:rPr>
        <w:t>日</w:t>
      </w:r>
    </w:p>
    <w:p w14:paraId="1E789157">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209142C2">
      <w:pPr>
        <w:pStyle w:val="3"/>
        <w:numPr>
          <w:ilvl w:val="0"/>
          <w:numId w:val="0"/>
        </w:numPr>
        <w:ind w:left="720" w:leftChars="0"/>
        <w:rPr>
          <w:rFonts w:hint="eastAsia"/>
          <w:highlight w:val="none"/>
        </w:rPr>
      </w:pPr>
    </w:p>
    <w:tbl>
      <w:tblPr>
        <w:tblStyle w:val="17"/>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7B4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312BE0C2">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14:paraId="53CEA835">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671B9E9E">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45DA30A4">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1485202F">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383B0378">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center"/>
          </w:tcPr>
          <w:p w14:paraId="69EBA426">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right="0"/>
              <w:jc w:val="center"/>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6D36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0DA1F46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274F0A36">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31CF59C1">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4FB5D240">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30B013F3">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1C7AD676">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4C2EFF8F">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290A970B">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5D5F00F2">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1FD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65D7A7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482B4E4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3CE70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B5BE4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772583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F5091B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C2049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7DC26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AA62B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4028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4D94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73CC27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C2F37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117EC9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1E5A7A3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5A72D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DC28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1952AF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17DDD4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824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C1BED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E7F91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5B03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356755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AB135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45908D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5403C9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690101C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47FB41E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E5E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D23448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623314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B5CB3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DC7A4D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76F0862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6061A85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A735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7763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F970A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63C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A4616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20A23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C5137C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4B074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BD3E8E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676D60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A2B00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37DAA20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40FCD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FA5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691A94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6882623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BB9A3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BCFDA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921820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5EAB1F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6F0CBF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C7827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780A96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76C1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05023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14:paraId="444FA2DE">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10C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14:paraId="20D7244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1A1FFAC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258C9674">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542A22C7">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7EB73B63">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44E9C6BF">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5837DC6E">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p w14:paraId="1462B2DD">
      <w:pPr>
        <w:pStyle w:val="6"/>
        <w:rPr>
          <w:rFonts w:hint="eastAsia"/>
          <w:highlight w:val="none"/>
        </w:rPr>
      </w:pPr>
    </w:p>
    <w:tbl>
      <w:tblPr>
        <w:tblStyle w:val="17"/>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4E81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14:paraId="49F8446A">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14:paraId="414904A8">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14:paraId="596B121F">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14:paraId="4D706B3F">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14:paraId="718E7F72">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14:paraId="698E621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center"/>
          </w:tcPr>
          <w:p w14:paraId="70B09E9D">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right="0"/>
              <w:jc w:val="center"/>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0092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14:paraId="58A0212D">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EFD156">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ACE43C">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F18A06B">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14:paraId="1190ED03">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14:paraId="02AADE7A">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14:paraId="2E189D85">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14:paraId="0B2D4232">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14:paraId="775DC118">
            <w:pPr>
              <w:pStyle w:val="14"/>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610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266843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41FD0A1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5A9688F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E3F788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89D016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5D1534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6BD500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2FA7A7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DE32DD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5AE7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4282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4F68BB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02B0132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2DD3483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7D0CCE2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7F3DF7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1EBEC8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73EE81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A0291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A2E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E2BF5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BF4435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7D727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32EAA8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39B175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2D0A48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3C7CD6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D42CBB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A601D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EFA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3DB9DB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E7CDB8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611F9E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B57F0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4FA92C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489D6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9C1A4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3B67D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4AE04AD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A56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D0F95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57E5D5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772925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EAED0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D6D1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6A749B8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62B3F0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09CEB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3CD52A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465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A591E3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7AEF0C9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08FC8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E4608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E9D02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E3B85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2B681B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D3B649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7E05E8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717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50BFE5D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541327A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64AD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14:paraId="283816AF">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5D6F1F0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26CA61A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209DF2B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5A33932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06CB3AB9">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7B600672">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671DBB36">
      <w:pPr>
        <w:pStyle w:val="6"/>
        <w:spacing w:line="334" w:lineRule="auto"/>
        <w:rPr>
          <w:highlight w:val="none"/>
        </w:rPr>
      </w:pPr>
    </w:p>
    <w:p w14:paraId="1760DA70">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05B08DAD">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590DF61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F02F867">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B925B03">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251C2BE">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1127BAB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E860821">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3F8532F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0B4149F4">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687EABCE">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34DC4A"/>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4F34DC4A"/>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2F368D"/>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352F368D"/>
                  </w:txbxContent>
                </v:textbox>
              </v:shape>
            </w:pict>
          </mc:Fallback>
        </mc:AlternateContent>
      </w:r>
    </w:p>
    <w:p w14:paraId="6627C768">
      <w:pPr>
        <w:rPr>
          <w:rFonts w:hint="eastAsia" w:ascii="宋体" w:hAnsi="宋体"/>
          <w:color w:val="auto"/>
          <w:sz w:val="24"/>
          <w:highlight w:val="none"/>
        </w:rPr>
      </w:pPr>
    </w:p>
    <w:p w14:paraId="20E4D899">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05D0A03A">
      <w:pPr>
        <w:rPr>
          <w:rFonts w:hint="eastAsia" w:ascii="宋体" w:hAnsi="宋体"/>
          <w:color w:val="auto"/>
          <w:sz w:val="24"/>
          <w:highlight w:val="none"/>
        </w:rPr>
      </w:pPr>
    </w:p>
    <w:p w14:paraId="7E9B11DD">
      <w:pPr>
        <w:pStyle w:val="3"/>
        <w:rPr>
          <w:color w:val="auto"/>
          <w:highlight w:val="none"/>
        </w:rPr>
      </w:pPr>
    </w:p>
    <w:p w14:paraId="578E78E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6639C64B">
      <w:pPr>
        <w:pageBreakBefore w:val="0"/>
        <w:widowControl w:val="0"/>
        <w:kinsoku/>
        <w:wordWrap/>
        <w:overflowPunct/>
        <w:topLinePunct w:val="0"/>
        <w:autoSpaceDE/>
        <w:autoSpaceDN/>
        <w:bidi w:val="0"/>
        <w:adjustRightInd/>
        <w:snapToGrid/>
        <w:spacing w:beforeAutospacing="0" w:afterAutospacing="0" w:line="360" w:lineRule="auto"/>
        <w:ind w:left="0" w:leftChars="0" w:firstLine="5280" w:firstLineChars="2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62DC21B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0BA04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5178F0CD">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F7290EB">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76BD2BDA">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1FF20A88">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46DC98AE">
      <w:pPr>
        <w:spacing w:before="160" w:line="224" w:lineRule="auto"/>
        <w:ind w:left="750"/>
        <w:jc w:val="center"/>
        <w:rPr>
          <w:rFonts w:hint="eastAsia" w:ascii="宋体" w:hAnsi="宋体"/>
          <w:b/>
          <w:color w:val="auto"/>
          <w:sz w:val="44"/>
          <w:szCs w:val="44"/>
          <w:highlight w:val="none"/>
        </w:rPr>
      </w:pPr>
    </w:p>
    <w:p w14:paraId="597035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472D35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6D16C01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0D2EF8D6">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563799"/>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3C563799"/>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23F5B88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18622D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3EEC0DF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0E58215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22FDBFF0">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F77C83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2AFE70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A3A82D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3940A58F">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55055F8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5D2F932B">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39EAD1E6">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337095DC">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516C36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DDC482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34F0862">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35DBBD24">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014A9419">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4315FDDD">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1F00B8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7316DE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2DB15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3D9F78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53E441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57BFBB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4B91EC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73569E2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3CA38A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13A9948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79829D2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7D8926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587CB3DE">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739D92FA">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577A0D06">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0DA2340F">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14:paraId="50CC5A33">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11E383AB">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74690CDE">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636969F7">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1237FBE0">
      <w:pPr>
        <w:spacing w:line="520" w:lineRule="exact"/>
        <w:ind w:firstLine="480" w:firstLineChars="200"/>
        <w:jc w:val="left"/>
        <w:rPr>
          <w:rFonts w:ascii="宋体" w:hAnsi="宋体"/>
          <w:color w:val="auto"/>
          <w:sz w:val="24"/>
          <w:highlight w:val="none"/>
        </w:rPr>
      </w:pPr>
    </w:p>
    <w:p w14:paraId="6A884ECC">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1A2326DD">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6315BE0A">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3D8AFC99">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0C43B019">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5B953C88">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7EB57F35">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417456D5">
      <w:pPr>
        <w:widowControl/>
        <w:tabs>
          <w:tab w:val="left" w:pos="735"/>
        </w:tabs>
        <w:spacing w:line="600" w:lineRule="atLeast"/>
        <w:rPr>
          <w:rFonts w:ascii="宋体" w:hAnsi="宋体"/>
          <w:b/>
          <w:color w:val="auto"/>
          <w:sz w:val="28"/>
          <w:szCs w:val="28"/>
          <w:highlight w:val="none"/>
        </w:rPr>
      </w:pPr>
    </w:p>
    <w:p w14:paraId="17957EE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项目投标行为做出承诺，保证所提交材料的真实性。</w:t>
      </w:r>
    </w:p>
    <w:p w14:paraId="001B7DE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787BD37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06FB3F80">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501C56A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329719F8">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磋商文件、响应文件与采购人签订合同。若由于我方原因在15日内因非不可抗力拒绝与采购人签订合同的，愿意接受相关部门依法作出的处罚。合同签订后严格按照合同履约，并配合采购人完成履约验收。</w:t>
      </w:r>
    </w:p>
    <w:p w14:paraId="3A5574CA">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FA2ADEF">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1FB0251E">
      <w:pPr>
        <w:pStyle w:val="3"/>
        <w:numPr>
          <w:ilvl w:val="0"/>
          <w:numId w:val="0"/>
        </w:numPr>
        <w:ind w:left="720" w:leftChars="0"/>
        <w:rPr>
          <w:rFonts w:hint="eastAsia"/>
          <w:color w:val="auto"/>
          <w:highlight w:val="none"/>
          <w:lang w:eastAsia="zh-CN"/>
        </w:rPr>
      </w:pPr>
    </w:p>
    <w:p w14:paraId="6A1DBA71">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40F3DD72">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533DA177">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049D1AED">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14:paraId="255D3A45">
      <w:pPr>
        <w:jc w:val="center"/>
        <w:rPr>
          <w:rFonts w:ascii="宋体" w:hAnsi="宋体" w:cs="宋体"/>
          <w:b/>
          <w:bCs/>
          <w:color w:val="auto"/>
          <w:sz w:val="28"/>
          <w:szCs w:val="28"/>
          <w:highlight w:val="none"/>
        </w:rPr>
      </w:pPr>
    </w:p>
    <w:p w14:paraId="3A9CB155">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 企业发展管理办法》（财库﹝2020﹞46 号）的规定，本公司（联合体）参加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ascii="宋体" w:hAnsi="宋体" w:cs="宋体"/>
          <w:color w:val="auto"/>
          <w:sz w:val="24"/>
          <w:highlight w:val="none"/>
          <w:u w:val="single"/>
        </w:rPr>
        <w:t>（项目名称）</w:t>
      </w:r>
      <w:r>
        <w:rPr>
          <w:rFonts w:ascii="宋体" w:hAnsi="宋体" w:cs="宋体"/>
          <w:color w:val="auto"/>
          <w:sz w:val="24"/>
          <w:highlight w:val="none"/>
        </w:rPr>
        <w:t>采购活动，提供的货物全部由符合政策要求的中小企业制造。相关企业 （含联合体中的中小企业、签订分包意向协议的中小企业） 的具体情况如下：</w:t>
      </w:r>
    </w:p>
    <w:p w14:paraId="7620648D">
      <w:pPr>
        <w:numPr>
          <w:ilvl w:val="0"/>
          <w:numId w:val="4"/>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（标的名称）</w:t>
      </w:r>
      <w:r>
        <w:rPr>
          <w:rFonts w:ascii="宋体" w:hAnsi="宋体" w:cs="宋体"/>
          <w:color w:val="auto"/>
          <w:sz w:val="24"/>
          <w:highlight w:val="none"/>
        </w:rPr>
        <w:t xml:space="preserve"> ，属于</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 ，属于</w:t>
      </w:r>
      <w:r>
        <w:rPr>
          <w:rFonts w:ascii="宋体" w:hAnsi="宋体" w:cs="宋体"/>
          <w:color w:val="auto"/>
          <w:sz w:val="24"/>
          <w:highlight w:val="none"/>
          <w:u w:val="single"/>
        </w:rPr>
        <w:t>（中型企业、小 型企业、微型企业）</w:t>
      </w:r>
      <w:r>
        <w:rPr>
          <w:rFonts w:ascii="宋体" w:hAnsi="宋体" w:cs="宋体"/>
          <w:color w:val="auto"/>
          <w:sz w:val="24"/>
          <w:highlight w:val="none"/>
        </w:rPr>
        <w:t>；</w:t>
      </w:r>
    </w:p>
    <w:p w14:paraId="398439F6">
      <w:pPr>
        <w:numPr>
          <w:ilvl w:val="0"/>
          <w:numId w:val="4"/>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 xml:space="preserve">（标的名称） </w:t>
      </w:r>
      <w:r>
        <w:rPr>
          <w:rFonts w:ascii="宋体" w:hAnsi="宋体" w:cs="宋体"/>
          <w:color w:val="auto"/>
          <w:sz w:val="24"/>
          <w:highlight w:val="none"/>
        </w:rPr>
        <w:t>，属于</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万元，属于</w:t>
      </w:r>
      <w:r>
        <w:rPr>
          <w:rFonts w:ascii="宋体" w:hAnsi="宋体" w:cs="宋体"/>
          <w:color w:val="auto"/>
          <w:sz w:val="24"/>
          <w:highlight w:val="none"/>
          <w:u w:val="single"/>
        </w:rPr>
        <w:t>（中型企业、小型 企业、微型企业）</w:t>
      </w:r>
      <w:r>
        <w:rPr>
          <w:rFonts w:ascii="宋体" w:hAnsi="宋体" w:cs="宋体"/>
          <w:color w:val="auto"/>
          <w:sz w:val="24"/>
          <w:highlight w:val="none"/>
        </w:rPr>
        <w:t>；</w:t>
      </w:r>
    </w:p>
    <w:p w14:paraId="5182F766">
      <w:pPr>
        <w:spacing w:line="560" w:lineRule="exact"/>
        <w:ind w:left="525" w:leftChars="250"/>
        <w:rPr>
          <w:rFonts w:ascii="宋体" w:hAnsi="宋体" w:cs="宋体"/>
          <w:color w:val="auto"/>
          <w:sz w:val="24"/>
          <w:highlight w:val="none"/>
        </w:rPr>
      </w:pPr>
      <w:r>
        <w:rPr>
          <w:rFonts w:ascii="宋体" w:hAnsi="宋体" w:cs="宋体"/>
          <w:color w:val="auto"/>
          <w:sz w:val="24"/>
          <w:highlight w:val="none"/>
        </w:rPr>
        <w:t xml:space="preserve"> …… </w:t>
      </w:r>
    </w:p>
    <w:p w14:paraId="1DB57C2B">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以上企业，不属于大企业的分支机构，不存在控股股东 为大企业的情形，也不存在与大企业的负责人为同一人的情形。 </w:t>
      </w:r>
    </w:p>
    <w:p w14:paraId="605C5244">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本企业对上述声明内容的真实性负责。如有虚假，将依 法承担相应责任。 </w:t>
      </w:r>
    </w:p>
    <w:p w14:paraId="541D945D">
      <w:pPr>
        <w:spacing w:line="560" w:lineRule="exact"/>
        <w:ind w:left="5" w:firstLine="518" w:firstLineChars="216"/>
        <w:rPr>
          <w:rFonts w:ascii="宋体" w:hAnsi="宋体" w:cs="宋体"/>
          <w:color w:val="auto"/>
          <w:sz w:val="24"/>
          <w:highlight w:val="none"/>
        </w:rPr>
      </w:pPr>
    </w:p>
    <w:p w14:paraId="1F856C1F">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企业名称（盖章）：</w:t>
      </w:r>
    </w:p>
    <w:p w14:paraId="2896A917">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 xml:space="preserve"> 日 期： </w:t>
      </w:r>
    </w:p>
    <w:p w14:paraId="5EDFB487">
      <w:pPr>
        <w:spacing w:line="560" w:lineRule="exact"/>
        <w:ind w:left="5" w:firstLine="518" w:firstLineChars="216"/>
        <w:rPr>
          <w:rFonts w:ascii="宋体" w:hAnsi="宋体" w:cs="宋体"/>
          <w:color w:val="auto"/>
          <w:sz w:val="24"/>
          <w:highlight w:val="none"/>
        </w:rPr>
      </w:pPr>
      <w:r>
        <w:rPr>
          <w:rFonts w:hint="eastAsia" w:ascii="宋体" w:hAnsi="宋体" w:cs="宋体"/>
          <w:color w:val="auto"/>
          <w:sz w:val="24"/>
          <w:highlight w:val="none"/>
        </w:rPr>
        <w:t>注：1、</w:t>
      </w:r>
      <w:r>
        <w:rPr>
          <w:rFonts w:ascii="宋体" w:hAnsi="宋体" w:cs="宋体"/>
          <w:color w:val="auto"/>
          <w:sz w:val="24"/>
          <w:highlight w:val="none"/>
        </w:rPr>
        <w:t>从业人员、营业收入、资产总额填报上一年度数据，无上一年度数据的新成立企业可不填报。</w:t>
      </w:r>
    </w:p>
    <w:p w14:paraId="1F732046">
      <w:pPr>
        <w:pStyle w:val="16"/>
        <w:ind w:firstLine="480"/>
        <w:rPr>
          <w:rFonts w:hint="eastAsia" w:ascii="宋体"/>
          <w:color w:val="auto"/>
          <w:highlight w:val="none"/>
        </w:rPr>
      </w:pPr>
      <w:r>
        <w:rPr>
          <w:rFonts w:hint="eastAsia" w:ascii="宋体" w:hAnsi="宋体" w:cs="宋体"/>
          <w:color w:val="auto"/>
          <w:sz w:val="24"/>
          <w:highlight w:val="none"/>
        </w:rPr>
        <w:t>2、供应商提供的声明函将在中标后随中标公告一并公示，若声明函内容不实的，将依照《政府采购法》等国家有关规定追究相应责任。</w:t>
      </w:r>
      <w:bookmarkStart w:id="14" w:name="_Toc309736882"/>
      <w:bookmarkStart w:id="15" w:name="_Toc352061202"/>
      <w:bookmarkStart w:id="16" w:name="_Toc12390"/>
    </w:p>
    <w:bookmarkEnd w:id="14"/>
    <w:bookmarkEnd w:id="15"/>
    <w:bookmarkEnd w:id="16"/>
    <w:p w14:paraId="5475FE60">
      <w:pPr>
        <w:pageBreakBefore w:val="0"/>
        <w:widowControl/>
        <w:tabs>
          <w:tab w:val="left" w:pos="735"/>
        </w:tabs>
        <w:kinsoku/>
        <w:wordWrap/>
        <w:overflowPunct/>
        <w:topLinePunct w:val="0"/>
        <w:bidi w:val="0"/>
        <w:spacing w:beforeAutospacing="0" w:afterAutospacing="0" w:line="360" w:lineRule="auto"/>
        <w:rPr>
          <w:rFonts w:hint="eastAsia" w:ascii="宋体" w:hAnsi="宋体"/>
          <w:b/>
          <w:color w:val="auto"/>
          <w:sz w:val="28"/>
          <w:szCs w:val="28"/>
          <w:highlight w:val="none"/>
        </w:rPr>
      </w:pPr>
    </w:p>
    <w:p w14:paraId="492BA5CD">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7363398C">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7" w:name="_Toc30170"/>
      <w:bookmarkStart w:id="18" w:name="_Toc14292"/>
    </w:p>
    <w:p w14:paraId="5AA38CB7">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7"/>
    <w:bookmarkEnd w:id="18"/>
    <w:p w14:paraId="432E2BBB">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593DEB9E">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14:paraId="376D5613">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竞争性磋商</w:t>
      </w:r>
      <w:r>
        <w:rPr>
          <w:rFonts w:hint="eastAsia"/>
          <w:b/>
          <w:color w:val="auto"/>
          <w:sz w:val="44"/>
          <w:szCs w:val="44"/>
          <w:highlight w:val="none"/>
        </w:rPr>
        <w:t>文件要求的或供应商认为需要加以说明的其他内容</w:t>
      </w:r>
    </w:p>
    <w:p w14:paraId="59A7362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3882108D">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14:paraId="68134AF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14:paraId="766BB8C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14:paraId="774A939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14:paraId="0D29212F">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14:paraId="1E10B5AC">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14:paraId="4CCDC532">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14:paraId="30A3843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14:paraId="37D4F094">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14:paraId="08673EF1">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color w:val="auto"/>
          <w:sz w:val="44"/>
          <w:szCs w:val="44"/>
          <w:highlight w:val="none"/>
          <w:lang w:eastAsia="zh-CN"/>
        </w:rPr>
      </w:pPr>
      <w:r>
        <w:rPr>
          <w:rFonts w:hint="eastAsia" w:ascii="仿宋_GB2312" w:hAnsi="Arial" w:eastAsia="仿宋_GB2312" w:cs="Arial"/>
          <w:color w:val="auto"/>
          <w:sz w:val="28"/>
          <w:szCs w:val="28"/>
          <w:highlight w:val="none"/>
          <w:shd w:val="clear" w:color="auto" w:fill="FFFFFF"/>
          <w:lang w:val="en-US" w:eastAsia="zh-CN"/>
        </w:rPr>
        <w:t xml:space="preserve"> </w:t>
      </w:r>
    </w:p>
    <w:p w14:paraId="70536902">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0B005DB4">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4E2807FD">
      <w:pPr>
        <w:pStyle w:val="3"/>
        <w:numPr>
          <w:ilvl w:val="0"/>
          <w:numId w:val="0"/>
        </w:numPr>
        <w:ind w:left="720" w:leftChars="0"/>
        <w:rPr>
          <w:rFonts w:hint="eastAsia"/>
          <w:color w:val="auto"/>
          <w:highlight w:val="none"/>
        </w:rPr>
      </w:pPr>
    </w:p>
    <w:p w14:paraId="46E15A1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534E09B5">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0DE3115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5"/>
          <w:rFonts w:ascii="仿宋_GB2312" w:hAnsi="方正仿宋_GBK"/>
          <w:color w:val="auto"/>
          <w:sz w:val="32"/>
          <w:szCs w:val="32"/>
          <w:highlight w:val="none"/>
        </w:rPr>
        <w:t>http://jiaozuo.hngp.gov.cn</w:t>
      </w:r>
      <w:r>
        <w:rPr>
          <w:rStyle w:val="25"/>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64BCA8ED">
      <w:pPr>
        <w:pStyle w:val="3"/>
        <w:numPr>
          <w:ilvl w:val="0"/>
          <w:numId w:val="0"/>
        </w:numPr>
        <w:ind w:left="720" w:leftChars="0"/>
        <w:rPr>
          <w:rFonts w:hint="eastAsia" w:ascii="仿宋_GB2312" w:eastAsia="仿宋_GB2312"/>
          <w:color w:val="auto"/>
          <w:sz w:val="32"/>
          <w:szCs w:val="32"/>
          <w:highlight w:val="none"/>
        </w:rPr>
      </w:pPr>
    </w:p>
    <w:p w14:paraId="176681BC">
      <w:pPr>
        <w:rPr>
          <w:rFonts w:hint="eastAsia"/>
          <w:color w:val="auto"/>
          <w:highlight w:val="none"/>
        </w:rPr>
      </w:pPr>
    </w:p>
    <w:p w14:paraId="04F11729">
      <w:pPr>
        <w:rPr>
          <w:rFonts w:hint="eastAsia" w:ascii="仿宋_GB2312" w:eastAsia="仿宋_GB2312"/>
          <w:color w:val="auto"/>
          <w:sz w:val="32"/>
          <w:szCs w:val="32"/>
          <w:highlight w:val="none"/>
        </w:rPr>
      </w:pPr>
    </w:p>
    <w:p w14:paraId="4F8465D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16264E53">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57B2DF2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696710DC">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4"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A655E">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62F95">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C1C49">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30D6ED">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248124">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0A655E">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662F95">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6CC1C49">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330D6ED">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0248124">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4A93FD71">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091F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14E1A924">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73BA57F0">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20A875DE">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64C34C4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04BF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1E14DF9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7EA5EDF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7C6EE68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4E2F702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3932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B4E84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273BB99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27803DE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2003AD7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175F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4A6B23A">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6DF88325">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69535CC6">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4B2199F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633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5D823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6267CD4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3F1F919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26E1781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0368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7CBF913">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763D257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5418908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7582F8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403E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6A54A6D1">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5769C452">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5AC4F49C">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54CEA6D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2BD4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0F5434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52608B4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228579A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43D0853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0DF6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3ECF87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621F97A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08A7B5D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713A8DA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3D4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88BE564">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6C02668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0D41A0E2">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5BA2468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3AA59074">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24958E42">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3236E482">
      <w:pPr>
        <w:pStyle w:val="16"/>
        <w:rPr>
          <w:highlight w:val="none"/>
        </w:rPr>
      </w:pPr>
    </w:p>
    <w:sectPr>
      <w:footerReference r:id="rId2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C334">
    <w:pPr>
      <w:pStyle w:val="11"/>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A5A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8B542">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CF8B542">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E3B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7D01A">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B57D01A">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F5A3">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FBBD9">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9EFBBD9">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6D9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CD37D">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F8CD37D">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E5D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D588E">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F4D588E">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0DE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3DF2">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63B3DF2">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39A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814BA">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C7814BA">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570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3A47B">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3E3A47B">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E47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C23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64FC23A">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65B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7FDF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B67FDF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6EA6">
    <w:pPr>
      <w:pStyle w:val="11"/>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D4ADF">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2B8D4ADF">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F439D">
                          <w:pPr>
                            <w:pStyle w:val="11"/>
                          </w:pPr>
                        </w:p>
                        <w:p w14:paraId="50EF1DE6">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2DDF439D">
                    <w:pPr>
                      <w:pStyle w:val="11"/>
                    </w:pPr>
                  </w:p>
                  <w:p w14:paraId="50EF1DE6">
                    <w:pPr>
                      <w:pStyle w:val="11"/>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7CC1">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A48FB">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34A48FB">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79A9">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3A86B0CD">
    <w:pPr>
      <w:pStyle w:val="11"/>
      <w:jc w:val="center"/>
      <w:rPr>
        <w:rFonts w:hint="eastAsia"/>
      </w:rPr>
    </w:pPr>
    <w:r>
      <w:rPr>
        <w:rFonts w:hint="eastAsia"/>
      </w:rPr>
      <w:t xml:space="preserve">                                                         </w:t>
    </w:r>
  </w:p>
  <w:p w14:paraId="30DBE3D3">
    <w:pPr>
      <w:pStyle w:val="11"/>
      <w:jc w:val="center"/>
      <w:rPr>
        <w:rFonts w:hint="eastAsia"/>
      </w:rPr>
    </w:pPr>
    <w:r>
      <w:rPr>
        <w:rFonts w:hint="eastAsia"/>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2B8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98BD0">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9D98BD0">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C2FC">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A090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A8A090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AB76">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CEB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C8ACEB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2262">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92B8E">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0B92B8E">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6941">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11C2B">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011C2B">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D8B0">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48FF">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8548FF">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F9E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0D09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E20D09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A5C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A6F8A">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51A6F8A">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F71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3">
    <w:nsid w:val="1B9A70DB"/>
    <w:multiLevelType w:val="singleLevel"/>
    <w:tmpl w:val="1B9A70DB"/>
    <w:lvl w:ilvl="0" w:tentative="0">
      <w:start w:val="9"/>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00133387"/>
    <w:rsid w:val="001A4716"/>
    <w:rsid w:val="0031380D"/>
    <w:rsid w:val="00A3295D"/>
    <w:rsid w:val="00A34F47"/>
    <w:rsid w:val="00BC3A1F"/>
    <w:rsid w:val="00F13236"/>
    <w:rsid w:val="011E3D92"/>
    <w:rsid w:val="01317F69"/>
    <w:rsid w:val="0156352C"/>
    <w:rsid w:val="015B4FE6"/>
    <w:rsid w:val="01610122"/>
    <w:rsid w:val="018067FB"/>
    <w:rsid w:val="01A26771"/>
    <w:rsid w:val="01FD42EF"/>
    <w:rsid w:val="023F2212"/>
    <w:rsid w:val="026E0D49"/>
    <w:rsid w:val="027520D7"/>
    <w:rsid w:val="028247F4"/>
    <w:rsid w:val="02873BB9"/>
    <w:rsid w:val="028C7C78"/>
    <w:rsid w:val="02956599"/>
    <w:rsid w:val="02A8425B"/>
    <w:rsid w:val="02AB3D4B"/>
    <w:rsid w:val="02B11C6C"/>
    <w:rsid w:val="02BC63A1"/>
    <w:rsid w:val="02C941D1"/>
    <w:rsid w:val="03192A63"/>
    <w:rsid w:val="031E2A84"/>
    <w:rsid w:val="033755DF"/>
    <w:rsid w:val="03597303"/>
    <w:rsid w:val="035D3F77"/>
    <w:rsid w:val="035E0DBD"/>
    <w:rsid w:val="038C592B"/>
    <w:rsid w:val="03B92498"/>
    <w:rsid w:val="03F24A67"/>
    <w:rsid w:val="042B5143"/>
    <w:rsid w:val="0449381C"/>
    <w:rsid w:val="04912ACD"/>
    <w:rsid w:val="04C133B2"/>
    <w:rsid w:val="04C82992"/>
    <w:rsid w:val="04E84DE3"/>
    <w:rsid w:val="050F6813"/>
    <w:rsid w:val="05C263D6"/>
    <w:rsid w:val="05E42EC1"/>
    <w:rsid w:val="05EA4B8A"/>
    <w:rsid w:val="0619721E"/>
    <w:rsid w:val="06432B22"/>
    <w:rsid w:val="0648365F"/>
    <w:rsid w:val="06862B05"/>
    <w:rsid w:val="06D7510F"/>
    <w:rsid w:val="06FA704F"/>
    <w:rsid w:val="07126147"/>
    <w:rsid w:val="071A4FFB"/>
    <w:rsid w:val="07317DD4"/>
    <w:rsid w:val="0753050D"/>
    <w:rsid w:val="076B5857"/>
    <w:rsid w:val="077566D6"/>
    <w:rsid w:val="07A56FBB"/>
    <w:rsid w:val="07B47DD2"/>
    <w:rsid w:val="07FA5F9B"/>
    <w:rsid w:val="08147C9D"/>
    <w:rsid w:val="08297BEC"/>
    <w:rsid w:val="08550BB6"/>
    <w:rsid w:val="085843F8"/>
    <w:rsid w:val="089B216C"/>
    <w:rsid w:val="08D463B5"/>
    <w:rsid w:val="090F0B6A"/>
    <w:rsid w:val="0926412B"/>
    <w:rsid w:val="096D1D5A"/>
    <w:rsid w:val="097B05EC"/>
    <w:rsid w:val="097C3D4B"/>
    <w:rsid w:val="09B74D83"/>
    <w:rsid w:val="09DE4A06"/>
    <w:rsid w:val="09F064E7"/>
    <w:rsid w:val="09FB55B8"/>
    <w:rsid w:val="0A40121D"/>
    <w:rsid w:val="0A7B2255"/>
    <w:rsid w:val="0ACC0D02"/>
    <w:rsid w:val="0AE0030A"/>
    <w:rsid w:val="0B3C2921"/>
    <w:rsid w:val="0B644B24"/>
    <w:rsid w:val="0BB7550F"/>
    <w:rsid w:val="0C174276"/>
    <w:rsid w:val="0C4D4F79"/>
    <w:rsid w:val="0C9909E8"/>
    <w:rsid w:val="0C9B098C"/>
    <w:rsid w:val="0CBD0903"/>
    <w:rsid w:val="0CE73BD2"/>
    <w:rsid w:val="0CFC26A6"/>
    <w:rsid w:val="0CFF716D"/>
    <w:rsid w:val="0D336E17"/>
    <w:rsid w:val="0D4B7857"/>
    <w:rsid w:val="0D8633EB"/>
    <w:rsid w:val="0D8E04F1"/>
    <w:rsid w:val="0DB469E4"/>
    <w:rsid w:val="0DB52372"/>
    <w:rsid w:val="0DEA7358"/>
    <w:rsid w:val="0DFA7935"/>
    <w:rsid w:val="0E296D8E"/>
    <w:rsid w:val="0E4B63E2"/>
    <w:rsid w:val="0E543DF2"/>
    <w:rsid w:val="0EE7610B"/>
    <w:rsid w:val="0F1A64E0"/>
    <w:rsid w:val="0F3550C8"/>
    <w:rsid w:val="0F476BAA"/>
    <w:rsid w:val="0FC226D4"/>
    <w:rsid w:val="0FCA5716"/>
    <w:rsid w:val="0FDC3796"/>
    <w:rsid w:val="0FEB39D9"/>
    <w:rsid w:val="1008458B"/>
    <w:rsid w:val="10525806"/>
    <w:rsid w:val="107A6B0B"/>
    <w:rsid w:val="108C6F6A"/>
    <w:rsid w:val="108F25B6"/>
    <w:rsid w:val="10947BCD"/>
    <w:rsid w:val="10A1053B"/>
    <w:rsid w:val="10AF4A06"/>
    <w:rsid w:val="112C24FB"/>
    <w:rsid w:val="11691059"/>
    <w:rsid w:val="11B42324"/>
    <w:rsid w:val="12062D4C"/>
    <w:rsid w:val="120B2110"/>
    <w:rsid w:val="122356AC"/>
    <w:rsid w:val="122E5DFF"/>
    <w:rsid w:val="125C6D12"/>
    <w:rsid w:val="127B4651"/>
    <w:rsid w:val="12BC340B"/>
    <w:rsid w:val="1302175F"/>
    <w:rsid w:val="13086650"/>
    <w:rsid w:val="13117BFA"/>
    <w:rsid w:val="131C4B06"/>
    <w:rsid w:val="134A4EBA"/>
    <w:rsid w:val="13645F7C"/>
    <w:rsid w:val="13C20EF5"/>
    <w:rsid w:val="13ED41C3"/>
    <w:rsid w:val="143516C6"/>
    <w:rsid w:val="1437543F"/>
    <w:rsid w:val="144813FA"/>
    <w:rsid w:val="144B1E79"/>
    <w:rsid w:val="14BC76F2"/>
    <w:rsid w:val="153674A4"/>
    <w:rsid w:val="15793835"/>
    <w:rsid w:val="158C3568"/>
    <w:rsid w:val="15B8435D"/>
    <w:rsid w:val="15BD5E17"/>
    <w:rsid w:val="15E52C78"/>
    <w:rsid w:val="16551BAC"/>
    <w:rsid w:val="167A7865"/>
    <w:rsid w:val="170C10AE"/>
    <w:rsid w:val="177E5132"/>
    <w:rsid w:val="17935082"/>
    <w:rsid w:val="17CC40F0"/>
    <w:rsid w:val="17D64F6F"/>
    <w:rsid w:val="17D80CE7"/>
    <w:rsid w:val="17EE22B8"/>
    <w:rsid w:val="17EF1998"/>
    <w:rsid w:val="1824217E"/>
    <w:rsid w:val="183A54FD"/>
    <w:rsid w:val="183B2B5A"/>
    <w:rsid w:val="18504D21"/>
    <w:rsid w:val="188D6CAB"/>
    <w:rsid w:val="18CD6371"/>
    <w:rsid w:val="18DA0A8E"/>
    <w:rsid w:val="19273D70"/>
    <w:rsid w:val="1932315D"/>
    <w:rsid w:val="19516FA3"/>
    <w:rsid w:val="19575C3B"/>
    <w:rsid w:val="196B16E7"/>
    <w:rsid w:val="19762565"/>
    <w:rsid w:val="19CF6119"/>
    <w:rsid w:val="1ADB6959"/>
    <w:rsid w:val="1B03607B"/>
    <w:rsid w:val="1B2121F9"/>
    <w:rsid w:val="1B3F107D"/>
    <w:rsid w:val="1B481CDF"/>
    <w:rsid w:val="1B4B17D0"/>
    <w:rsid w:val="1B6F3710"/>
    <w:rsid w:val="1BD47A17"/>
    <w:rsid w:val="1C1E6EE4"/>
    <w:rsid w:val="1C524AC8"/>
    <w:rsid w:val="1C855AAC"/>
    <w:rsid w:val="1CA24475"/>
    <w:rsid w:val="1CB023ED"/>
    <w:rsid w:val="1D61177E"/>
    <w:rsid w:val="1D632B53"/>
    <w:rsid w:val="1D7274E7"/>
    <w:rsid w:val="1D9C27B6"/>
    <w:rsid w:val="1DBC4C07"/>
    <w:rsid w:val="1DC00253"/>
    <w:rsid w:val="1DCD0BC2"/>
    <w:rsid w:val="1E347439"/>
    <w:rsid w:val="1E4A3FC0"/>
    <w:rsid w:val="1EF36406"/>
    <w:rsid w:val="1EF503D0"/>
    <w:rsid w:val="1F2B3DF2"/>
    <w:rsid w:val="1F367810"/>
    <w:rsid w:val="1F382D02"/>
    <w:rsid w:val="1F394C52"/>
    <w:rsid w:val="1FE741BD"/>
    <w:rsid w:val="1FEB532F"/>
    <w:rsid w:val="1FF76CFF"/>
    <w:rsid w:val="1FFE1506"/>
    <w:rsid w:val="2096173F"/>
    <w:rsid w:val="20BB2DEE"/>
    <w:rsid w:val="21C61BB0"/>
    <w:rsid w:val="2213577F"/>
    <w:rsid w:val="224C47AB"/>
    <w:rsid w:val="22525B39"/>
    <w:rsid w:val="227635D6"/>
    <w:rsid w:val="22C17821"/>
    <w:rsid w:val="22C72083"/>
    <w:rsid w:val="22C801BC"/>
    <w:rsid w:val="22FE5379"/>
    <w:rsid w:val="23470B06"/>
    <w:rsid w:val="23712C17"/>
    <w:rsid w:val="23AE4FF1"/>
    <w:rsid w:val="23B73EA6"/>
    <w:rsid w:val="241E0D30"/>
    <w:rsid w:val="242F6477"/>
    <w:rsid w:val="24747FE9"/>
    <w:rsid w:val="24CF521F"/>
    <w:rsid w:val="24EC7B7F"/>
    <w:rsid w:val="25990C4B"/>
    <w:rsid w:val="259A3E92"/>
    <w:rsid w:val="25B82157"/>
    <w:rsid w:val="25C64874"/>
    <w:rsid w:val="25E116AE"/>
    <w:rsid w:val="25E42F4C"/>
    <w:rsid w:val="261E645E"/>
    <w:rsid w:val="263F461C"/>
    <w:rsid w:val="26926505"/>
    <w:rsid w:val="26955FF5"/>
    <w:rsid w:val="26A76454"/>
    <w:rsid w:val="272A0E33"/>
    <w:rsid w:val="2791381E"/>
    <w:rsid w:val="280B656E"/>
    <w:rsid w:val="28D92B11"/>
    <w:rsid w:val="28F11C08"/>
    <w:rsid w:val="28FB65E3"/>
    <w:rsid w:val="29125B79"/>
    <w:rsid w:val="292518B2"/>
    <w:rsid w:val="29310257"/>
    <w:rsid w:val="29312005"/>
    <w:rsid w:val="29517562"/>
    <w:rsid w:val="29C42E79"/>
    <w:rsid w:val="29DF5F05"/>
    <w:rsid w:val="2A181417"/>
    <w:rsid w:val="2A992557"/>
    <w:rsid w:val="2AC8717F"/>
    <w:rsid w:val="2AE17A5A"/>
    <w:rsid w:val="2B2C33CC"/>
    <w:rsid w:val="2B312790"/>
    <w:rsid w:val="2B4A3852"/>
    <w:rsid w:val="2B606BD1"/>
    <w:rsid w:val="2B757007"/>
    <w:rsid w:val="2B7803BF"/>
    <w:rsid w:val="2B942639"/>
    <w:rsid w:val="2B956FBE"/>
    <w:rsid w:val="2BEC2B5B"/>
    <w:rsid w:val="2C063C1D"/>
    <w:rsid w:val="2C1F083A"/>
    <w:rsid w:val="2C3C763E"/>
    <w:rsid w:val="2C5C383D"/>
    <w:rsid w:val="2C7355C9"/>
    <w:rsid w:val="2CAF6062"/>
    <w:rsid w:val="2CB05936"/>
    <w:rsid w:val="2CB76CC5"/>
    <w:rsid w:val="2D0B213D"/>
    <w:rsid w:val="2D216834"/>
    <w:rsid w:val="2D2E2583"/>
    <w:rsid w:val="2D355E3C"/>
    <w:rsid w:val="2D652BC5"/>
    <w:rsid w:val="2D6A01DB"/>
    <w:rsid w:val="2D7626DC"/>
    <w:rsid w:val="2D880661"/>
    <w:rsid w:val="2DB631E5"/>
    <w:rsid w:val="2DE21A83"/>
    <w:rsid w:val="2DE27D71"/>
    <w:rsid w:val="2E0979F4"/>
    <w:rsid w:val="2E141EF5"/>
    <w:rsid w:val="2E312AA7"/>
    <w:rsid w:val="2E456552"/>
    <w:rsid w:val="2E4A5917"/>
    <w:rsid w:val="2E6D6DF3"/>
    <w:rsid w:val="2EA47C73"/>
    <w:rsid w:val="2EA81CB8"/>
    <w:rsid w:val="2EC4391B"/>
    <w:rsid w:val="2EDA6C9B"/>
    <w:rsid w:val="2EDF69A7"/>
    <w:rsid w:val="2EEB534C"/>
    <w:rsid w:val="2F000DF7"/>
    <w:rsid w:val="2F0B154A"/>
    <w:rsid w:val="2F3740ED"/>
    <w:rsid w:val="2F605DBA"/>
    <w:rsid w:val="2F633134"/>
    <w:rsid w:val="2F875074"/>
    <w:rsid w:val="2F8A6913"/>
    <w:rsid w:val="2F996B56"/>
    <w:rsid w:val="2FB72E11"/>
    <w:rsid w:val="2FEC3129"/>
    <w:rsid w:val="300246FB"/>
    <w:rsid w:val="30063A8E"/>
    <w:rsid w:val="303B0409"/>
    <w:rsid w:val="3048309B"/>
    <w:rsid w:val="306A22A0"/>
    <w:rsid w:val="30A77050"/>
    <w:rsid w:val="30DF67EA"/>
    <w:rsid w:val="310224D9"/>
    <w:rsid w:val="31077AEF"/>
    <w:rsid w:val="311C359A"/>
    <w:rsid w:val="312D39F9"/>
    <w:rsid w:val="3159147B"/>
    <w:rsid w:val="31A30E4F"/>
    <w:rsid w:val="31A83080"/>
    <w:rsid w:val="31CA749A"/>
    <w:rsid w:val="31F12C79"/>
    <w:rsid w:val="32965FE3"/>
    <w:rsid w:val="32E12CEE"/>
    <w:rsid w:val="32EE540A"/>
    <w:rsid w:val="32FC18D5"/>
    <w:rsid w:val="32FE389F"/>
    <w:rsid w:val="33296443"/>
    <w:rsid w:val="333A23FE"/>
    <w:rsid w:val="3355548A"/>
    <w:rsid w:val="338E62A6"/>
    <w:rsid w:val="33B977C6"/>
    <w:rsid w:val="342D5ABF"/>
    <w:rsid w:val="34433534"/>
    <w:rsid w:val="34452D8A"/>
    <w:rsid w:val="345179FF"/>
    <w:rsid w:val="347248DD"/>
    <w:rsid w:val="347656B7"/>
    <w:rsid w:val="34C04B85"/>
    <w:rsid w:val="34E60F7C"/>
    <w:rsid w:val="350379D2"/>
    <w:rsid w:val="35352A53"/>
    <w:rsid w:val="35BB3E39"/>
    <w:rsid w:val="35E52AF5"/>
    <w:rsid w:val="35F158E8"/>
    <w:rsid w:val="3612611F"/>
    <w:rsid w:val="361F7463"/>
    <w:rsid w:val="36201D7F"/>
    <w:rsid w:val="36533F02"/>
    <w:rsid w:val="36721EAF"/>
    <w:rsid w:val="368D6CE8"/>
    <w:rsid w:val="369342FF"/>
    <w:rsid w:val="36AE738B"/>
    <w:rsid w:val="36EC7EB3"/>
    <w:rsid w:val="3709636F"/>
    <w:rsid w:val="37272C99"/>
    <w:rsid w:val="372C6501"/>
    <w:rsid w:val="372E04CB"/>
    <w:rsid w:val="373D070E"/>
    <w:rsid w:val="37500442"/>
    <w:rsid w:val="37607F59"/>
    <w:rsid w:val="378325C5"/>
    <w:rsid w:val="37840AA7"/>
    <w:rsid w:val="37991DE9"/>
    <w:rsid w:val="37F76B0F"/>
    <w:rsid w:val="38510DA8"/>
    <w:rsid w:val="386817BB"/>
    <w:rsid w:val="388F4F9A"/>
    <w:rsid w:val="38B4055C"/>
    <w:rsid w:val="38B87B35"/>
    <w:rsid w:val="38FE7A29"/>
    <w:rsid w:val="3922196A"/>
    <w:rsid w:val="397D1296"/>
    <w:rsid w:val="397E6EA0"/>
    <w:rsid w:val="39E52F7A"/>
    <w:rsid w:val="39E6508D"/>
    <w:rsid w:val="39E82BB3"/>
    <w:rsid w:val="3A06454F"/>
    <w:rsid w:val="3A347BA7"/>
    <w:rsid w:val="3A60099C"/>
    <w:rsid w:val="3A960A79"/>
    <w:rsid w:val="3AE74C19"/>
    <w:rsid w:val="3B1F0857"/>
    <w:rsid w:val="3B451940"/>
    <w:rsid w:val="3B581673"/>
    <w:rsid w:val="3B60677A"/>
    <w:rsid w:val="3B9901F0"/>
    <w:rsid w:val="3BB54D17"/>
    <w:rsid w:val="3BBF16F2"/>
    <w:rsid w:val="3BE850ED"/>
    <w:rsid w:val="3BFC2946"/>
    <w:rsid w:val="3C0B4E2D"/>
    <w:rsid w:val="3C357C06"/>
    <w:rsid w:val="3C821FBF"/>
    <w:rsid w:val="3CA803D8"/>
    <w:rsid w:val="3CBC3E83"/>
    <w:rsid w:val="3CEF24AB"/>
    <w:rsid w:val="3D232FBA"/>
    <w:rsid w:val="3D2A703F"/>
    <w:rsid w:val="3D534CEE"/>
    <w:rsid w:val="3D560EBA"/>
    <w:rsid w:val="3D74650C"/>
    <w:rsid w:val="3DDF31E8"/>
    <w:rsid w:val="3DFB09DB"/>
    <w:rsid w:val="3E4203B8"/>
    <w:rsid w:val="3E46055E"/>
    <w:rsid w:val="3E691804"/>
    <w:rsid w:val="3E704F26"/>
    <w:rsid w:val="3E94330A"/>
    <w:rsid w:val="3E974BA8"/>
    <w:rsid w:val="3EAA48DB"/>
    <w:rsid w:val="3EE55913"/>
    <w:rsid w:val="3F3B3785"/>
    <w:rsid w:val="3F794D8F"/>
    <w:rsid w:val="3F7B0026"/>
    <w:rsid w:val="3F88629F"/>
    <w:rsid w:val="3FF322B2"/>
    <w:rsid w:val="403703F1"/>
    <w:rsid w:val="405A7C3B"/>
    <w:rsid w:val="4081166C"/>
    <w:rsid w:val="40E165AE"/>
    <w:rsid w:val="40EA7211"/>
    <w:rsid w:val="41326E0A"/>
    <w:rsid w:val="41335ED5"/>
    <w:rsid w:val="41B03A6A"/>
    <w:rsid w:val="41EA4FEF"/>
    <w:rsid w:val="41F67E38"/>
    <w:rsid w:val="421B33FA"/>
    <w:rsid w:val="423170C2"/>
    <w:rsid w:val="42334BE8"/>
    <w:rsid w:val="425A03C6"/>
    <w:rsid w:val="42611755"/>
    <w:rsid w:val="42641245"/>
    <w:rsid w:val="42AB29D0"/>
    <w:rsid w:val="42D02437"/>
    <w:rsid w:val="430239C6"/>
    <w:rsid w:val="43122A4F"/>
    <w:rsid w:val="43217136"/>
    <w:rsid w:val="43291B47"/>
    <w:rsid w:val="436313A9"/>
    <w:rsid w:val="43727992"/>
    <w:rsid w:val="438C2802"/>
    <w:rsid w:val="43912E12"/>
    <w:rsid w:val="4396090B"/>
    <w:rsid w:val="43BE4985"/>
    <w:rsid w:val="43E45962"/>
    <w:rsid w:val="443C3C76"/>
    <w:rsid w:val="45513D03"/>
    <w:rsid w:val="45576E3F"/>
    <w:rsid w:val="45624364"/>
    <w:rsid w:val="45682DFA"/>
    <w:rsid w:val="45763769"/>
    <w:rsid w:val="45800144"/>
    <w:rsid w:val="45A1630C"/>
    <w:rsid w:val="45C543A0"/>
    <w:rsid w:val="45FB3C6E"/>
    <w:rsid w:val="45FC3543"/>
    <w:rsid w:val="460C7C2A"/>
    <w:rsid w:val="462F4F0C"/>
    <w:rsid w:val="466730B2"/>
    <w:rsid w:val="46B5206F"/>
    <w:rsid w:val="46D1677D"/>
    <w:rsid w:val="46D87B0C"/>
    <w:rsid w:val="46FF153C"/>
    <w:rsid w:val="472211C4"/>
    <w:rsid w:val="472F1E22"/>
    <w:rsid w:val="47507743"/>
    <w:rsid w:val="47AA04C8"/>
    <w:rsid w:val="47B5302C"/>
    <w:rsid w:val="47C47D13"/>
    <w:rsid w:val="48274FE9"/>
    <w:rsid w:val="484418FD"/>
    <w:rsid w:val="489165D4"/>
    <w:rsid w:val="489B7043"/>
    <w:rsid w:val="48E1539E"/>
    <w:rsid w:val="496438D9"/>
    <w:rsid w:val="49667651"/>
    <w:rsid w:val="497D499A"/>
    <w:rsid w:val="49B91E77"/>
    <w:rsid w:val="49EF5898"/>
    <w:rsid w:val="4A065FB5"/>
    <w:rsid w:val="4A143551"/>
    <w:rsid w:val="4A477482"/>
    <w:rsid w:val="4A8A3E0B"/>
    <w:rsid w:val="4A954692"/>
    <w:rsid w:val="4A9A55DB"/>
    <w:rsid w:val="4AD66A58"/>
    <w:rsid w:val="4ADB406F"/>
    <w:rsid w:val="4AFB201B"/>
    <w:rsid w:val="4B616322"/>
    <w:rsid w:val="4B637EC2"/>
    <w:rsid w:val="4B95246F"/>
    <w:rsid w:val="4B9A0F31"/>
    <w:rsid w:val="4BCD7E5B"/>
    <w:rsid w:val="4BF61160"/>
    <w:rsid w:val="4BFE6267"/>
    <w:rsid w:val="4C2B16B2"/>
    <w:rsid w:val="4C3439F7"/>
    <w:rsid w:val="4C4F6AC2"/>
    <w:rsid w:val="4C6065D9"/>
    <w:rsid w:val="4C771B75"/>
    <w:rsid w:val="4C8107A0"/>
    <w:rsid w:val="4C8A18A8"/>
    <w:rsid w:val="4C934C01"/>
    <w:rsid w:val="4C9E5354"/>
    <w:rsid w:val="4CBA258C"/>
    <w:rsid w:val="4CEE0089"/>
    <w:rsid w:val="4D722A68"/>
    <w:rsid w:val="4D9549A9"/>
    <w:rsid w:val="4DAA70EB"/>
    <w:rsid w:val="4DD70B1D"/>
    <w:rsid w:val="4DF53699"/>
    <w:rsid w:val="4E474146"/>
    <w:rsid w:val="4E560D6E"/>
    <w:rsid w:val="4E797E26"/>
    <w:rsid w:val="4E944C60"/>
    <w:rsid w:val="4EA50C1B"/>
    <w:rsid w:val="4ED212E5"/>
    <w:rsid w:val="4EEA0D24"/>
    <w:rsid w:val="4EED40E4"/>
    <w:rsid w:val="4F174976"/>
    <w:rsid w:val="4F4A531F"/>
    <w:rsid w:val="4F6208BA"/>
    <w:rsid w:val="4FC27B2B"/>
    <w:rsid w:val="4FD63F81"/>
    <w:rsid w:val="4FE37C4D"/>
    <w:rsid w:val="4FF9121F"/>
    <w:rsid w:val="500D4CCA"/>
    <w:rsid w:val="501A73E7"/>
    <w:rsid w:val="5035213F"/>
    <w:rsid w:val="50371D47"/>
    <w:rsid w:val="505521CD"/>
    <w:rsid w:val="509B4084"/>
    <w:rsid w:val="50A078EC"/>
    <w:rsid w:val="50C07F8E"/>
    <w:rsid w:val="50C8299F"/>
    <w:rsid w:val="50CD6207"/>
    <w:rsid w:val="50FA25E7"/>
    <w:rsid w:val="5133250E"/>
    <w:rsid w:val="513F1604"/>
    <w:rsid w:val="514209A3"/>
    <w:rsid w:val="51BB2504"/>
    <w:rsid w:val="51C94C21"/>
    <w:rsid w:val="51FC6DA4"/>
    <w:rsid w:val="524D7600"/>
    <w:rsid w:val="524E3378"/>
    <w:rsid w:val="52742DDF"/>
    <w:rsid w:val="527F3531"/>
    <w:rsid w:val="5294522F"/>
    <w:rsid w:val="529C40E3"/>
    <w:rsid w:val="52D51ACF"/>
    <w:rsid w:val="52D715BF"/>
    <w:rsid w:val="52F7761E"/>
    <w:rsid w:val="53591FD4"/>
    <w:rsid w:val="53642E53"/>
    <w:rsid w:val="536C7F5A"/>
    <w:rsid w:val="53764934"/>
    <w:rsid w:val="53CB2948"/>
    <w:rsid w:val="53D224B3"/>
    <w:rsid w:val="53DA3115"/>
    <w:rsid w:val="53EE096F"/>
    <w:rsid w:val="53F32429"/>
    <w:rsid w:val="540B32CF"/>
    <w:rsid w:val="541C372E"/>
    <w:rsid w:val="54703A7A"/>
    <w:rsid w:val="5474356A"/>
    <w:rsid w:val="548F252E"/>
    <w:rsid w:val="54905ECA"/>
    <w:rsid w:val="54FF22AE"/>
    <w:rsid w:val="55230AEC"/>
    <w:rsid w:val="552503C0"/>
    <w:rsid w:val="55546EF7"/>
    <w:rsid w:val="55986DE4"/>
    <w:rsid w:val="559D264C"/>
    <w:rsid w:val="55E22755"/>
    <w:rsid w:val="56097CE2"/>
    <w:rsid w:val="563A433F"/>
    <w:rsid w:val="56404E40"/>
    <w:rsid w:val="567E4E28"/>
    <w:rsid w:val="56A619D5"/>
    <w:rsid w:val="572F3778"/>
    <w:rsid w:val="57603931"/>
    <w:rsid w:val="5774562F"/>
    <w:rsid w:val="57853398"/>
    <w:rsid w:val="57917C34"/>
    <w:rsid w:val="57C40364"/>
    <w:rsid w:val="57E722A5"/>
    <w:rsid w:val="57F8000E"/>
    <w:rsid w:val="584119B5"/>
    <w:rsid w:val="585F24CC"/>
    <w:rsid w:val="58726012"/>
    <w:rsid w:val="588B0E82"/>
    <w:rsid w:val="589C6BEB"/>
    <w:rsid w:val="58E862D4"/>
    <w:rsid w:val="58EF1411"/>
    <w:rsid w:val="58F85DEC"/>
    <w:rsid w:val="58FB67C7"/>
    <w:rsid w:val="590F5B0B"/>
    <w:rsid w:val="594450C3"/>
    <w:rsid w:val="594A2AEB"/>
    <w:rsid w:val="59553A28"/>
    <w:rsid w:val="5999312B"/>
    <w:rsid w:val="59B01A76"/>
    <w:rsid w:val="59B14918"/>
    <w:rsid w:val="5A0C7DA1"/>
    <w:rsid w:val="5A455061"/>
    <w:rsid w:val="5A515FF0"/>
    <w:rsid w:val="5A6E0A5B"/>
    <w:rsid w:val="5A957D96"/>
    <w:rsid w:val="5ACF4CA6"/>
    <w:rsid w:val="5B01535A"/>
    <w:rsid w:val="5B13515F"/>
    <w:rsid w:val="5B743E4F"/>
    <w:rsid w:val="5B914A01"/>
    <w:rsid w:val="5B977B3E"/>
    <w:rsid w:val="5BC8419B"/>
    <w:rsid w:val="5BE64FAF"/>
    <w:rsid w:val="5C3D5EDD"/>
    <w:rsid w:val="5C4816DD"/>
    <w:rsid w:val="5C5B163A"/>
    <w:rsid w:val="5C8C51C9"/>
    <w:rsid w:val="5CC74453"/>
    <w:rsid w:val="5D0B433F"/>
    <w:rsid w:val="5D0D6309"/>
    <w:rsid w:val="5D177188"/>
    <w:rsid w:val="5D1A27D4"/>
    <w:rsid w:val="5D1F7DEB"/>
    <w:rsid w:val="5D3513BC"/>
    <w:rsid w:val="5D3C39F5"/>
    <w:rsid w:val="5D3F66DF"/>
    <w:rsid w:val="5DB6387E"/>
    <w:rsid w:val="5DBE7604"/>
    <w:rsid w:val="5DCA7D57"/>
    <w:rsid w:val="5E745F14"/>
    <w:rsid w:val="5F271312"/>
    <w:rsid w:val="5F38704C"/>
    <w:rsid w:val="5F487ACD"/>
    <w:rsid w:val="5F6D55CC"/>
    <w:rsid w:val="5FA8056B"/>
    <w:rsid w:val="5FB92779"/>
    <w:rsid w:val="5FCF49FC"/>
    <w:rsid w:val="5FD650D9"/>
    <w:rsid w:val="5FFD6F2A"/>
    <w:rsid w:val="605C4EB2"/>
    <w:rsid w:val="60602BF4"/>
    <w:rsid w:val="60AF76D8"/>
    <w:rsid w:val="60B44CEE"/>
    <w:rsid w:val="60C90799"/>
    <w:rsid w:val="60D94755"/>
    <w:rsid w:val="60F872D1"/>
    <w:rsid w:val="60FD48E7"/>
    <w:rsid w:val="612C5F0B"/>
    <w:rsid w:val="613C540F"/>
    <w:rsid w:val="616715F3"/>
    <w:rsid w:val="61A42FB4"/>
    <w:rsid w:val="61B03707"/>
    <w:rsid w:val="61B256D1"/>
    <w:rsid w:val="61BA4586"/>
    <w:rsid w:val="62061579"/>
    <w:rsid w:val="624F4CCE"/>
    <w:rsid w:val="62632EA9"/>
    <w:rsid w:val="62780E9D"/>
    <w:rsid w:val="6280132C"/>
    <w:rsid w:val="62C168D1"/>
    <w:rsid w:val="62DD22DA"/>
    <w:rsid w:val="62F87114"/>
    <w:rsid w:val="632443AD"/>
    <w:rsid w:val="63494C67"/>
    <w:rsid w:val="635527B8"/>
    <w:rsid w:val="63730E90"/>
    <w:rsid w:val="637A221F"/>
    <w:rsid w:val="637C7D45"/>
    <w:rsid w:val="63870498"/>
    <w:rsid w:val="63BA6ABF"/>
    <w:rsid w:val="63E36016"/>
    <w:rsid w:val="63E609BC"/>
    <w:rsid w:val="63E678EE"/>
    <w:rsid w:val="64046E46"/>
    <w:rsid w:val="641206A9"/>
    <w:rsid w:val="6429050D"/>
    <w:rsid w:val="64406FDC"/>
    <w:rsid w:val="647307E7"/>
    <w:rsid w:val="647B761C"/>
    <w:rsid w:val="648F5856"/>
    <w:rsid w:val="64BF164C"/>
    <w:rsid w:val="65554CF2"/>
    <w:rsid w:val="656839B7"/>
    <w:rsid w:val="65757142"/>
    <w:rsid w:val="65A94671"/>
    <w:rsid w:val="65AE7F5E"/>
    <w:rsid w:val="65B03CD6"/>
    <w:rsid w:val="65D565F0"/>
    <w:rsid w:val="65F8408F"/>
    <w:rsid w:val="65FE0EE5"/>
    <w:rsid w:val="663012BB"/>
    <w:rsid w:val="66442670"/>
    <w:rsid w:val="66517943"/>
    <w:rsid w:val="665772D8"/>
    <w:rsid w:val="667276B1"/>
    <w:rsid w:val="668E33E2"/>
    <w:rsid w:val="66AA4BC9"/>
    <w:rsid w:val="66C3230C"/>
    <w:rsid w:val="66DB6301"/>
    <w:rsid w:val="66DC6D4D"/>
    <w:rsid w:val="67167BBF"/>
    <w:rsid w:val="67252C90"/>
    <w:rsid w:val="67397CFB"/>
    <w:rsid w:val="677A0A3F"/>
    <w:rsid w:val="67DC5256"/>
    <w:rsid w:val="67EF058B"/>
    <w:rsid w:val="67F105D6"/>
    <w:rsid w:val="67FC1454"/>
    <w:rsid w:val="67FD51CC"/>
    <w:rsid w:val="682E5386"/>
    <w:rsid w:val="683F57E5"/>
    <w:rsid w:val="688A4CB2"/>
    <w:rsid w:val="688D503D"/>
    <w:rsid w:val="68F16ADF"/>
    <w:rsid w:val="68F6059A"/>
    <w:rsid w:val="6931512E"/>
    <w:rsid w:val="696C260A"/>
    <w:rsid w:val="69825989"/>
    <w:rsid w:val="69D63F27"/>
    <w:rsid w:val="6A4628D0"/>
    <w:rsid w:val="6A581F9F"/>
    <w:rsid w:val="6AB44268"/>
    <w:rsid w:val="6ADB780C"/>
    <w:rsid w:val="6B2D5DC9"/>
    <w:rsid w:val="6B317667"/>
    <w:rsid w:val="6B4B624F"/>
    <w:rsid w:val="6B511AB7"/>
    <w:rsid w:val="6B9145AA"/>
    <w:rsid w:val="6BE02E3B"/>
    <w:rsid w:val="6C3118E9"/>
    <w:rsid w:val="6C4E05BD"/>
    <w:rsid w:val="6C594EFB"/>
    <w:rsid w:val="6C6E0447"/>
    <w:rsid w:val="6C6E2083"/>
    <w:rsid w:val="6CB56076"/>
    <w:rsid w:val="6CC97B67"/>
    <w:rsid w:val="6CF25A8B"/>
    <w:rsid w:val="6D0D7C60"/>
    <w:rsid w:val="6D5E2269"/>
    <w:rsid w:val="6D8A5754"/>
    <w:rsid w:val="6D8D0DA1"/>
    <w:rsid w:val="6D8F68C7"/>
    <w:rsid w:val="6DBC51E2"/>
    <w:rsid w:val="6DBD3434"/>
    <w:rsid w:val="6DC01176"/>
    <w:rsid w:val="6DF8446C"/>
    <w:rsid w:val="6DFF1C9E"/>
    <w:rsid w:val="6E0077C5"/>
    <w:rsid w:val="6E3F209B"/>
    <w:rsid w:val="6E580AE7"/>
    <w:rsid w:val="6E613CA3"/>
    <w:rsid w:val="6E9323E7"/>
    <w:rsid w:val="6EA12D56"/>
    <w:rsid w:val="6EF56BFD"/>
    <w:rsid w:val="6F114BDC"/>
    <w:rsid w:val="6F722DE8"/>
    <w:rsid w:val="6FAA6641"/>
    <w:rsid w:val="702F7EED"/>
    <w:rsid w:val="70555C55"/>
    <w:rsid w:val="705D2CAC"/>
    <w:rsid w:val="70645DE9"/>
    <w:rsid w:val="70657DB3"/>
    <w:rsid w:val="70A00DEB"/>
    <w:rsid w:val="70A42689"/>
    <w:rsid w:val="70CE7706"/>
    <w:rsid w:val="714B51FB"/>
    <w:rsid w:val="7157594D"/>
    <w:rsid w:val="71724535"/>
    <w:rsid w:val="7194335B"/>
    <w:rsid w:val="71956476"/>
    <w:rsid w:val="719929CA"/>
    <w:rsid w:val="71A5490B"/>
    <w:rsid w:val="71AA1F21"/>
    <w:rsid w:val="71AF5789"/>
    <w:rsid w:val="71C12F3C"/>
    <w:rsid w:val="71D2364B"/>
    <w:rsid w:val="72227D09"/>
    <w:rsid w:val="722A3062"/>
    <w:rsid w:val="724D0AFE"/>
    <w:rsid w:val="726E2F4F"/>
    <w:rsid w:val="72BC12B7"/>
    <w:rsid w:val="72BD3ED6"/>
    <w:rsid w:val="72D37256"/>
    <w:rsid w:val="72D80D10"/>
    <w:rsid w:val="72E70F53"/>
    <w:rsid w:val="737547B1"/>
    <w:rsid w:val="738467A2"/>
    <w:rsid w:val="73942E89"/>
    <w:rsid w:val="73944C37"/>
    <w:rsid w:val="739E636F"/>
    <w:rsid w:val="73B3553C"/>
    <w:rsid w:val="73C6500C"/>
    <w:rsid w:val="74031DBD"/>
    <w:rsid w:val="74116287"/>
    <w:rsid w:val="74257F85"/>
    <w:rsid w:val="749D7B1B"/>
    <w:rsid w:val="74AD3D78"/>
    <w:rsid w:val="751A73BE"/>
    <w:rsid w:val="754937FF"/>
    <w:rsid w:val="754E7B5A"/>
    <w:rsid w:val="758D5DE2"/>
    <w:rsid w:val="75AA790B"/>
    <w:rsid w:val="75B74C0D"/>
    <w:rsid w:val="76361FD5"/>
    <w:rsid w:val="76404C02"/>
    <w:rsid w:val="7691545E"/>
    <w:rsid w:val="76D87530"/>
    <w:rsid w:val="76E45ED5"/>
    <w:rsid w:val="77135BB8"/>
    <w:rsid w:val="771D4F43"/>
    <w:rsid w:val="778C3E77"/>
    <w:rsid w:val="77A45665"/>
    <w:rsid w:val="77C17FC5"/>
    <w:rsid w:val="77F4039A"/>
    <w:rsid w:val="78454752"/>
    <w:rsid w:val="784C1F84"/>
    <w:rsid w:val="785F4189"/>
    <w:rsid w:val="78753564"/>
    <w:rsid w:val="788C2381"/>
    <w:rsid w:val="78C37D6C"/>
    <w:rsid w:val="78E80909"/>
    <w:rsid w:val="78F22DFC"/>
    <w:rsid w:val="79020895"/>
    <w:rsid w:val="7906420D"/>
    <w:rsid w:val="7919737D"/>
    <w:rsid w:val="7924040A"/>
    <w:rsid w:val="79627585"/>
    <w:rsid w:val="79725A1A"/>
    <w:rsid w:val="79863274"/>
    <w:rsid w:val="79A74F98"/>
    <w:rsid w:val="79AB2CDA"/>
    <w:rsid w:val="79BD2A0E"/>
    <w:rsid w:val="79F0693F"/>
    <w:rsid w:val="79F71A7C"/>
    <w:rsid w:val="7A6E65B2"/>
    <w:rsid w:val="7A777060"/>
    <w:rsid w:val="7AD26045"/>
    <w:rsid w:val="7B095F0A"/>
    <w:rsid w:val="7B3157EB"/>
    <w:rsid w:val="7B915F00"/>
    <w:rsid w:val="7C0B180E"/>
    <w:rsid w:val="7C0E6900"/>
    <w:rsid w:val="7C653614"/>
    <w:rsid w:val="7C9A5F8C"/>
    <w:rsid w:val="7CAF2AE1"/>
    <w:rsid w:val="7CB77BE8"/>
    <w:rsid w:val="7CD82038"/>
    <w:rsid w:val="7CE64029"/>
    <w:rsid w:val="7D0A5F6A"/>
    <w:rsid w:val="7D6240CD"/>
    <w:rsid w:val="7D63019E"/>
    <w:rsid w:val="7DB008BF"/>
    <w:rsid w:val="7DC044BB"/>
    <w:rsid w:val="7DF509C8"/>
    <w:rsid w:val="7E1A042F"/>
    <w:rsid w:val="7E3A287F"/>
    <w:rsid w:val="7E3B06F8"/>
    <w:rsid w:val="7E3E411D"/>
    <w:rsid w:val="7E404800"/>
    <w:rsid w:val="7E557995"/>
    <w:rsid w:val="7E6F077A"/>
    <w:rsid w:val="7E7C4C45"/>
    <w:rsid w:val="7E9C0E44"/>
    <w:rsid w:val="7EA52511"/>
    <w:rsid w:val="7EF02F3D"/>
    <w:rsid w:val="7F275E1B"/>
    <w:rsid w:val="7F511C2E"/>
    <w:rsid w:val="7F645E05"/>
    <w:rsid w:val="7F6479F7"/>
    <w:rsid w:val="7F69341C"/>
    <w:rsid w:val="7FBB354B"/>
    <w:rsid w:val="7FC543CA"/>
    <w:rsid w:val="7FE17456"/>
    <w:rsid w:val="7FE5681A"/>
    <w:rsid w:val="7FF6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2"/>
    <w:basedOn w:val="1"/>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right" w:leader="middleDot" w:pos="8460"/>
        <w:tab w:val="right" w:pos="8494"/>
      </w:tabs>
      <w:spacing w:before="46" w:beforeLines="15" w:after="46" w:afterLines="15"/>
    </w:pPr>
    <w:rPr>
      <w:rFonts w:ascii="Tahoma" w:hAnsi="Tahoma" w:eastAsia="黑体"/>
      <w:sz w:val="24"/>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6"/>
    <w:autoRedefine/>
    <w:qFormat/>
    <w:uiPriority w:val="0"/>
    <w:pPr>
      <w:ind w:firstLine="420" w:firstLineChars="100"/>
    </w:pPr>
  </w:style>
  <w:style w:type="paragraph" w:styleId="16">
    <w:name w:val="Body Text First Indent 2"/>
    <w:basedOn w:val="8"/>
    <w:next w:val="5"/>
    <w:autoRedefine/>
    <w:qFormat/>
    <w:uiPriority w:val="0"/>
    <w:pPr>
      <w:ind w:firstLine="420" w:firstLineChars="200"/>
    </w:pPr>
    <w:rPr>
      <w:sz w:val="21"/>
    </w:r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FollowedHyperlink"/>
    <w:basedOn w:val="19"/>
    <w:autoRedefine/>
    <w:qFormat/>
    <w:uiPriority w:val="0"/>
    <w:rPr>
      <w:color w:val="444444"/>
      <w:sz w:val="21"/>
      <w:szCs w:val="21"/>
      <w:u w:val="none"/>
    </w:rPr>
  </w:style>
  <w:style w:type="character" w:styleId="21">
    <w:name w:val="HTML Definition"/>
    <w:basedOn w:val="19"/>
    <w:autoRedefine/>
    <w:qFormat/>
    <w:uiPriority w:val="0"/>
  </w:style>
  <w:style w:type="character" w:styleId="22">
    <w:name w:val="HTML Typewriter"/>
    <w:basedOn w:val="19"/>
    <w:autoRedefine/>
    <w:qFormat/>
    <w:uiPriority w:val="0"/>
    <w:rPr>
      <w:rFonts w:hint="default" w:ascii="monospace" w:hAnsi="monospace" w:eastAsia="monospace" w:cs="monospace"/>
      <w:sz w:val="20"/>
    </w:rPr>
  </w:style>
  <w:style w:type="character" w:styleId="23">
    <w:name w:val="HTML Acronym"/>
    <w:basedOn w:val="19"/>
    <w:autoRedefine/>
    <w:qFormat/>
    <w:uiPriority w:val="0"/>
  </w:style>
  <w:style w:type="character" w:styleId="24">
    <w:name w:val="HTML Variable"/>
    <w:basedOn w:val="19"/>
    <w:autoRedefine/>
    <w:qFormat/>
    <w:uiPriority w:val="0"/>
  </w:style>
  <w:style w:type="character" w:styleId="25">
    <w:name w:val="Hyperlink"/>
    <w:autoRedefine/>
    <w:qFormat/>
    <w:uiPriority w:val="99"/>
    <w:rPr>
      <w:rFonts w:cs="Times New Roman"/>
      <w:color w:val="0000FF"/>
      <w:u w:val="single"/>
    </w:rPr>
  </w:style>
  <w:style w:type="character" w:styleId="26">
    <w:name w:val="HTML Code"/>
    <w:basedOn w:val="19"/>
    <w:autoRedefine/>
    <w:qFormat/>
    <w:uiPriority w:val="0"/>
    <w:rPr>
      <w:rFonts w:hint="default" w:ascii="monospace" w:hAnsi="monospace" w:eastAsia="monospace" w:cs="monospace"/>
      <w:sz w:val="20"/>
    </w:rPr>
  </w:style>
  <w:style w:type="character" w:styleId="27">
    <w:name w:val="HTML Cite"/>
    <w:basedOn w:val="19"/>
    <w:autoRedefine/>
    <w:qFormat/>
    <w:uiPriority w:val="0"/>
  </w:style>
  <w:style w:type="character" w:styleId="28">
    <w:name w:val="HTML Keyboard"/>
    <w:basedOn w:val="19"/>
    <w:autoRedefine/>
    <w:qFormat/>
    <w:uiPriority w:val="0"/>
    <w:rPr>
      <w:rFonts w:hint="default" w:ascii="monospace" w:hAnsi="monospace" w:eastAsia="monospace" w:cs="monospace"/>
      <w:sz w:val="20"/>
    </w:rPr>
  </w:style>
  <w:style w:type="character" w:styleId="29">
    <w:name w:val="HTML Sample"/>
    <w:basedOn w:val="19"/>
    <w:autoRedefine/>
    <w:qFormat/>
    <w:uiPriority w:val="0"/>
    <w:rPr>
      <w:rFonts w:ascii="monospace" w:hAnsi="monospace" w:eastAsia="monospace" w:cs="monospace"/>
    </w:rPr>
  </w:style>
  <w:style w:type="paragraph" w:customStyle="1" w:styleId="30">
    <w:name w:val="Table Text"/>
    <w:basedOn w:val="1"/>
    <w:autoRedefine/>
    <w:semiHidden/>
    <w:qFormat/>
    <w:uiPriority w:val="0"/>
    <w:rPr>
      <w:rFonts w:ascii="宋体" w:hAnsi="宋体" w:eastAsia="宋体" w:cs="宋体"/>
      <w:sz w:val="24"/>
      <w:szCs w:val="24"/>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无间隔1"/>
    <w:basedOn w:val="1"/>
    <w:autoRedefine/>
    <w:qFormat/>
    <w:uiPriority w:val="0"/>
    <w:pPr>
      <w:spacing w:line="400" w:lineRule="exact"/>
    </w:pPr>
    <w:rPr>
      <w:sz w:val="24"/>
    </w:rPr>
  </w:style>
  <w:style w:type="paragraph" w:customStyle="1" w:styleId="33">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4">
    <w:name w:val="hover17"/>
    <w:basedOn w:val="19"/>
    <w:autoRedefine/>
    <w:qFormat/>
    <w:uiPriority w:val="0"/>
  </w:style>
  <w:style w:type="character" w:customStyle="1" w:styleId="35">
    <w:name w:val="hover18"/>
    <w:basedOn w:val="19"/>
    <w:autoRedefine/>
    <w:qFormat/>
    <w:uiPriority w:val="0"/>
  </w:style>
  <w:style w:type="character" w:customStyle="1" w:styleId="36">
    <w:name w:val="xiadan"/>
    <w:basedOn w:val="19"/>
    <w:autoRedefine/>
    <w:qFormat/>
    <w:uiPriority w:val="0"/>
    <w:rPr>
      <w:shd w:val="clear" w:fill="E4393C"/>
    </w:rPr>
  </w:style>
  <w:style w:type="character" w:customStyle="1" w:styleId="37">
    <w:name w:val="fr"/>
    <w:basedOn w:val="19"/>
    <w:autoRedefine/>
    <w:qFormat/>
    <w:uiPriority w:val="0"/>
  </w:style>
  <w:style w:type="character" w:customStyle="1" w:styleId="38">
    <w:name w:val="first-child1"/>
    <w:basedOn w:val="19"/>
    <w:autoRedefine/>
    <w:qFormat/>
    <w:uiPriority w:val="0"/>
    <w:rPr>
      <w:color w:val="1F3149"/>
      <w:sz w:val="19"/>
      <w:szCs w:val="19"/>
    </w:rPr>
  </w:style>
  <w:style w:type="character" w:customStyle="1" w:styleId="39">
    <w:name w:val="first-child2"/>
    <w:basedOn w:val="19"/>
    <w:autoRedefine/>
    <w:qFormat/>
    <w:uiPriority w:val="0"/>
    <w:rPr>
      <w:color w:val="1F3149"/>
      <w:sz w:val="19"/>
      <w:szCs w:val="19"/>
    </w:rPr>
  </w:style>
  <w:style w:type="character" w:customStyle="1" w:styleId="40">
    <w:name w:val="icon_ds"/>
    <w:basedOn w:val="19"/>
    <w:autoRedefine/>
    <w:qFormat/>
    <w:uiPriority w:val="0"/>
  </w:style>
  <w:style w:type="character" w:customStyle="1" w:styleId="41">
    <w:name w:val="icon_ds1"/>
    <w:basedOn w:val="19"/>
    <w:autoRedefine/>
    <w:qFormat/>
    <w:uiPriority w:val="0"/>
    <w:rPr>
      <w:sz w:val="16"/>
      <w:szCs w:val="16"/>
    </w:rPr>
  </w:style>
  <w:style w:type="character" w:customStyle="1" w:styleId="42">
    <w:name w:val="icon_gys"/>
    <w:basedOn w:val="19"/>
    <w:autoRedefine/>
    <w:qFormat/>
    <w:uiPriority w:val="0"/>
    <w:rPr>
      <w:sz w:val="16"/>
      <w:szCs w:val="16"/>
    </w:rPr>
  </w:style>
  <w:style w:type="character" w:customStyle="1" w:styleId="43">
    <w:name w:val="font41"/>
    <w:basedOn w:val="19"/>
    <w:qFormat/>
    <w:uiPriority w:val="0"/>
    <w:rPr>
      <w:rFonts w:hint="eastAsia" w:ascii="微软雅黑" w:hAnsi="微软雅黑" w:eastAsia="微软雅黑" w:cs="微软雅黑"/>
      <w:color w:val="000000"/>
      <w:sz w:val="20"/>
      <w:szCs w:val="20"/>
      <w:u w:val="none"/>
    </w:rPr>
  </w:style>
  <w:style w:type="character" w:customStyle="1" w:styleId="44">
    <w:name w:val="font51"/>
    <w:basedOn w:val="19"/>
    <w:qFormat/>
    <w:uiPriority w:val="0"/>
    <w:rPr>
      <w:rFonts w:hint="eastAsia" w:ascii="微软雅黑" w:hAnsi="微软雅黑" w:eastAsia="微软雅黑" w:cs="微软雅黑"/>
      <w:color w:val="FF0000"/>
      <w:sz w:val="20"/>
      <w:szCs w:val="20"/>
      <w:u w:val="none"/>
    </w:rPr>
  </w:style>
  <w:style w:type="character" w:customStyle="1" w:styleId="45">
    <w:name w:val="font61"/>
    <w:basedOn w:val="19"/>
    <w:qFormat/>
    <w:uiPriority w:val="0"/>
    <w:rPr>
      <w:rFonts w:hint="eastAsia" w:ascii="微软雅黑" w:hAnsi="微软雅黑" w:eastAsia="微软雅黑" w:cs="微软雅黑"/>
      <w:b/>
      <w:bCs/>
      <w:color w:val="000000"/>
      <w:sz w:val="20"/>
      <w:szCs w:val="20"/>
      <w:u w:val="none"/>
    </w:rPr>
  </w:style>
  <w:style w:type="character" w:customStyle="1" w:styleId="46">
    <w:name w:val="font11"/>
    <w:basedOn w:val="19"/>
    <w:qFormat/>
    <w:uiPriority w:val="0"/>
    <w:rPr>
      <w:rFonts w:hint="eastAsia" w:ascii="宋体" w:hAnsi="宋体" w:eastAsia="宋体" w:cs="宋体"/>
      <w:color w:val="000000"/>
      <w:sz w:val="20"/>
      <w:szCs w:val="20"/>
      <w:u w:val="none"/>
    </w:rPr>
  </w:style>
  <w:style w:type="paragraph" w:customStyle="1" w:styleId="47">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大标题"/>
    <w:basedOn w:val="1"/>
    <w:next w:val="16"/>
    <w:qFormat/>
    <w:uiPriority w:val="0"/>
    <w:pPr>
      <w:jc w:val="center"/>
    </w:pPr>
    <w:rPr>
      <w:rFonts w:ascii="Arial" w:hAnsi="Arial" w:eastAsia="宋体"/>
      <w:b/>
      <w:sz w:val="28"/>
      <w:szCs w:val="24"/>
    </w:rPr>
  </w:style>
  <w:style w:type="paragraph" w:styleId="49">
    <w:name w:val="List Paragraph"/>
    <w:basedOn w:val="1"/>
    <w:qFormat/>
    <w:uiPriority w:val="34"/>
    <w:pPr>
      <w:ind w:firstLine="420" w:firstLineChars="200"/>
    </w:pPr>
    <w:rPr>
      <w:rFonts w:ascii="Calibri" w:hAnsi="Calibri"/>
      <w:szCs w:val="22"/>
    </w:rPr>
  </w:style>
  <w:style w:type="paragraph" w:customStyle="1" w:styleId="50">
    <w:name w:val="Table Paragraph"/>
    <w:basedOn w:val="51"/>
    <w:qFormat/>
    <w:uiPriority w:val="0"/>
    <w:pPr>
      <w:jc w:val="left"/>
    </w:pPr>
    <w:rPr>
      <w:rFonts w:ascii="宋体" w:hAnsi="宋体" w:cs="宋体"/>
      <w:kern w:val="0"/>
      <w:sz w:val="22"/>
      <w:szCs w:val="22"/>
      <w:lang w:eastAsia="en-US"/>
    </w:rPr>
  </w:style>
  <w:style w:type="paragraph" w:customStyle="1" w:styleId="51">
    <w:name w:val="正文1"/>
    <w:next w:val="52"/>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52">
    <w:name w:val="正文文本1"/>
    <w:basedOn w:val="51"/>
    <w:qFormat/>
    <w:uiPriority w:val="0"/>
    <w:rPr>
      <w:rFonts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22139</Words>
  <Characters>24222</Characters>
  <Lines>0</Lines>
  <Paragraphs>0</Paragraphs>
  <TotalTime>0</TotalTime>
  <ScaleCrop>false</ScaleCrop>
  <LinksUpToDate>false</LinksUpToDate>
  <CharactersWithSpaces>24584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Administrator</cp:lastModifiedBy>
  <cp:lastPrinted>2024-08-30T01:15:00Z</cp:lastPrinted>
  <dcterms:modified xsi:type="dcterms:W3CDTF">2025-09-19T09:42:11Z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CF8EEAE318B8492AB6A8E2D7B30E1CBB_13</vt:lpwstr>
  </property>
  <property fmtid="{D5CDD505-2E9C-101B-9397-08002B2CF9AE}" pid="4" name="KSOTemplateDocerSaveRecord">
    <vt:lpwstr>eyJoZGlkIjoiZDU4MjU5NGVjMmRjNDYzNTU4YTlhZGY3OTBjOTVhY2EiLCJ1c2VySWQiOiI0ODg3MzE1MDAifQ==</vt:lpwstr>
  </property>
</Properties>
</file>