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98AEFF">
      <w:pPr>
        <w:spacing w:line="360" w:lineRule="auto"/>
        <w:jc w:val="center"/>
        <w:rPr>
          <w:rFonts w:hint="eastAsia" w:asciiTheme="majorEastAsia" w:hAnsiTheme="majorEastAsia" w:eastAsiaTheme="majorEastAsia" w:cstheme="majorEastAsia"/>
          <w:b/>
          <w:bCs/>
          <w:sz w:val="52"/>
          <w:szCs w:val="52"/>
        </w:rPr>
      </w:pPr>
      <w:bookmarkStart w:id="0" w:name="_Toc281574833"/>
    </w:p>
    <w:p w14:paraId="667E6F3D">
      <w:pPr>
        <w:tabs>
          <w:tab w:val="left" w:pos="1680"/>
        </w:tabs>
        <w:spacing w:line="360" w:lineRule="auto"/>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博爱县教育体育局购置教师计算机采购项目</w:t>
      </w:r>
    </w:p>
    <w:p w14:paraId="1B7E58A5">
      <w:pPr>
        <w:spacing w:line="360" w:lineRule="auto"/>
        <w:jc w:val="center"/>
        <w:rPr>
          <w:rFonts w:hint="eastAsia" w:asciiTheme="minorEastAsia" w:hAnsiTheme="minorEastAsia" w:eastAsiaTheme="minorEastAsia" w:cstheme="minorEastAsia"/>
          <w:b/>
          <w:sz w:val="120"/>
          <w:szCs w:val="120"/>
        </w:rPr>
      </w:pPr>
      <w:r>
        <w:rPr>
          <w:rFonts w:hint="eastAsia" w:asciiTheme="majorEastAsia" w:hAnsiTheme="majorEastAsia" w:eastAsiaTheme="majorEastAsia" w:cstheme="majorEastAsia"/>
          <w:b/>
          <w:bCs/>
          <w:sz w:val="44"/>
          <w:szCs w:val="44"/>
        </w:rPr>
        <w:t xml:space="preserve"> </w:t>
      </w:r>
    </w:p>
    <w:p w14:paraId="591B717B">
      <w:pPr>
        <w:pStyle w:val="4"/>
      </w:pPr>
    </w:p>
    <w:p w14:paraId="0CDD56BA">
      <w:pPr>
        <w:spacing w:line="360" w:lineRule="auto"/>
        <w:jc w:val="center"/>
        <w:rPr>
          <w:rFonts w:hint="eastAsia" w:asciiTheme="minorEastAsia" w:hAnsiTheme="minorEastAsia" w:eastAsiaTheme="minorEastAsia" w:cstheme="minorEastAsia"/>
          <w:b/>
          <w:sz w:val="100"/>
          <w:szCs w:val="100"/>
        </w:rPr>
      </w:pPr>
      <w:r>
        <w:rPr>
          <w:rFonts w:hint="eastAsia" w:asciiTheme="minorEastAsia" w:hAnsiTheme="minorEastAsia" w:eastAsiaTheme="minorEastAsia" w:cstheme="minorEastAsia"/>
          <w:b/>
          <w:sz w:val="100"/>
          <w:szCs w:val="100"/>
        </w:rPr>
        <w:t>招标文件</w:t>
      </w:r>
    </w:p>
    <w:p w14:paraId="2254C549">
      <w:pPr>
        <w:spacing w:line="360" w:lineRule="auto"/>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采购编号：博政采购（2025）</w:t>
      </w:r>
      <w:r>
        <w:rPr>
          <w:rFonts w:hint="eastAsia" w:asciiTheme="minorEastAsia" w:hAnsiTheme="minorEastAsia" w:eastAsiaTheme="minorEastAsia" w:cstheme="minorEastAsia"/>
          <w:b/>
          <w:bCs/>
          <w:sz w:val="28"/>
          <w:szCs w:val="28"/>
          <w:lang w:val="en-US" w:eastAsia="zh-CN"/>
        </w:rPr>
        <w:t>80</w:t>
      </w:r>
      <w:r>
        <w:rPr>
          <w:rFonts w:hint="eastAsia" w:asciiTheme="minorEastAsia" w:hAnsiTheme="minorEastAsia" w:eastAsiaTheme="minorEastAsia" w:cstheme="minorEastAsia"/>
          <w:b/>
          <w:bCs/>
          <w:sz w:val="28"/>
          <w:szCs w:val="28"/>
        </w:rPr>
        <w:t>号</w:t>
      </w:r>
    </w:p>
    <w:p w14:paraId="29213F56">
      <w:pPr>
        <w:spacing w:line="360" w:lineRule="auto"/>
        <w:ind w:firstLine="2530" w:firstLineChars="900"/>
        <w:rPr>
          <w:rFonts w:hint="default"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rPr>
        <w:t>项目编号：博财招标采购-2025-</w:t>
      </w:r>
      <w:r>
        <w:rPr>
          <w:rFonts w:hint="eastAsia" w:asciiTheme="minorEastAsia" w:hAnsiTheme="minorEastAsia" w:eastAsiaTheme="minorEastAsia" w:cstheme="minorEastAsia"/>
          <w:b/>
          <w:bCs/>
          <w:sz w:val="28"/>
          <w:szCs w:val="28"/>
          <w:lang w:val="en-US" w:eastAsia="zh-CN"/>
        </w:rPr>
        <w:t xml:space="preserve">13   </w:t>
      </w:r>
    </w:p>
    <w:p w14:paraId="7B879A75">
      <w:pPr>
        <w:jc w:val="center"/>
        <w:rPr>
          <w:rFonts w:hint="eastAsia" w:asciiTheme="minorEastAsia" w:hAnsiTheme="minorEastAsia" w:eastAsiaTheme="minorEastAsia" w:cstheme="minorEastAsia"/>
          <w:sz w:val="30"/>
        </w:rPr>
      </w:pPr>
      <w:r>
        <w:rPr>
          <w:rFonts w:hint="eastAsia" w:ascii="宋体" w:hAnsi="宋体" w:cs="宋体"/>
        </w:rPr>
        <w:drawing>
          <wp:anchor distT="0" distB="0" distL="114300" distR="114300" simplePos="0" relativeHeight="251667456" behindDoc="1" locked="0" layoutInCell="1" allowOverlap="1">
            <wp:simplePos x="0" y="0"/>
            <wp:positionH relativeFrom="column">
              <wp:posOffset>1126490</wp:posOffset>
            </wp:positionH>
            <wp:positionV relativeFrom="paragraph">
              <wp:posOffset>465455</wp:posOffset>
            </wp:positionV>
            <wp:extent cx="3685540" cy="1419225"/>
            <wp:effectExtent l="0" t="0" r="10160" b="9525"/>
            <wp:wrapTight wrapText="bothSides">
              <wp:wrapPolygon>
                <wp:start x="0" y="0"/>
                <wp:lineTo x="0" y="21455"/>
                <wp:lineTo x="21436" y="21455"/>
                <wp:lineTo x="21436" y="0"/>
                <wp:lineTo x="0" y="0"/>
              </wp:wrapPolygon>
            </wp:wrapTight>
            <wp:docPr id="11" name="图片 2" descr="诚隆LOGO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诚隆LOGO副本"/>
                    <pic:cNvPicPr>
                      <a:picLocks noChangeAspect="1"/>
                    </pic:cNvPicPr>
                  </pic:nvPicPr>
                  <pic:blipFill>
                    <a:blip r:embed="rId7" cstate="print"/>
                    <a:srcRect l="13153" t="26659" r="11694" b="46870"/>
                    <a:stretch>
                      <a:fillRect/>
                    </a:stretch>
                  </pic:blipFill>
                  <pic:spPr>
                    <a:xfrm>
                      <a:off x="0" y="0"/>
                      <a:ext cx="3685540" cy="1419225"/>
                    </a:xfrm>
                    <a:prstGeom prst="rect">
                      <a:avLst/>
                    </a:prstGeom>
                    <a:noFill/>
                    <a:ln>
                      <a:noFill/>
                    </a:ln>
                  </pic:spPr>
                </pic:pic>
              </a:graphicData>
            </a:graphic>
          </wp:anchor>
        </w:drawing>
      </w:r>
    </w:p>
    <w:p w14:paraId="1C3D8101">
      <w:pPr>
        <w:pStyle w:val="26"/>
        <w:rPr>
          <w:rFonts w:hint="eastAsia" w:asciiTheme="minorEastAsia" w:hAnsiTheme="minorEastAsia" w:eastAsiaTheme="minorEastAsia" w:cstheme="minorEastAsia"/>
        </w:rPr>
      </w:pPr>
    </w:p>
    <w:p w14:paraId="7E8AB8A2">
      <w:pPr>
        <w:pStyle w:val="4"/>
        <w:rPr>
          <w:rFonts w:hint="eastAsia" w:asciiTheme="minorEastAsia" w:hAnsiTheme="minorEastAsia" w:eastAsiaTheme="minorEastAsia" w:cstheme="minorEastAsia"/>
        </w:rPr>
      </w:pPr>
    </w:p>
    <w:p w14:paraId="2ADA24AD">
      <w:pPr>
        <w:pStyle w:val="4"/>
      </w:pPr>
    </w:p>
    <w:p w14:paraId="0DBDC436">
      <w:pPr>
        <w:pStyle w:val="26"/>
      </w:pPr>
    </w:p>
    <w:p w14:paraId="441D0A68">
      <w:pPr>
        <w:pStyle w:val="4"/>
      </w:pPr>
    </w:p>
    <w:p w14:paraId="292519DD">
      <w:pPr>
        <w:pStyle w:val="4"/>
      </w:pPr>
    </w:p>
    <w:p w14:paraId="0F5E0436">
      <w:pPr>
        <w:spacing w:line="560" w:lineRule="exact"/>
        <w:jc w:val="center"/>
        <w:rPr>
          <w:rFonts w:hint="eastAsia" w:asciiTheme="minorEastAsia" w:hAnsiTheme="minorEastAsia" w:eastAsiaTheme="minorEastAsia" w:cstheme="minorEastAsia"/>
          <w:b/>
          <w:bCs/>
          <w:sz w:val="32"/>
          <w:szCs w:val="32"/>
        </w:rPr>
      </w:pPr>
    </w:p>
    <w:p w14:paraId="24D445B0">
      <w:pPr>
        <w:spacing w:line="560" w:lineRule="exact"/>
        <w:ind w:firstLine="2249" w:firstLineChars="7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采 购 人：博爱县教育体育局</w:t>
      </w:r>
    </w:p>
    <w:p w14:paraId="7E824202">
      <w:pPr>
        <w:spacing w:line="560" w:lineRule="exact"/>
        <w:jc w:val="center"/>
        <w:rPr>
          <w:rFonts w:eastAsiaTheme="minorEastAsia"/>
          <w:sz w:val="32"/>
          <w:szCs w:val="32"/>
        </w:rPr>
      </w:pPr>
      <w:r>
        <w:rPr>
          <w:rFonts w:hint="eastAsia" w:asciiTheme="minorEastAsia" w:hAnsiTheme="minorEastAsia" w:eastAsiaTheme="minorEastAsia" w:cstheme="minorEastAsia"/>
          <w:b/>
          <w:bCs/>
          <w:sz w:val="32"/>
          <w:szCs w:val="32"/>
        </w:rPr>
        <w:t xml:space="preserve">   代理机构：河南诚隆工程管理有限公司</w:t>
      </w:r>
    </w:p>
    <w:p w14:paraId="662B3518">
      <w:pPr>
        <w:spacing w:line="560" w:lineRule="exact"/>
        <w:ind w:firstLine="2249" w:firstLineChars="700"/>
        <w:rPr>
          <w:rFonts w:hint="eastAsia" w:asciiTheme="minorEastAsia" w:hAnsiTheme="minorEastAsia" w:eastAsiaTheme="minorEastAsia" w:cstheme="minorEastAsia"/>
          <w:b/>
          <w:bCs/>
          <w:sz w:val="32"/>
          <w:szCs w:val="32"/>
        </w:rPr>
        <w:sectPr>
          <w:footerReference r:id="rId3" w:type="first"/>
          <w:pgSz w:w="11907" w:h="16840"/>
          <w:pgMar w:top="1162" w:right="1116" w:bottom="1417" w:left="1331" w:header="624" w:footer="998" w:gutter="0"/>
          <w:pgNumType w:fmt="numberInDash" w:start="1"/>
          <w:cols w:space="720" w:num="1"/>
          <w:titlePg/>
          <w:docGrid w:type="lines" w:linePitch="380" w:charSpace="0"/>
        </w:sectPr>
      </w:pPr>
      <w:r>
        <w:rPr>
          <w:rFonts w:hint="eastAsia" w:asciiTheme="minorEastAsia" w:hAnsiTheme="minorEastAsia" w:eastAsiaTheme="minorEastAsia" w:cstheme="minorEastAsia"/>
          <w:b/>
          <w:bCs/>
          <w:sz w:val="32"/>
          <w:szCs w:val="32"/>
        </w:rPr>
        <w:t>日    期：二〇二五年</w:t>
      </w:r>
      <w:r>
        <w:rPr>
          <w:rFonts w:hint="eastAsia" w:asciiTheme="minorEastAsia" w:hAnsiTheme="minorEastAsia" w:eastAsiaTheme="minorEastAsia" w:cstheme="minorEastAsia"/>
          <w:b/>
          <w:bCs/>
          <w:sz w:val="32"/>
          <w:szCs w:val="32"/>
          <w:lang w:val="en-US" w:eastAsia="zh-CN"/>
        </w:rPr>
        <w:t>九</w:t>
      </w:r>
      <w:r>
        <w:rPr>
          <w:rFonts w:hint="eastAsia" w:asciiTheme="minorEastAsia" w:hAnsiTheme="minorEastAsia" w:eastAsiaTheme="minorEastAsia" w:cstheme="minorEastAsia"/>
          <w:b/>
          <w:bCs/>
          <w:sz w:val="32"/>
          <w:szCs w:val="32"/>
        </w:rPr>
        <w:t>月</w:t>
      </w:r>
    </w:p>
    <w:p w14:paraId="22A0C8FD">
      <w:pPr>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目   录</w:t>
      </w:r>
    </w:p>
    <w:p w14:paraId="0D4B61A3">
      <w:pPr>
        <w:pStyle w:val="24"/>
        <w:tabs>
          <w:tab w:val="right" w:leader="hyphen" w:pos="8812"/>
        </w:tabs>
        <w:spacing w:line="480" w:lineRule="auto"/>
        <w:rPr>
          <w:rFonts w:hint="eastAsia" w:ascii="宋体" w:hAnsi="宋体" w:cs="宋体"/>
          <w:sz w:val="24"/>
        </w:rPr>
      </w:pPr>
      <w:r>
        <w:rPr>
          <w:rFonts w:hint="eastAsia" w:ascii="宋体" w:hAnsi="宋体" w:cs="宋体"/>
          <w:bCs/>
        </w:rPr>
        <w:fldChar w:fldCharType="begin"/>
      </w:r>
      <w:r>
        <w:rPr>
          <w:rFonts w:hint="eastAsia" w:ascii="宋体" w:hAnsi="宋体" w:cs="宋体"/>
          <w:bCs/>
        </w:rPr>
        <w:instrText xml:space="preserve">TOC \o "1-1" \h \u </w:instrText>
      </w:r>
      <w:r>
        <w:rPr>
          <w:rFonts w:hint="eastAsia" w:ascii="宋体" w:hAnsi="宋体" w:cs="宋体"/>
          <w:bCs/>
        </w:rPr>
        <w:fldChar w:fldCharType="separate"/>
      </w:r>
      <w:r>
        <w:fldChar w:fldCharType="begin"/>
      </w:r>
      <w:r>
        <w:instrText xml:space="preserve"> HYPERLINK \l "_Toc15847" </w:instrText>
      </w:r>
      <w:r>
        <w:fldChar w:fldCharType="separate"/>
      </w:r>
      <w:r>
        <w:rPr>
          <w:rFonts w:hint="eastAsia" w:ascii="宋体" w:hAnsi="宋体" w:cs="宋体"/>
          <w:sz w:val="24"/>
        </w:rPr>
        <w:t>重要事项提示</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_Toc15847 \h </w:instrText>
      </w:r>
      <w:r>
        <w:rPr>
          <w:rFonts w:hint="eastAsia" w:ascii="宋体" w:hAnsi="宋体" w:cs="宋体"/>
          <w:sz w:val="24"/>
        </w:rPr>
        <w:fldChar w:fldCharType="separate"/>
      </w:r>
      <w:r>
        <w:rPr>
          <w:rFonts w:hint="eastAsia" w:ascii="宋体" w:hAnsi="宋体" w:cs="宋体"/>
          <w:sz w:val="24"/>
        </w:rPr>
        <w:t>- 3 -</w:t>
      </w:r>
      <w:r>
        <w:rPr>
          <w:rFonts w:hint="eastAsia" w:ascii="宋体" w:hAnsi="宋体" w:cs="宋体"/>
          <w:sz w:val="24"/>
        </w:rPr>
        <w:fldChar w:fldCharType="end"/>
      </w:r>
      <w:r>
        <w:rPr>
          <w:rFonts w:hint="eastAsia" w:ascii="宋体" w:hAnsi="宋体" w:cs="宋体"/>
          <w:sz w:val="24"/>
        </w:rPr>
        <w:fldChar w:fldCharType="end"/>
      </w:r>
    </w:p>
    <w:p w14:paraId="1FED67E2">
      <w:pPr>
        <w:pStyle w:val="24"/>
        <w:tabs>
          <w:tab w:val="right" w:leader="hyphen" w:pos="8812"/>
        </w:tabs>
        <w:spacing w:line="480" w:lineRule="auto"/>
        <w:rPr>
          <w:rFonts w:hint="eastAsia" w:ascii="宋体" w:hAnsi="宋体" w:cs="宋体"/>
          <w:sz w:val="24"/>
        </w:rPr>
      </w:pPr>
      <w:r>
        <w:fldChar w:fldCharType="begin"/>
      </w:r>
      <w:r>
        <w:instrText xml:space="preserve"> HYPERLINK \l "_Toc24066" </w:instrText>
      </w:r>
      <w:r>
        <w:fldChar w:fldCharType="separate"/>
      </w:r>
      <w:r>
        <w:rPr>
          <w:rFonts w:hint="eastAsia" w:ascii="宋体" w:hAnsi="宋体" w:cs="宋体"/>
          <w:sz w:val="24"/>
        </w:rPr>
        <w:t>第一章 招标公告</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_Toc24066 \h </w:instrText>
      </w:r>
      <w:r>
        <w:rPr>
          <w:rFonts w:hint="eastAsia" w:ascii="宋体" w:hAnsi="宋体" w:cs="宋体"/>
          <w:sz w:val="24"/>
        </w:rPr>
        <w:fldChar w:fldCharType="separate"/>
      </w:r>
      <w:r>
        <w:rPr>
          <w:rFonts w:hint="eastAsia" w:ascii="宋体" w:hAnsi="宋体" w:cs="宋体"/>
          <w:sz w:val="24"/>
        </w:rPr>
        <w:t>- 5 -</w:t>
      </w:r>
      <w:r>
        <w:rPr>
          <w:rFonts w:hint="eastAsia" w:ascii="宋体" w:hAnsi="宋体" w:cs="宋体"/>
          <w:sz w:val="24"/>
        </w:rPr>
        <w:fldChar w:fldCharType="end"/>
      </w:r>
      <w:r>
        <w:rPr>
          <w:rFonts w:hint="eastAsia" w:ascii="宋体" w:hAnsi="宋体" w:cs="宋体"/>
          <w:sz w:val="24"/>
        </w:rPr>
        <w:fldChar w:fldCharType="end"/>
      </w:r>
    </w:p>
    <w:p w14:paraId="71B70F62">
      <w:pPr>
        <w:pStyle w:val="24"/>
        <w:tabs>
          <w:tab w:val="right" w:leader="hyphen" w:pos="8812"/>
        </w:tabs>
        <w:spacing w:line="480" w:lineRule="auto"/>
        <w:rPr>
          <w:rFonts w:hint="eastAsia" w:ascii="宋体" w:hAnsi="宋体" w:cs="宋体"/>
          <w:sz w:val="24"/>
        </w:rPr>
      </w:pPr>
      <w:r>
        <w:fldChar w:fldCharType="begin"/>
      </w:r>
      <w:r>
        <w:instrText xml:space="preserve"> HYPERLINK \l "_Toc21579" </w:instrText>
      </w:r>
      <w:r>
        <w:fldChar w:fldCharType="separate"/>
      </w:r>
      <w:r>
        <w:rPr>
          <w:rFonts w:hint="eastAsia" w:ascii="宋体" w:hAnsi="宋体" w:cs="宋体"/>
          <w:sz w:val="24"/>
        </w:rPr>
        <w:t>第二章 供应商须知</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_Toc21579 \h </w:instrText>
      </w:r>
      <w:r>
        <w:rPr>
          <w:rFonts w:hint="eastAsia" w:ascii="宋体" w:hAnsi="宋体" w:cs="宋体"/>
          <w:sz w:val="24"/>
        </w:rPr>
        <w:fldChar w:fldCharType="separate"/>
      </w:r>
      <w:r>
        <w:rPr>
          <w:rFonts w:hint="eastAsia" w:ascii="宋体" w:hAnsi="宋体" w:cs="宋体"/>
          <w:sz w:val="24"/>
        </w:rPr>
        <w:t>- 5 -</w:t>
      </w:r>
      <w:r>
        <w:rPr>
          <w:rFonts w:hint="eastAsia" w:ascii="宋体" w:hAnsi="宋体" w:cs="宋体"/>
          <w:sz w:val="24"/>
        </w:rPr>
        <w:fldChar w:fldCharType="end"/>
      </w:r>
      <w:r>
        <w:rPr>
          <w:rFonts w:hint="eastAsia" w:ascii="宋体" w:hAnsi="宋体" w:cs="宋体"/>
          <w:sz w:val="24"/>
        </w:rPr>
        <w:fldChar w:fldCharType="end"/>
      </w:r>
    </w:p>
    <w:p w14:paraId="16D60AFB">
      <w:pPr>
        <w:pStyle w:val="24"/>
        <w:tabs>
          <w:tab w:val="right" w:leader="hyphen" w:pos="8812"/>
        </w:tabs>
        <w:spacing w:line="480" w:lineRule="auto"/>
        <w:rPr>
          <w:rFonts w:hint="eastAsia" w:ascii="宋体" w:hAnsi="宋体" w:cs="宋体"/>
          <w:sz w:val="24"/>
        </w:rPr>
      </w:pPr>
      <w:r>
        <w:fldChar w:fldCharType="begin"/>
      </w:r>
      <w:r>
        <w:instrText xml:space="preserve"> HYPERLINK \l "_Toc25260" </w:instrText>
      </w:r>
      <w:r>
        <w:fldChar w:fldCharType="separate"/>
      </w:r>
      <w:r>
        <w:rPr>
          <w:rFonts w:hint="eastAsia" w:ascii="宋体" w:hAnsi="宋体" w:cs="宋体"/>
          <w:sz w:val="24"/>
        </w:rPr>
        <w:t>第三章 评标办法（综合评分法）</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_Toc25260 \h </w:instrText>
      </w:r>
      <w:r>
        <w:rPr>
          <w:rFonts w:hint="eastAsia" w:ascii="宋体" w:hAnsi="宋体" w:cs="宋体"/>
          <w:sz w:val="24"/>
        </w:rPr>
        <w:fldChar w:fldCharType="separate"/>
      </w:r>
      <w:r>
        <w:rPr>
          <w:rFonts w:hint="eastAsia" w:ascii="宋体" w:hAnsi="宋体" w:cs="宋体"/>
          <w:sz w:val="24"/>
        </w:rPr>
        <w:t>- 24 -</w:t>
      </w:r>
      <w:r>
        <w:rPr>
          <w:rFonts w:hint="eastAsia" w:ascii="宋体" w:hAnsi="宋体" w:cs="宋体"/>
          <w:sz w:val="24"/>
        </w:rPr>
        <w:fldChar w:fldCharType="end"/>
      </w:r>
      <w:r>
        <w:rPr>
          <w:rFonts w:hint="eastAsia" w:ascii="宋体" w:hAnsi="宋体" w:cs="宋体"/>
          <w:sz w:val="24"/>
        </w:rPr>
        <w:fldChar w:fldCharType="end"/>
      </w:r>
    </w:p>
    <w:p w14:paraId="2C6FF3B6">
      <w:pPr>
        <w:pStyle w:val="24"/>
        <w:tabs>
          <w:tab w:val="right" w:leader="hyphen" w:pos="8812"/>
        </w:tabs>
        <w:spacing w:line="480" w:lineRule="auto"/>
        <w:rPr>
          <w:rFonts w:hint="eastAsia" w:ascii="宋体" w:hAnsi="宋体" w:cs="宋体"/>
          <w:sz w:val="24"/>
        </w:rPr>
      </w:pPr>
      <w:r>
        <w:fldChar w:fldCharType="begin"/>
      </w:r>
      <w:r>
        <w:instrText xml:space="preserve"> HYPERLINK \l "_Toc25544" </w:instrText>
      </w:r>
      <w:r>
        <w:fldChar w:fldCharType="separate"/>
      </w:r>
      <w:r>
        <w:rPr>
          <w:rFonts w:hint="eastAsia" w:ascii="宋体" w:hAnsi="宋体" w:cs="宋体"/>
          <w:sz w:val="24"/>
        </w:rPr>
        <w:t>第四章 合同条款及格式 （仅供参考）</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_Toc25544 \h </w:instrText>
      </w:r>
      <w:r>
        <w:rPr>
          <w:rFonts w:hint="eastAsia" w:ascii="宋体" w:hAnsi="宋体" w:cs="宋体"/>
          <w:sz w:val="24"/>
        </w:rPr>
        <w:fldChar w:fldCharType="separate"/>
      </w:r>
      <w:r>
        <w:rPr>
          <w:rFonts w:hint="eastAsia" w:ascii="宋体" w:hAnsi="宋体" w:cs="宋体"/>
          <w:sz w:val="24"/>
        </w:rPr>
        <w:t>- 25 -</w:t>
      </w:r>
      <w:r>
        <w:rPr>
          <w:rFonts w:hint="eastAsia" w:ascii="宋体" w:hAnsi="宋体" w:cs="宋体"/>
          <w:sz w:val="24"/>
        </w:rPr>
        <w:fldChar w:fldCharType="end"/>
      </w:r>
      <w:r>
        <w:rPr>
          <w:rFonts w:hint="eastAsia" w:ascii="宋体" w:hAnsi="宋体" w:cs="宋体"/>
          <w:sz w:val="24"/>
        </w:rPr>
        <w:fldChar w:fldCharType="end"/>
      </w:r>
    </w:p>
    <w:p w14:paraId="5DE54D41">
      <w:pPr>
        <w:pStyle w:val="24"/>
        <w:tabs>
          <w:tab w:val="right" w:leader="hyphen" w:pos="8812"/>
        </w:tabs>
        <w:spacing w:line="480" w:lineRule="auto"/>
        <w:rPr>
          <w:rFonts w:hint="eastAsia" w:ascii="宋体" w:hAnsi="宋体" w:cs="宋体"/>
          <w:sz w:val="24"/>
        </w:rPr>
      </w:pPr>
      <w:r>
        <w:fldChar w:fldCharType="begin"/>
      </w:r>
      <w:r>
        <w:instrText xml:space="preserve"> HYPERLINK \l "_Toc8682" </w:instrText>
      </w:r>
      <w:r>
        <w:fldChar w:fldCharType="separate"/>
      </w:r>
      <w:r>
        <w:rPr>
          <w:rFonts w:hint="eastAsia" w:ascii="宋体" w:hAnsi="宋体" w:cs="宋体"/>
          <w:sz w:val="24"/>
        </w:rPr>
        <w:t>第五章 采购内容及技术要求</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_Toc8682 \h </w:instrText>
      </w:r>
      <w:r>
        <w:rPr>
          <w:rFonts w:hint="eastAsia" w:ascii="宋体" w:hAnsi="宋体" w:cs="宋体"/>
          <w:sz w:val="24"/>
        </w:rPr>
        <w:fldChar w:fldCharType="separate"/>
      </w:r>
      <w:r>
        <w:rPr>
          <w:rFonts w:hint="eastAsia" w:ascii="宋体" w:hAnsi="宋体" w:cs="宋体"/>
          <w:sz w:val="24"/>
        </w:rPr>
        <w:t>- 31 -</w:t>
      </w:r>
      <w:r>
        <w:rPr>
          <w:rFonts w:hint="eastAsia" w:ascii="宋体" w:hAnsi="宋体" w:cs="宋体"/>
          <w:sz w:val="24"/>
        </w:rPr>
        <w:fldChar w:fldCharType="end"/>
      </w:r>
      <w:r>
        <w:rPr>
          <w:rFonts w:hint="eastAsia" w:ascii="宋体" w:hAnsi="宋体" w:cs="宋体"/>
          <w:sz w:val="24"/>
        </w:rPr>
        <w:fldChar w:fldCharType="end"/>
      </w:r>
    </w:p>
    <w:p w14:paraId="40D1A309">
      <w:pPr>
        <w:pStyle w:val="24"/>
        <w:tabs>
          <w:tab w:val="right" w:leader="hyphen" w:pos="8812"/>
        </w:tabs>
        <w:spacing w:line="480" w:lineRule="auto"/>
        <w:rPr>
          <w:rFonts w:hint="eastAsia" w:ascii="宋体" w:hAnsi="宋体" w:cs="宋体"/>
          <w:sz w:val="24"/>
        </w:rPr>
      </w:pPr>
      <w:r>
        <w:fldChar w:fldCharType="begin"/>
      </w:r>
      <w:r>
        <w:instrText xml:space="preserve"> HYPERLINK \l "_Toc18132" </w:instrText>
      </w:r>
      <w:r>
        <w:fldChar w:fldCharType="separate"/>
      </w:r>
      <w:r>
        <w:rPr>
          <w:rFonts w:hint="eastAsia" w:ascii="宋体" w:hAnsi="宋体" w:cs="宋体"/>
          <w:sz w:val="24"/>
        </w:rPr>
        <w:t>第六章 质疑与投诉</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_Toc18132 \h </w:instrText>
      </w:r>
      <w:r>
        <w:rPr>
          <w:rFonts w:hint="eastAsia" w:ascii="宋体" w:hAnsi="宋体" w:cs="宋体"/>
          <w:sz w:val="24"/>
        </w:rPr>
        <w:fldChar w:fldCharType="separate"/>
      </w:r>
      <w:r>
        <w:rPr>
          <w:rFonts w:hint="eastAsia" w:ascii="宋体" w:hAnsi="宋体" w:cs="宋体"/>
          <w:sz w:val="24"/>
        </w:rPr>
        <w:t>- 44 -</w:t>
      </w:r>
      <w:r>
        <w:rPr>
          <w:rFonts w:hint="eastAsia" w:ascii="宋体" w:hAnsi="宋体" w:cs="宋体"/>
          <w:sz w:val="24"/>
        </w:rPr>
        <w:fldChar w:fldCharType="end"/>
      </w:r>
      <w:r>
        <w:rPr>
          <w:rFonts w:hint="eastAsia" w:ascii="宋体" w:hAnsi="宋体" w:cs="宋体"/>
          <w:sz w:val="24"/>
        </w:rPr>
        <w:fldChar w:fldCharType="end"/>
      </w:r>
    </w:p>
    <w:p w14:paraId="456863BD">
      <w:pPr>
        <w:pStyle w:val="24"/>
        <w:tabs>
          <w:tab w:val="right" w:leader="hyphen" w:pos="8812"/>
        </w:tabs>
        <w:spacing w:line="480" w:lineRule="auto"/>
        <w:rPr>
          <w:rFonts w:hint="eastAsia" w:ascii="宋体" w:hAnsi="宋体" w:cs="宋体"/>
          <w:sz w:val="24"/>
        </w:rPr>
      </w:pPr>
      <w:r>
        <w:fldChar w:fldCharType="begin"/>
      </w:r>
      <w:r>
        <w:instrText xml:space="preserve"> HYPERLINK \l "_Toc3861" </w:instrText>
      </w:r>
      <w:r>
        <w:fldChar w:fldCharType="separate"/>
      </w:r>
      <w:r>
        <w:rPr>
          <w:rFonts w:hint="eastAsia" w:ascii="宋体" w:hAnsi="宋体" w:cs="宋体"/>
          <w:sz w:val="24"/>
        </w:rPr>
        <w:t>第七章 履约验收</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_Toc3861 \h </w:instrText>
      </w:r>
      <w:r>
        <w:rPr>
          <w:rFonts w:hint="eastAsia" w:ascii="宋体" w:hAnsi="宋体" w:cs="宋体"/>
          <w:sz w:val="24"/>
        </w:rPr>
        <w:fldChar w:fldCharType="separate"/>
      </w:r>
      <w:r>
        <w:rPr>
          <w:rFonts w:hint="eastAsia" w:ascii="宋体" w:hAnsi="宋体" w:cs="宋体"/>
          <w:sz w:val="24"/>
        </w:rPr>
        <w:t>- 46 -</w:t>
      </w:r>
      <w:r>
        <w:rPr>
          <w:rFonts w:hint="eastAsia" w:ascii="宋体" w:hAnsi="宋体" w:cs="宋体"/>
          <w:sz w:val="24"/>
        </w:rPr>
        <w:fldChar w:fldCharType="end"/>
      </w:r>
      <w:r>
        <w:rPr>
          <w:rFonts w:hint="eastAsia" w:ascii="宋体" w:hAnsi="宋体" w:cs="宋体"/>
          <w:sz w:val="24"/>
        </w:rPr>
        <w:fldChar w:fldCharType="end"/>
      </w:r>
    </w:p>
    <w:p w14:paraId="50C730D6">
      <w:pPr>
        <w:pStyle w:val="24"/>
        <w:tabs>
          <w:tab w:val="right" w:leader="hyphen" w:pos="8812"/>
        </w:tabs>
        <w:spacing w:line="480" w:lineRule="auto"/>
        <w:rPr>
          <w:rFonts w:hint="eastAsia" w:ascii="宋体" w:hAnsi="宋体" w:cs="宋体"/>
        </w:rPr>
      </w:pPr>
      <w:r>
        <w:fldChar w:fldCharType="begin"/>
      </w:r>
      <w:r>
        <w:instrText xml:space="preserve"> HYPERLINK \l "_Toc21125" </w:instrText>
      </w:r>
      <w:r>
        <w:fldChar w:fldCharType="separate"/>
      </w:r>
      <w:r>
        <w:rPr>
          <w:rFonts w:hint="eastAsia" w:ascii="宋体" w:hAnsi="宋体" w:cs="宋体"/>
          <w:sz w:val="24"/>
        </w:rPr>
        <w:t>第八章 投标文件格式</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_Toc21125 \h </w:instrText>
      </w:r>
      <w:r>
        <w:rPr>
          <w:rFonts w:hint="eastAsia" w:ascii="宋体" w:hAnsi="宋体" w:cs="宋体"/>
          <w:sz w:val="24"/>
        </w:rPr>
        <w:fldChar w:fldCharType="separate"/>
      </w:r>
      <w:r>
        <w:rPr>
          <w:rFonts w:hint="eastAsia" w:ascii="宋体" w:hAnsi="宋体" w:cs="宋体"/>
          <w:sz w:val="24"/>
        </w:rPr>
        <w:t>- 47 -</w:t>
      </w:r>
      <w:r>
        <w:rPr>
          <w:rFonts w:hint="eastAsia" w:ascii="宋体" w:hAnsi="宋体" w:cs="宋体"/>
          <w:sz w:val="24"/>
        </w:rPr>
        <w:fldChar w:fldCharType="end"/>
      </w:r>
      <w:r>
        <w:rPr>
          <w:rFonts w:hint="eastAsia" w:ascii="宋体" w:hAnsi="宋体" w:cs="宋体"/>
          <w:sz w:val="24"/>
        </w:rPr>
        <w:fldChar w:fldCharType="end"/>
      </w:r>
    </w:p>
    <w:p w14:paraId="04A96028">
      <w:pPr>
        <w:spacing w:line="480" w:lineRule="auto"/>
        <w:ind w:right="-273" w:rightChars="-130"/>
        <w:rPr>
          <w:rFonts w:hint="eastAsia" w:asciiTheme="minorEastAsia" w:hAnsiTheme="minorEastAsia" w:eastAsiaTheme="minorEastAsia" w:cstheme="minorEastAsia"/>
          <w:bCs/>
        </w:rPr>
      </w:pPr>
      <w:r>
        <w:rPr>
          <w:rFonts w:hint="eastAsia" w:ascii="宋体" w:hAnsi="宋体" w:cs="宋体"/>
          <w:bCs/>
        </w:rPr>
        <w:fldChar w:fldCharType="end"/>
      </w:r>
    </w:p>
    <w:p w14:paraId="70DA8CE9">
      <w:pPr>
        <w:pStyle w:val="5"/>
        <w:spacing w:line="360" w:lineRule="auto"/>
        <w:ind w:right="-63" w:rightChars="-30"/>
        <w:jc w:val="both"/>
        <w:outlineLvl w:val="9"/>
        <w:rPr>
          <w:rFonts w:hint="eastAsia" w:asciiTheme="minorEastAsia" w:hAnsiTheme="minorEastAsia" w:eastAsiaTheme="minorEastAsia" w:cstheme="minorEastAsia"/>
          <w:bCs/>
        </w:rPr>
      </w:pPr>
    </w:p>
    <w:p w14:paraId="0B5CB132">
      <w:pPr>
        <w:rPr>
          <w:rFonts w:hint="eastAsia" w:asciiTheme="minorEastAsia" w:hAnsiTheme="minorEastAsia" w:eastAsiaTheme="minorEastAsia" w:cstheme="minorEastAsia"/>
          <w:bCs/>
        </w:rPr>
      </w:pPr>
    </w:p>
    <w:p w14:paraId="7E068A07">
      <w:pPr>
        <w:pStyle w:val="35"/>
        <w:rPr>
          <w:rFonts w:hint="eastAsia" w:asciiTheme="minorEastAsia" w:hAnsiTheme="minorEastAsia" w:eastAsiaTheme="minorEastAsia" w:cstheme="minorEastAsia"/>
          <w:bCs/>
        </w:rPr>
      </w:pPr>
    </w:p>
    <w:p w14:paraId="5BEA1797">
      <w:pPr>
        <w:pStyle w:val="36"/>
        <w:rPr>
          <w:rFonts w:hint="eastAsia" w:asciiTheme="minorEastAsia" w:hAnsiTheme="minorEastAsia" w:eastAsiaTheme="minorEastAsia" w:cstheme="minorEastAsia"/>
          <w:bCs/>
        </w:rPr>
      </w:pPr>
    </w:p>
    <w:p w14:paraId="3E97EF2C">
      <w:pPr>
        <w:pStyle w:val="37"/>
        <w:rPr>
          <w:rFonts w:hint="eastAsia" w:asciiTheme="minorEastAsia" w:hAnsiTheme="minorEastAsia" w:eastAsiaTheme="minorEastAsia" w:cstheme="minorEastAsia"/>
          <w:bCs/>
        </w:rPr>
      </w:pPr>
    </w:p>
    <w:p w14:paraId="65BF335D">
      <w:pPr>
        <w:pStyle w:val="38"/>
      </w:pPr>
    </w:p>
    <w:p w14:paraId="73226274">
      <w:pPr>
        <w:pStyle w:val="36"/>
        <w:rPr>
          <w:rFonts w:hint="eastAsia" w:asciiTheme="minorEastAsia" w:hAnsiTheme="minorEastAsia" w:eastAsiaTheme="minorEastAsia" w:cstheme="minorEastAsia"/>
          <w:bCs/>
          <w:color w:val="auto"/>
        </w:rPr>
      </w:pPr>
    </w:p>
    <w:p w14:paraId="0927FD05">
      <w:pPr>
        <w:pStyle w:val="37"/>
        <w:rPr>
          <w:rFonts w:hint="eastAsia" w:asciiTheme="minorEastAsia" w:hAnsiTheme="minorEastAsia" w:eastAsiaTheme="minorEastAsia" w:cstheme="minorEastAsia"/>
          <w:bCs/>
        </w:rPr>
      </w:pPr>
    </w:p>
    <w:p w14:paraId="5E226C7A">
      <w:pPr>
        <w:pStyle w:val="38"/>
        <w:rPr>
          <w:rFonts w:hint="eastAsia" w:asciiTheme="minorEastAsia" w:hAnsiTheme="minorEastAsia" w:eastAsiaTheme="minorEastAsia" w:cstheme="minorEastAsia"/>
          <w:bCs/>
        </w:rPr>
      </w:pPr>
    </w:p>
    <w:p w14:paraId="69A85EFB">
      <w:pPr>
        <w:pStyle w:val="9"/>
        <w:spacing w:line="500" w:lineRule="exact"/>
        <w:rPr>
          <w:sz w:val="32"/>
          <w:szCs w:val="32"/>
        </w:rPr>
      </w:pPr>
      <w:bookmarkStart w:id="1" w:name="_Toc27735"/>
      <w:bookmarkStart w:id="2" w:name="_Toc15847"/>
      <w:r>
        <w:rPr>
          <w:rFonts w:hint="eastAsia"/>
          <w:sz w:val="32"/>
          <w:szCs w:val="32"/>
        </w:rPr>
        <w:t>重要事项提示</w:t>
      </w:r>
      <w:bookmarkEnd w:id="1"/>
      <w:bookmarkEnd w:id="2"/>
    </w:p>
    <w:p w14:paraId="7B50BB24">
      <w:pPr>
        <w:spacing w:line="500" w:lineRule="exact"/>
        <w:rPr>
          <w:rFonts w:hint="eastAsia" w:ascii="宋体" w:hAnsi="宋体" w:cs="宋体"/>
          <w:sz w:val="24"/>
        </w:rPr>
      </w:pPr>
      <w:r>
        <w:rPr>
          <w:rFonts w:hint="eastAsia" w:ascii="宋体" w:hAnsi="宋体" w:cs="宋体"/>
          <w:sz w:val="24"/>
        </w:rPr>
        <w:t>各潜在投标人：</w:t>
      </w:r>
    </w:p>
    <w:p w14:paraId="63284CDC">
      <w:pPr>
        <w:spacing w:line="500" w:lineRule="exact"/>
        <w:ind w:firstLine="480" w:firstLineChars="200"/>
        <w:rPr>
          <w:rFonts w:hint="eastAsia" w:ascii="宋体" w:hAnsi="宋体" w:cs="宋体"/>
          <w:sz w:val="24"/>
        </w:rPr>
      </w:pPr>
      <w:r>
        <w:rPr>
          <w:rFonts w:hint="eastAsia" w:ascii="宋体" w:hAnsi="宋体" w:cs="宋体"/>
          <w:sz w:val="24"/>
        </w:rPr>
        <w:t>以下环节是此采购文件中需要重点关注的环节，对以下内容的忽视，可能是影响贵公司中标的重要因素。请在编制相应文件参与政府采购时高度重视。</w:t>
      </w:r>
    </w:p>
    <w:p w14:paraId="1C198CA2">
      <w:pPr>
        <w:spacing w:line="500" w:lineRule="exact"/>
        <w:ind w:firstLine="480" w:firstLineChars="200"/>
        <w:rPr>
          <w:rFonts w:hint="eastAsia" w:ascii="宋体" w:hAnsi="宋体" w:cs="宋体"/>
          <w:sz w:val="24"/>
        </w:rPr>
      </w:pPr>
      <w:r>
        <w:rPr>
          <w:rFonts w:hint="eastAsia" w:ascii="宋体" w:hAnsi="宋体" w:cs="宋体"/>
          <w:sz w:val="24"/>
        </w:rPr>
        <w:t>1.采购文件应通过焦作市公共资源交易中心网站会员系统进行网上下载；未使用</w:t>
      </w:r>
      <w:r>
        <w:rPr>
          <w:rFonts w:hint="eastAsia" w:ascii="宋体" w:hAnsi="宋体"/>
          <w:bCs/>
          <w:kern w:val="0"/>
          <w:sz w:val="24"/>
        </w:rPr>
        <w:t>企业 CA 密匙</w:t>
      </w:r>
      <w:r>
        <w:rPr>
          <w:rFonts w:hint="eastAsia" w:ascii="宋体" w:hAnsi="宋体" w:cs="宋体"/>
          <w:sz w:val="24"/>
        </w:rPr>
        <w:t>登录焦作市公共资源交易中心网站会员系统进行网上下载文件的，投标视为无效；</w:t>
      </w:r>
    </w:p>
    <w:p w14:paraId="1B34EE3B">
      <w:pPr>
        <w:pStyle w:val="27"/>
        <w:spacing w:before="0" w:beforeAutospacing="0" w:after="0" w:afterAutospacing="0" w:line="500" w:lineRule="exact"/>
        <w:ind w:firstLine="480" w:firstLineChars="200"/>
        <w:jc w:val="both"/>
        <w:rPr>
          <w:rFonts w:hint="eastAsia"/>
        </w:rPr>
      </w:pPr>
      <w:r>
        <w:rPr>
          <w:rFonts w:hint="eastAsia"/>
        </w:rPr>
        <w:t>2.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按要求解密投标文件。因文件未及时上传导致投标失败的责任由投标人自行承担，具体要求详见招标文件。 平台统一技术服务电话：0512-58188538，服务 QQ：4008503300，服务时间：周一至周日 8：00-17：30。</w:t>
      </w:r>
    </w:p>
    <w:p w14:paraId="58A41CEE">
      <w:pPr>
        <w:pStyle w:val="27"/>
        <w:spacing w:before="0" w:beforeAutospacing="0" w:after="0" w:afterAutospacing="0" w:line="500" w:lineRule="exact"/>
        <w:ind w:firstLine="480" w:firstLineChars="200"/>
        <w:jc w:val="both"/>
        <w:rPr>
          <w:rFonts w:hint="eastAsia"/>
        </w:rPr>
      </w:pPr>
      <w:r>
        <w:rPr>
          <w:rFonts w:hint="eastAsia"/>
        </w:rPr>
        <w:t>投标人无需到现场参加开标会议，无需到达现场提交原件资料。投标人应当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14:paraId="2AF6CBF3">
      <w:pPr>
        <w:pStyle w:val="27"/>
        <w:spacing w:before="0" w:beforeAutospacing="0" w:after="0" w:afterAutospacing="0" w:line="500" w:lineRule="exact"/>
        <w:ind w:firstLine="480" w:firstLineChars="200"/>
        <w:jc w:val="both"/>
        <w:rPr>
          <w:rFonts w:hint="eastAsia"/>
        </w:rPr>
      </w:pPr>
      <w:r>
        <w:rPr>
          <w:rFonts w:hint="eastAsia"/>
        </w:rPr>
        <w:t>3.有下列情形之一的，将作为自动放弃、无效投标或废标处理：</w:t>
      </w:r>
    </w:p>
    <w:p w14:paraId="58FAFBEC">
      <w:pPr>
        <w:pStyle w:val="27"/>
        <w:numPr>
          <w:ilvl w:val="0"/>
          <w:numId w:val="2"/>
        </w:numPr>
        <w:spacing w:before="0" w:beforeAutospacing="0" w:after="0" w:afterAutospacing="0" w:line="500" w:lineRule="exact"/>
        <w:ind w:left="0" w:firstLine="480" w:firstLineChars="200"/>
        <w:jc w:val="both"/>
        <w:rPr>
          <w:rFonts w:hint="eastAsia" w:cs="Times New Roman"/>
        </w:rPr>
      </w:pPr>
      <w:r>
        <w:rPr>
          <w:rFonts w:hint="eastAsia" w:cs="Times New Roman"/>
        </w:rPr>
        <w:t>在投标文件中对同一采购项目有两个或多个报价，且未声明哪一个有效的；</w:t>
      </w:r>
    </w:p>
    <w:p w14:paraId="2F9F73FD">
      <w:pPr>
        <w:pStyle w:val="27"/>
        <w:numPr>
          <w:ilvl w:val="0"/>
          <w:numId w:val="2"/>
        </w:numPr>
        <w:spacing w:before="0" w:beforeAutospacing="0" w:after="0" w:afterAutospacing="0" w:line="500" w:lineRule="exact"/>
        <w:ind w:left="0" w:firstLine="480" w:firstLineChars="200"/>
        <w:jc w:val="both"/>
        <w:rPr>
          <w:rFonts w:hint="eastAsia" w:cs="Times New Roman"/>
        </w:rPr>
      </w:pPr>
      <w:r>
        <w:rPr>
          <w:rFonts w:hint="eastAsia" w:cs="Times New Roman"/>
        </w:rPr>
        <w:t>响应文件的关键内容（采购报价、</w:t>
      </w:r>
      <w:r>
        <w:rPr>
          <w:rFonts w:hint="eastAsia"/>
        </w:rPr>
        <w:t>供货及安装期</w:t>
      </w:r>
      <w:r>
        <w:rPr>
          <w:rFonts w:hint="eastAsia" w:cs="Times New Roman"/>
        </w:rPr>
        <w:t>、质量标准、品牌、型号等）未填写或填写字迹模糊无法辨认的；</w:t>
      </w:r>
    </w:p>
    <w:p w14:paraId="13316FEE">
      <w:pPr>
        <w:pStyle w:val="27"/>
        <w:numPr>
          <w:ilvl w:val="0"/>
          <w:numId w:val="2"/>
        </w:numPr>
        <w:spacing w:before="0" w:beforeAutospacing="0" w:after="0" w:afterAutospacing="0" w:line="500" w:lineRule="exact"/>
        <w:ind w:left="0" w:firstLine="480" w:firstLineChars="200"/>
        <w:jc w:val="both"/>
        <w:rPr>
          <w:rFonts w:hint="eastAsia" w:cs="Times New Roman"/>
        </w:rPr>
      </w:pPr>
      <w:r>
        <w:rPr>
          <w:rFonts w:hint="eastAsia" w:cs="Times New Roman"/>
        </w:rPr>
        <w:t>采购报价超出控制价的；</w:t>
      </w:r>
    </w:p>
    <w:p w14:paraId="6A9FA7B8">
      <w:pPr>
        <w:pStyle w:val="27"/>
        <w:numPr>
          <w:ilvl w:val="0"/>
          <w:numId w:val="2"/>
        </w:numPr>
        <w:spacing w:before="0" w:beforeAutospacing="0" w:after="0" w:afterAutospacing="0" w:line="500" w:lineRule="exact"/>
        <w:ind w:left="0" w:firstLine="480" w:firstLineChars="200"/>
        <w:jc w:val="both"/>
        <w:rPr>
          <w:rFonts w:hint="eastAsia" w:cs="Times New Roman"/>
        </w:rPr>
      </w:pPr>
      <w:r>
        <w:rPr>
          <w:rFonts w:hint="eastAsia" w:cs="Times New Roman"/>
        </w:rPr>
        <w:t>投标文件中附有采购人不能接受的条件的；</w:t>
      </w:r>
    </w:p>
    <w:p w14:paraId="09F228C5">
      <w:pPr>
        <w:pStyle w:val="27"/>
        <w:numPr>
          <w:ilvl w:val="0"/>
          <w:numId w:val="2"/>
        </w:numPr>
        <w:spacing w:before="0" w:beforeAutospacing="0" w:after="0" w:afterAutospacing="0" w:line="500" w:lineRule="exact"/>
        <w:ind w:left="0" w:firstLine="480" w:firstLineChars="200"/>
        <w:jc w:val="both"/>
        <w:rPr>
          <w:rFonts w:hint="eastAsia"/>
        </w:rPr>
      </w:pPr>
      <w:r>
        <w:rPr>
          <w:rFonts w:hint="eastAsia" w:cs="Times New Roman"/>
        </w:rPr>
        <w:t>投标文件有明显不符合采购文件其它要求和有关法律法规的；</w:t>
      </w:r>
    </w:p>
    <w:p w14:paraId="2A12C8C3">
      <w:pPr>
        <w:pStyle w:val="27"/>
        <w:numPr>
          <w:ilvl w:val="0"/>
          <w:numId w:val="2"/>
        </w:numPr>
        <w:spacing w:before="0" w:beforeAutospacing="0" w:after="0" w:afterAutospacing="0" w:line="500" w:lineRule="exact"/>
        <w:ind w:left="0" w:firstLine="480" w:firstLineChars="200"/>
        <w:jc w:val="both"/>
        <w:rPr>
          <w:rFonts w:hint="eastAsia"/>
        </w:rPr>
      </w:pPr>
      <w:r>
        <w:rPr>
          <w:rFonts w:hint="eastAsia" w:cs="Times New Roman"/>
        </w:rPr>
        <w:t>如因两个或两个以上投标人使用同一台计算或同一个IP上传响应文件，被不见面开标系统提示为“投标文件制作机器码一致”的，则视其投标无效。若经查实有《政府采购法实施条例》第七十四条情形，监管部门将依法做出处理；</w:t>
      </w:r>
    </w:p>
    <w:p w14:paraId="2DACA759">
      <w:pPr>
        <w:pStyle w:val="27"/>
        <w:numPr>
          <w:ilvl w:val="0"/>
          <w:numId w:val="2"/>
        </w:numPr>
        <w:spacing w:before="0" w:beforeAutospacing="0" w:after="0" w:afterAutospacing="0" w:line="500" w:lineRule="exact"/>
        <w:ind w:left="0" w:firstLine="480" w:firstLineChars="200"/>
        <w:jc w:val="both"/>
        <w:rPr>
          <w:rFonts w:hint="eastAsia"/>
        </w:rPr>
      </w:pPr>
      <w:r>
        <w:rPr>
          <w:rFonts w:hint="eastAsia"/>
        </w:rPr>
        <w:t>在评标过程中，评标委员会发现投标单位的报价明显低于其它采购报价，使得其采购报价可能低于其个别成本的，应当要求该投标人作出书面说明并提供相关证明材料。投标人不能合理说明或者不能提供相关证明材料的，由评标委员会认定该投标人以低于成本报价竞标的。</w:t>
      </w:r>
    </w:p>
    <w:p w14:paraId="539CD83F"/>
    <w:p w14:paraId="4320DDB3">
      <w:pPr>
        <w:pStyle w:val="14"/>
      </w:pPr>
    </w:p>
    <w:p w14:paraId="5EE5FCAF">
      <w:pPr>
        <w:pStyle w:val="14"/>
      </w:pPr>
    </w:p>
    <w:p w14:paraId="381BAB8D">
      <w:pPr>
        <w:pStyle w:val="14"/>
      </w:pPr>
    </w:p>
    <w:p w14:paraId="1891223B">
      <w:pPr>
        <w:pStyle w:val="14"/>
      </w:pPr>
    </w:p>
    <w:p w14:paraId="12DAFB64">
      <w:pPr>
        <w:pStyle w:val="14"/>
      </w:pPr>
    </w:p>
    <w:p w14:paraId="75EAE984">
      <w:pPr>
        <w:pStyle w:val="14"/>
      </w:pPr>
    </w:p>
    <w:p w14:paraId="500D6403">
      <w:pPr>
        <w:pStyle w:val="14"/>
      </w:pPr>
    </w:p>
    <w:p w14:paraId="2CC2B90F">
      <w:pPr>
        <w:pStyle w:val="14"/>
      </w:pPr>
    </w:p>
    <w:p w14:paraId="4542327D">
      <w:pPr>
        <w:pStyle w:val="14"/>
      </w:pPr>
    </w:p>
    <w:p w14:paraId="1797CE8A">
      <w:pPr>
        <w:pStyle w:val="14"/>
      </w:pPr>
    </w:p>
    <w:p w14:paraId="35DB318A">
      <w:pPr>
        <w:pStyle w:val="14"/>
      </w:pPr>
    </w:p>
    <w:p w14:paraId="350857D2">
      <w:pPr>
        <w:pStyle w:val="14"/>
      </w:pPr>
    </w:p>
    <w:p w14:paraId="1C1DE138">
      <w:pPr>
        <w:pStyle w:val="14"/>
      </w:pPr>
    </w:p>
    <w:p w14:paraId="4155D139">
      <w:pPr>
        <w:pStyle w:val="14"/>
      </w:pPr>
    </w:p>
    <w:p w14:paraId="1448542C">
      <w:pPr>
        <w:pStyle w:val="14"/>
      </w:pPr>
    </w:p>
    <w:p w14:paraId="35D1D501">
      <w:pPr>
        <w:pStyle w:val="14"/>
      </w:pPr>
    </w:p>
    <w:p w14:paraId="4DE569F8">
      <w:pPr>
        <w:pStyle w:val="14"/>
      </w:pPr>
    </w:p>
    <w:p w14:paraId="751F2A6E">
      <w:pPr>
        <w:pStyle w:val="14"/>
      </w:pPr>
    </w:p>
    <w:p w14:paraId="47ABA7E9">
      <w:pPr>
        <w:pStyle w:val="14"/>
      </w:pPr>
    </w:p>
    <w:p w14:paraId="1F55697E">
      <w:pPr>
        <w:pStyle w:val="14"/>
      </w:pPr>
    </w:p>
    <w:p w14:paraId="2ABCC411">
      <w:pPr>
        <w:pStyle w:val="14"/>
      </w:pPr>
    </w:p>
    <w:p w14:paraId="26BA89FB">
      <w:pPr>
        <w:pStyle w:val="14"/>
      </w:pPr>
    </w:p>
    <w:p w14:paraId="5D4C38CD">
      <w:pPr>
        <w:pStyle w:val="14"/>
      </w:pPr>
    </w:p>
    <w:p w14:paraId="502BE969">
      <w:pPr>
        <w:pStyle w:val="14"/>
      </w:pPr>
    </w:p>
    <w:p w14:paraId="3FA65249">
      <w:pPr>
        <w:pStyle w:val="14"/>
      </w:pPr>
    </w:p>
    <w:p w14:paraId="6AAF9EFF">
      <w:pPr>
        <w:pStyle w:val="14"/>
      </w:pPr>
    </w:p>
    <w:p w14:paraId="6E738CBA">
      <w:pPr>
        <w:pStyle w:val="9"/>
        <w:numPr>
          <w:ilvl w:val="0"/>
          <w:numId w:val="3"/>
        </w:numPr>
        <w:spacing w:line="500" w:lineRule="exact"/>
        <w:rPr>
          <w:sz w:val="32"/>
          <w:szCs w:val="32"/>
        </w:rPr>
      </w:pPr>
      <w:r>
        <w:rPr>
          <w:rFonts w:hint="eastAsia"/>
          <w:sz w:val="32"/>
          <w:szCs w:val="32"/>
        </w:rPr>
        <w:t xml:space="preserve">  </w:t>
      </w:r>
      <w:bookmarkStart w:id="3" w:name="_Toc24066"/>
      <w:bookmarkStart w:id="4" w:name="_Toc23622"/>
      <w:r>
        <w:rPr>
          <w:rFonts w:hint="eastAsia"/>
          <w:sz w:val="32"/>
          <w:szCs w:val="32"/>
        </w:rPr>
        <w:t>招标公告</w:t>
      </w:r>
      <w:bookmarkEnd w:id="3"/>
      <w:bookmarkEnd w:id="4"/>
    </w:p>
    <w:p w14:paraId="61EAB195">
      <w:pPr>
        <w:spacing w:line="440" w:lineRule="exact"/>
        <w:jc w:val="center"/>
      </w:pPr>
      <w:bookmarkStart w:id="5" w:name="_Toc21579"/>
      <w:bookmarkStart w:id="6" w:name="_Toc21974"/>
      <w:r>
        <w:rPr>
          <w:rFonts w:hint="eastAsia" w:ascii="宋体" w:hAnsi="宋体" w:cs="宋体"/>
          <w:b/>
          <w:bCs/>
          <w:sz w:val="28"/>
          <w:szCs w:val="28"/>
          <w:lang w:eastAsia="zh-CN"/>
        </w:rPr>
        <w:t>博爱县教育体育局购置教师计算机采购项目</w:t>
      </w:r>
      <w:r>
        <w:rPr>
          <w:rFonts w:hint="eastAsia" w:ascii="宋体" w:hAnsi="宋体" w:cs="宋体"/>
          <w:b/>
          <w:bCs/>
          <w:sz w:val="28"/>
          <w:szCs w:val="28"/>
        </w:rPr>
        <w:t>招标公告（不见面开标）</w:t>
      </w:r>
    </w:p>
    <w:tbl>
      <w:tblPr>
        <w:tblStyle w:val="3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28"/>
      </w:tblGrid>
      <w:tr w14:paraId="6517C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tcPr>
          <w:p w14:paraId="03AB7E45">
            <w:pPr>
              <w:pStyle w:val="7"/>
              <w:spacing w:line="440" w:lineRule="exact"/>
              <w:ind w:firstLine="480"/>
              <w:rPr>
                <w:rFonts w:hint="eastAsia" w:ascii="宋体" w:hAnsi="宋体" w:cs="宋体"/>
                <w:sz w:val="24"/>
              </w:rPr>
            </w:pPr>
            <w:r>
              <w:rPr>
                <w:rFonts w:hint="eastAsia" w:ascii="宋体" w:hAnsi="宋体" w:cs="宋体"/>
                <w:sz w:val="24"/>
              </w:rPr>
              <w:t>项目概况：</w:t>
            </w:r>
            <w:r>
              <w:rPr>
                <w:rFonts w:hint="eastAsia" w:ascii="宋体" w:hAnsi="宋体" w:cs="宋体"/>
                <w:sz w:val="24"/>
                <w:lang w:eastAsia="zh-CN"/>
              </w:rPr>
              <w:t>博爱县教育体育局购置教师计算机采购项目</w:t>
            </w:r>
            <w:r>
              <w:rPr>
                <w:rFonts w:hint="eastAsia" w:ascii="宋体" w:hAnsi="宋体" w:cs="宋体"/>
                <w:sz w:val="24"/>
              </w:rPr>
              <w:t>的潜在供应商应在焦作市公共资源交易中心网站获取采购文件，并于</w:t>
            </w:r>
            <w:r>
              <w:rPr>
                <w:rFonts w:hint="eastAsia" w:ascii="宋体" w:hAnsi="宋体" w:cs="宋体"/>
                <w:kern w:val="0"/>
                <w:sz w:val="24"/>
                <w:u w:val="single"/>
              </w:rPr>
              <w:t>2025年</w:t>
            </w:r>
            <w:r>
              <w:rPr>
                <w:rFonts w:hint="eastAsia" w:ascii="宋体" w:hAnsi="宋体" w:cs="宋体"/>
                <w:kern w:val="0"/>
                <w:sz w:val="24"/>
                <w:u w:val="single"/>
                <w:lang w:val="en-US" w:eastAsia="zh-CN"/>
              </w:rPr>
              <w:t>10</w:t>
            </w:r>
            <w:r>
              <w:rPr>
                <w:rFonts w:hint="eastAsia" w:ascii="宋体" w:hAnsi="宋体" w:cs="宋体"/>
                <w:kern w:val="0"/>
                <w:sz w:val="24"/>
                <w:u w:val="single"/>
              </w:rPr>
              <w:t>月</w:t>
            </w:r>
            <w:r>
              <w:rPr>
                <w:rFonts w:hint="eastAsia" w:ascii="宋体" w:hAnsi="宋体" w:cs="宋体"/>
                <w:kern w:val="0"/>
                <w:sz w:val="24"/>
                <w:u w:val="single"/>
                <w:lang w:val="en-US" w:eastAsia="zh-CN"/>
              </w:rPr>
              <w:t>11</w:t>
            </w:r>
            <w:r>
              <w:rPr>
                <w:rFonts w:hint="eastAsia" w:ascii="宋体" w:hAnsi="宋体" w:cs="宋体"/>
                <w:kern w:val="0"/>
                <w:sz w:val="24"/>
                <w:u w:val="single"/>
              </w:rPr>
              <w:t>日上午9点00分</w:t>
            </w:r>
            <w:r>
              <w:rPr>
                <w:rFonts w:hint="eastAsia" w:ascii="宋体" w:hAnsi="宋体" w:cs="宋体"/>
                <w:sz w:val="24"/>
                <w:u w:val="single"/>
              </w:rPr>
              <w:t>（北京时间）</w:t>
            </w:r>
            <w:r>
              <w:rPr>
                <w:rFonts w:hint="eastAsia" w:ascii="宋体" w:hAnsi="宋体" w:cs="宋体"/>
                <w:sz w:val="24"/>
              </w:rPr>
              <w:t>前提交响应文件。</w:t>
            </w:r>
          </w:p>
        </w:tc>
      </w:tr>
    </w:tbl>
    <w:p w14:paraId="5C6364C8">
      <w:pPr>
        <w:pStyle w:val="45"/>
        <w:spacing w:line="440" w:lineRule="exact"/>
        <w:ind w:left="0" w:firstLine="0"/>
        <w:rPr>
          <w:rFonts w:hint="eastAsia"/>
          <w:b/>
          <w:bCs/>
          <w:sz w:val="24"/>
          <w:lang w:eastAsia="zh-CN"/>
        </w:rPr>
      </w:pPr>
      <w:r>
        <w:rPr>
          <w:rFonts w:hint="eastAsia"/>
          <w:b/>
          <w:bCs/>
          <w:sz w:val="24"/>
          <w:lang w:eastAsia="zh-CN"/>
        </w:rPr>
        <w:t>一、项目基本情况</w:t>
      </w:r>
    </w:p>
    <w:p w14:paraId="6C1E2B5D">
      <w:pPr>
        <w:pStyle w:val="45"/>
        <w:spacing w:line="440" w:lineRule="exact"/>
        <w:ind w:left="0" w:firstLine="480" w:firstLineChars="200"/>
        <w:rPr>
          <w:rFonts w:hint="default"/>
          <w:sz w:val="24"/>
          <w:highlight w:val="red"/>
          <w:lang w:val="en-US" w:eastAsia="zh-CN"/>
        </w:rPr>
      </w:pPr>
      <w:r>
        <w:rPr>
          <w:rFonts w:hint="eastAsia"/>
          <w:sz w:val="24"/>
          <w:lang w:eastAsia="zh-CN"/>
        </w:rPr>
        <w:t>1.项目编号：博财招标采购-2025-</w:t>
      </w:r>
      <w:r>
        <w:rPr>
          <w:rFonts w:hint="eastAsia"/>
          <w:sz w:val="24"/>
          <w:lang w:val="en-US" w:eastAsia="zh-CN"/>
        </w:rPr>
        <w:t xml:space="preserve">13 </w:t>
      </w:r>
    </w:p>
    <w:p w14:paraId="5C727F67">
      <w:pPr>
        <w:pStyle w:val="45"/>
        <w:spacing w:line="440" w:lineRule="exact"/>
        <w:ind w:left="0" w:firstLine="480" w:firstLineChars="200"/>
        <w:rPr>
          <w:rFonts w:hint="eastAsia"/>
          <w:sz w:val="24"/>
          <w:highlight w:val="red"/>
          <w:lang w:eastAsia="zh-CN"/>
        </w:rPr>
      </w:pPr>
      <w:r>
        <w:rPr>
          <w:rFonts w:hint="eastAsia"/>
          <w:sz w:val="24"/>
          <w:lang w:eastAsia="zh-CN"/>
        </w:rPr>
        <w:t>2.项目名称：博爱县教育体育局购置教师计算机采购项目</w:t>
      </w:r>
    </w:p>
    <w:p w14:paraId="2F8E6C8F">
      <w:pPr>
        <w:pStyle w:val="45"/>
        <w:spacing w:line="440" w:lineRule="exact"/>
        <w:ind w:left="0" w:firstLine="480" w:firstLineChars="200"/>
        <w:rPr>
          <w:rFonts w:hint="eastAsia"/>
          <w:sz w:val="24"/>
          <w:lang w:eastAsia="zh-CN"/>
        </w:rPr>
      </w:pPr>
      <w:r>
        <w:rPr>
          <w:rFonts w:hint="eastAsia"/>
          <w:sz w:val="24"/>
          <w:lang w:eastAsia="zh-CN"/>
        </w:rPr>
        <w:t>3.采购方式：公开招标</w:t>
      </w:r>
    </w:p>
    <w:p w14:paraId="05E77123">
      <w:pPr>
        <w:pStyle w:val="45"/>
        <w:spacing w:line="440" w:lineRule="exact"/>
        <w:ind w:left="0" w:firstLine="480" w:firstLineChars="200"/>
        <w:rPr>
          <w:rFonts w:hint="eastAsia"/>
          <w:sz w:val="24"/>
          <w:lang w:eastAsia="zh-CN"/>
        </w:rPr>
      </w:pPr>
      <w:r>
        <w:rPr>
          <w:rFonts w:hint="eastAsia"/>
          <w:sz w:val="24"/>
          <w:lang w:eastAsia="zh-CN"/>
        </w:rPr>
        <w:t xml:space="preserve">4.预算金额：3626620.00元 </w:t>
      </w:r>
    </w:p>
    <w:p w14:paraId="1AEBEE42">
      <w:pPr>
        <w:pStyle w:val="45"/>
        <w:spacing w:line="440" w:lineRule="exact"/>
        <w:ind w:left="0" w:firstLine="720" w:firstLineChars="300"/>
        <w:rPr>
          <w:rFonts w:hint="eastAsia"/>
          <w:sz w:val="24"/>
          <w:lang w:eastAsia="zh-CN"/>
        </w:rPr>
      </w:pPr>
      <w:r>
        <w:rPr>
          <w:rFonts w:hint="eastAsia"/>
          <w:sz w:val="24"/>
          <w:lang w:eastAsia="zh-CN"/>
        </w:rPr>
        <w:t xml:space="preserve">最高限价：3626620.00元 </w:t>
      </w:r>
    </w:p>
    <w:tbl>
      <w:tblPr>
        <w:tblStyle w:val="31"/>
        <w:tblW w:w="90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500"/>
        <w:gridCol w:w="3315"/>
        <w:gridCol w:w="1602"/>
        <w:gridCol w:w="1900"/>
      </w:tblGrid>
      <w:tr w14:paraId="241A0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759" w:type="dxa"/>
            <w:vAlign w:val="center"/>
          </w:tcPr>
          <w:p w14:paraId="682029B3">
            <w:pPr>
              <w:pStyle w:val="27"/>
              <w:spacing w:before="0" w:beforeAutospacing="0" w:after="0" w:afterAutospacing="0" w:line="440" w:lineRule="exact"/>
              <w:jc w:val="center"/>
              <w:rPr>
                <w:rFonts w:hint="eastAsia"/>
              </w:rPr>
            </w:pPr>
            <w:r>
              <w:rPr>
                <w:rFonts w:hint="eastAsia"/>
              </w:rPr>
              <w:t>序号</w:t>
            </w:r>
          </w:p>
        </w:tc>
        <w:tc>
          <w:tcPr>
            <w:tcW w:w="1500" w:type="dxa"/>
            <w:vAlign w:val="center"/>
          </w:tcPr>
          <w:p w14:paraId="34EC9C0F">
            <w:pPr>
              <w:pStyle w:val="27"/>
              <w:spacing w:before="0" w:beforeAutospacing="0" w:after="0" w:afterAutospacing="0" w:line="440" w:lineRule="exact"/>
              <w:jc w:val="center"/>
              <w:rPr>
                <w:rFonts w:hint="eastAsia"/>
              </w:rPr>
            </w:pPr>
            <w:r>
              <w:rPr>
                <w:rFonts w:hint="eastAsia"/>
              </w:rPr>
              <w:t>包号</w:t>
            </w:r>
          </w:p>
        </w:tc>
        <w:tc>
          <w:tcPr>
            <w:tcW w:w="3315" w:type="dxa"/>
            <w:vAlign w:val="center"/>
          </w:tcPr>
          <w:p w14:paraId="742BB1BB">
            <w:pPr>
              <w:pStyle w:val="27"/>
              <w:spacing w:before="0" w:beforeAutospacing="0" w:after="0" w:afterAutospacing="0" w:line="440" w:lineRule="exact"/>
              <w:jc w:val="center"/>
              <w:rPr>
                <w:rFonts w:hint="eastAsia"/>
              </w:rPr>
            </w:pPr>
            <w:r>
              <w:rPr>
                <w:rFonts w:hint="eastAsia"/>
              </w:rPr>
              <w:t>包名称</w:t>
            </w:r>
          </w:p>
        </w:tc>
        <w:tc>
          <w:tcPr>
            <w:tcW w:w="1602" w:type="dxa"/>
            <w:vAlign w:val="center"/>
          </w:tcPr>
          <w:p w14:paraId="4B4E3B4F">
            <w:pPr>
              <w:pStyle w:val="27"/>
              <w:spacing w:before="0" w:beforeAutospacing="0" w:after="0" w:afterAutospacing="0" w:line="440" w:lineRule="exact"/>
              <w:jc w:val="center"/>
              <w:rPr>
                <w:rFonts w:hint="eastAsia"/>
              </w:rPr>
            </w:pPr>
            <w:r>
              <w:rPr>
                <w:rFonts w:hint="eastAsia"/>
              </w:rPr>
              <w:t>包预算</w:t>
            </w:r>
          </w:p>
          <w:p w14:paraId="13462097">
            <w:pPr>
              <w:pStyle w:val="27"/>
              <w:spacing w:before="0" w:beforeAutospacing="0" w:after="0" w:afterAutospacing="0" w:line="440" w:lineRule="exact"/>
              <w:jc w:val="center"/>
              <w:rPr>
                <w:rFonts w:hint="eastAsia"/>
              </w:rPr>
            </w:pPr>
            <w:r>
              <w:rPr>
                <w:rFonts w:hint="eastAsia"/>
              </w:rPr>
              <w:t>（元）</w:t>
            </w:r>
          </w:p>
        </w:tc>
        <w:tc>
          <w:tcPr>
            <w:tcW w:w="1900" w:type="dxa"/>
            <w:vAlign w:val="center"/>
          </w:tcPr>
          <w:p w14:paraId="045D0100">
            <w:pPr>
              <w:pStyle w:val="27"/>
              <w:spacing w:before="0" w:beforeAutospacing="0" w:after="0" w:afterAutospacing="0" w:line="440" w:lineRule="exact"/>
              <w:jc w:val="center"/>
              <w:rPr>
                <w:rFonts w:hint="eastAsia"/>
              </w:rPr>
            </w:pPr>
            <w:r>
              <w:rPr>
                <w:rFonts w:hint="eastAsia"/>
              </w:rPr>
              <w:t>包最高限价</w:t>
            </w:r>
          </w:p>
          <w:p w14:paraId="7EFBFCB1">
            <w:pPr>
              <w:pStyle w:val="27"/>
              <w:spacing w:before="0" w:beforeAutospacing="0" w:after="0" w:afterAutospacing="0" w:line="440" w:lineRule="exact"/>
              <w:jc w:val="center"/>
              <w:rPr>
                <w:rFonts w:hint="eastAsia"/>
              </w:rPr>
            </w:pPr>
            <w:r>
              <w:rPr>
                <w:rFonts w:hint="eastAsia"/>
              </w:rPr>
              <w:t>（元）</w:t>
            </w:r>
          </w:p>
        </w:tc>
      </w:tr>
      <w:tr w14:paraId="7D555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759" w:type="dxa"/>
            <w:vAlign w:val="center"/>
          </w:tcPr>
          <w:p w14:paraId="16505BAE">
            <w:pPr>
              <w:spacing w:line="440" w:lineRule="exact"/>
              <w:jc w:val="center"/>
              <w:rPr>
                <w:rFonts w:hint="eastAsia" w:ascii="宋体" w:hAnsi="宋体" w:cs="宋体"/>
                <w:sz w:val="24"/>
              </w:rPr>
            </w:pPr>
            <w:r>
              <w:rPr>
                <w:rFonts w:hint="eastAsia" w:ascii="宋体" w:hAnsi="宋体" w:cs="宋体"/>
                <w:sz w:val="24"/>
              </w:rPr>
              <w:t>1</w:t>
            </w:r>
          </w:p>
        </w:tc>
        <w:tc>
          <w:tcPr>
            <w:tcW w:w="1500" w:type="dxa"/>
            <w:vAlign w:val="center"/>
          </w:tcPr>
          <w:p w14:paraId="23D9E832">
            <w:pPr>
              <w:spacing w:line="440" w:lineRule="exact"/>
              <w:jc w:val="center"/>
              <w:rPr>
                <w:rFonts w:hint="eastAsia" w:ascii="宋体" w:hAnsi="宋体" w:cs="宋体"/>
                <w:color w:val="EE0000"/>
                <w:sz w:val="24"/>
              </w:rPr>
            </w:pPr>
            <w:r>
              <w:rPr>
                <w:rFonts w:hint="eastAsia" w:ascii="宋体" w:hAnsi="宋体" w:cs="宋体"/>
                <w:sz w:val="24"/>
              </w:rPr>
              <w:t>博政采购（2025）</w:t>
            </w:r>
            <w:r>
              <w:rPr>
                <w:rFonts w:hint="eastAsia" w:ascii="宋体" w:hAnsi="宋体" w:cs="宋体"/>
                <w:sz w:val="24"/>
                <w:lang w:val="en-US" w:eastAsia="zh-CN"/>
              </w:rPr>
              <w:t>80</w:t>
            </w:r>
            <w:r>
              <w:rPr>
                <w:rFonts w:hint="eastAsia" w:ascii="宋体" w:hAnsi="宋体" w:cs="宋体"/>
                <w:sz w:val="24"/>
              </w:rPr>
              <w:t>号-1</w:t>
            </w:r>
          </w:p>
        </w:tc>
        <w:tc>
          <w:tcPr>
            <w:tcW w:w="3315" w:type="dxa"/>
            <w:vAlign w:val="center"/>
          </w:tcPr>
          <w:p w14:paraId="79AD92AA">
            <w:pPr>
              <w:spacing w:line="440" w:lineRule="exact"/>
              <w:jc w:val="center"/>
              <w:rPr>
                <w:rFonts w:hint="eastAsia" w:ascii="宋体" w:hAnsi="宋体" w:eastAsia="宋体" w:cs="宋体"/>
                <w:sz w:val="24"/>
                <w:lang w:eastAsia="zh-CN"/>
              </w:rPr>
            </w:pPr>
            <w:r>
              <w:rPr>
                <w:rFonts w:hint="eastAsia" w:ascii="宋体" w:hAnsi="宋体" w:cs="宋体"/>
                <w:sz w:val="24"/>
                <w:lang w:eastAsia="zh-CN"/>
              </w:rPr>
              <w:t>博爱县教育体育局购置教师计算机采购项目</w:t>
            </w:r>
          </w:p>
        </w:tc>
        <w:tc>
          <w:tcPr>
            <w:tcW w:w="1602" w:type="dxa"/>
            <w:vAlign w:val="center"/>
          </w:tcPr>
          <w:p w14:paraId="12E06F0F">
            <w:pPr>
              <w:spacing w:line="440" w:lineRule="exact"/>
              <w:jc w:val="center"/>
              <w:rPr>
                <w:rFonts w:hint="eastAsia" w:ascii="宋体" w:hAnsi="宋体" w:eastAsia="宋体" w:cs="宋体"/>
                <w:sz w:val="24"/>
                <w:lang w:eastAsia="zh-CN"/>
              </w:rPr>
            </w:pPr>
            <w:r>
              <w:rPr>
                <w:rFonts w:hint="eastAsia" w:ascii="宋体" w:hAnsi="宋体" w:cs="宋体"/>
                <w:sz w:val="24"/>
                <w:lang w:eastAsia="zh-CN"/>
              </w:rPr>
              <w:t>3626620.00</w:t>
            </w:r>
          </w:p>
        </w:tc>
        <w:tc>
          <w:tcPr>
            <w:tcW w:w="1900" w:type="dxa"/>
            <w:vAlign w:val="center"/>
          </w:tcPr>
          <w:p w14:paraId="47114A1F">
            <w:pPr>
              <w:spacing w:line="440" w:lineRule="exact"/>
              <w:jc w:val="center"/>
              <w:rPr>
                <w:rFonts w:hint="eastAsia" w:ascii="宋体" w:hAnsi="宋体" w:eastAsia="宋体" w:cs="宋体"/>
                <w:sz w:val="24"/>
                <w:lang w:eastAsia="zh-CN"/>
              </w:rPr>
            </w:pPr>
            <w:r>
              <w:rPr>
                <w:rFonts w:hint="eastAsia" w:ascii="宋体" w:hAnsi="宋体" w:cs="宋体"/>
                <w:sz w:val="24"/>
                <w:lang w:eastAsia="zh-CN"/>
              </w:rPr>
              <w:t>3626620.00</w:t>
            </w:r>
          </w:p>
        </w:tc>
      </w:tr>
    </w:tbl>
    <w:p w14:paraId="4F3E96D5">
      <w:pPr>
        <w:pStyle w:val="45"/>
        <w:numPr>
          <w:ilvl w:val="0"/>
          <w:numId w:val="0"/>
        </w:numPr>
        <w:spacing w:line="440" w:lineRule="exact"/>
        <w:ind w:left="0" w:leftChars="0" w:firstLine="480" w:firstLineChars="200"/>
        <w:rPr>
          <w:rFonts w:hint="eastAsia"/>
          <w:color w:val="000000"/>
          <w:sz w:val="24"/>
          <w:szCs w:val="24"/>
          <w:lang w:eastAsia="zh-CN"/>
        </w:rPr>
      </w:pPr>
      <w:r>
        <w:rPr>
          <w:rFonts w:hint="eastAsia" w:ascii="宋体" w:hAnsi="宋体" w:eastAsia="宋体" w:cs="宋体"/>
          <w:color w:val="000000"/>
          <w:kern w:val="0"/>
          <w:sz w:val="24"/>
          <w:szCs w:val="24"/>
          <w:lang w:val="en-US" w:eastAsia="zh-CN" w:bidi="ar-SA"/>
        </w:rPr>
        <w:t>5.</w:t>
      </w:r>
      <w:r>
        <w:rPr>
          <w:rFonts w:hint="eastAsia"/>
          <w:color w:val="000000"/>
          <w:sz w:val="24"/>
          <w:szCs w:val="24"/>
          <w:lang w:eastAsia="zh-CN"/>
        </w:rPr>
        <w:t>采购需求：为光智中学、玉祥中学等15所中小学学校购置教师计算机等设备，</w:t>
      </w:r>
      <w:r>
        <w:rPr>
          <w:rFonts w:hint="eastAsia"/>
          <w:color w:val="auto"/>
          <w:sz w:val="24"/>
          <w:szCs w:val="24"/>
          <w:highlight w:val="none"/>
          <w:lang w:eastAsia="zh-CN"/>
        </w:rPr>
        <w:t>包括计算机</w:t>
      </w:r>
      <w:r>
        <w:rPr>
          <w:rFonts w:hint="eastAsia"/>
          <w:color w:val="auto"/>
          <w:sz w:val="24"/>
          <w:szCs w:val="24"/>
          <w:highlight w:val="none"/>
          <w:lang w:val="en-US" w:eastAsia="zh-CN"/>
        </w:rPr>
        <w:t>723台</w:t>
      </w:r>
      <w:r>
        <w:rPr>
          <w:rFonts w:hint="eastAsia"/>
          <w:color w:val="auto"/>
          <w:sz w:val="24"/>
          <w:szCs w:val="24"/>
          <w:highlight w:val="none"/>
          <w:lang w:eastAsia="zh-CN"/>
        </w:rPr>
        <w:t>、图书管理软件</w:t>
      </w:r>
      <w:r>
        <w:rPr>
          <w:rFonts w:hint="eastAsia"/>
          <w:color w:val="auto"/>
          <w:sz w:val="24"/>
          <w:szCs w:val="24"/>
          <w:highlight w:val="none"/>
          <w:lang w:val="en-US" w:eastAsia="zh-CN"/>
        </w:rPr>
        <w:t>1套</w:t>
      </w:r>
      <w:r>
        <w:rPr>
          <w:rFonts w:hint="eastAsia"/>
          <w:color w:val="000000"/>
          <w:sz w:val="24"/>
          <w:szCs w:val="24"/>
          <w:lang w:eastAsia="zh-CN"/>
        </w:rPr>
        <w:t>。（详见招标文件）</w:t>
      </w:r>
    </w:p>
    <w:p w14:paraId="2F2D4CA9">
      <w:pPr>
        <w:pStyle w:val="45"/>
        <w:spacing w:line="440" w:lineRule="exact"/>
        <w:ind w:left="0" w:firstLine="480" w:firstLineChars="200"/>
        <w:rPr>
          <w:rFonts w:hint="eastAsia"/>
          <w:sz w:val="24"/>
          <w:szCs w:val="24"/>
          <w:lang w:eastAsia="zh-CN"/>
        </w:rPr>
      </w:pPr>
      <w:r>
        <w:rPr>
          <w:rFonts w:hint="eastAsia"/>
          <w:color w:val="000000"/>
          <w:sz w:val="24"/>
          <w:szCs w:val="24"/>
          <w:lang w:eastAsia="zh-CN"/>
        </w:rPr>
        <w:t>6.合同履行期限（供货及安装期）：</w:t>
      </w:r>
      <w:r>
        <w:rPr>
          <w:rFonts w:hint="eastAsia"/>
          <w:color w:val="auto"/>
          <w:sz w:val="24"/>
          <w:szCs w:val="24"/>
          <w:lang w:eastAsia="zh-CN"/>
        </w:rPr>
        <w:t>合同签订后</w:t>
      </w:r>
      <w:r>
        <w:rPr>
          <w:rFonts w:hint="eastAsia"/>
          <w:color w:val="auto"/>
          <w:sz w:val="24"/>
          <w:szCs w:val="24"/>
          <w:lang w:val="en-US" w:eastAsia="zh-CN"/>
        </w:rPr>
        <w:t>20</w:t>
      </w:r>
      <w:r>
        <w:rPr>
          <w:rFonts w:hint="eastAsia"/>
          <w:color w:val="auto"/>
          <w:sz w:val="24"/>
          <w:szCs w:val="24"/>
          <w:lang w:eastAsia="zh-CN"/>
        </w:rPr>
        <w:t>日历天</w:t>
      </w:r>
    </w:p>
    <w:p w14:paraId="77E2BCB8">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rPr>
        <w:t>7.质量标准：合格，符合国家及行业规范标准。</w:t>
      </w:r>
    </w:p>
    <w:p w14:paraId="506ECA11">
      <w:pPr>
        <w:pStyle w:val="45"/>
        <w:spacing w:line="440" w:lineRule="exact"/>
        <w:ind w:left="0" w:leftChars="0" w:firstLine="480" w:firstLineChars="200"/>
        <w:rPr>
          <w:rFonts w:hint="eastAsia"/>
          <w:sz w:val="24"/>
          <w:lang w:eastAsia="zh-CN"/>
        </w:rPr>
      </w:pPr>
      <w:r>
        <w:rPr>
          <w:rFonts w:hint="eastAsia"/>
          <w:sz w:val="24"/>
          <w:lang w:eastAsia="zh-CN"/>
        </w:rPr>
        <w:t>8.</w:t>
      </w:r>
      <w:r>
        <w:rPr>
          <w:sz w:val="24"/>
          <w:lang w:eastAsia="zh-CN"/>
        </w:rPr>
        <w:t>质保期限：</w:t>
      </w:r>
      <w:r>
        <w:rPr>
          <w:rFonts w:hint="eastAsia"/>
          <w:sz w:val="24"/>
          <w:lang w:eastAsia="zh-CN"/>
        </w:rPr>
        <w:t>硬件设备质保3年，软件产品质保1年</w:t>
      </w:r>
    </w:p>
    <w:p w14:paraId="454AC551">
      <w:pPr>
        <w:pStyle w:val="45"/>
        <w:spacing w:line="440" w:lineRule="exact"/>
        <w:ind w:left="0" w:firstLine="480" w:firstLineChars="200"/>
        <w:rPr>
          <w:rFonts w:hint="eastAsia"/>
          <w:sz w:val="24"/>
          <w:lang w:eastAsia="zh-CN"/>
        </w:rPr>
      </w:pPr>
      <w:r>
        <w:rPr>
          <w:rFonts w:hint="eastAsia"/>
          <w:sz w:val="24"/>
          <w:lang w:eastAsia="zh-CN"/>
        </w:rPr>
        <w:t>9.本项目是否接受联合体投标：否</w:t>
      </w:r>
    </w:p>
    <w:p w14:paraId="608097C7">
      <w:pPr>
        <w:pStyle w:val="45"/>
        <w:spacing w:line="440" w:lineRule="exact"/>
        <w:ind w:left="0" w:firstLine="480" w:firstLineChars="200"/>
        <w:rPr>
          <w:rFonts w:hint="eastAsia"/>
          <w:sz w:val="24"/>
          <w:lang w:eastAsia="zh-CN"/>
        </w:rPr>
      </w:pPr>
      <w:r>
        <w:rPr>
          <w:rFonts w:hint="eastAsia"/>
          <w:sz w:val="24"/>
          <w:lang w:eastAsia="zh-CN"/>
        </w:rPr>
        <w:t>10.是否接受进口产品：否</w:t>
      </w:r>
    </w:p>
    <w:p w14:paraId="404BA7F3">
      <w:pPr>
        <w:pStyle w:val="45"/>
        <w:spacing w:line="440" w:lineRule="exact"/>
        <w:ind w:left="0" w:firstLine="480" w:firstLineChars="200"/>
        <w:rPr>
          <w:rFonts w:hint="eastAsia"/>
          <w:sz w:val="24"/>
          <w:lang w:eastAsia="zh-CN"/>
        </w:rPr>
      </w:pPr>
      <w:r>
        <w:rPr>
          <w:rFonts w:hint="eastAsia"/>
          <w:sz w:val="24"/>
          <w:lang w:eastAsia="zh-CN"/>
        </w:rPr>
        <w:t>11.是否专门面向中小企业：否</w:t>
      </w:r>
    </w:p>
    <w:p w14:paraId="3176FC61">
      <w:pPr>
        <w:adjustRightInd w:val="0"/>
        <w:snapToGrid w:val="0"/>
        <w:spacing w:line="440" w:lineRule="exact"/>
        <w:rPr>
          <w:rFonts w:hint="eastAsia" w:ascii="宋体" w:hAnsi="宋体" w:cs="宋体"/>
          <w:kern w:val="0"/>
          <w:sz w:val="24"/>
        </w:rPr>
      </w:pPr>
      <w:r>
        <w:rPr>
          <w:rFonts w:hint="eastAsia" w:ascii="宋体" w:hAnsi="宋体" w:cs="宋体"/>
          <w:b/>
          <w:bCs/>
          <w:kern w:val="0"/>
          <w:sz w:val="24"/>
        </w:rPr>
        <w:t>二、申请人资格要求：</w:t>
      </w:r>
    </w:p>
    <w:p w14:paraId="3CBCECAE">
      <w:pPr>
        <w:widowControl/>
        <w:spacing w:line="440" w:lineRule="exact"/>
        <w:ind w:firstLine="480" w:firstLineChars="200"/>
        <w:jc w:val="left"/>
        <w:rPr>
          <w:rFonts w:hint="eastAsia" w:ascii="宋体" w:hAnsi="宋体" w:cs="宋体"/>
          <w:sz w:val="24"/>
          <w:shd w:val="clear" w:color="auto" w:fill="FFFFFF"/>
        </w:rPr>
      </w:pPr>
      <w:r>
        <w:rPr>
          <w:rFonts w:hint="eastAsia" w:ascii="宋体" w:hAnsi="宋体" w:cs="宋体"/>
          <w:sz w:val="24"/>
          <w:shd w:val="clear" w:color="auto" w:fill="FFFFFF"/>
        </w:rPr>
        <w:t>1.符合《中华人民共和国政府采购法》第二十二条之规定；</w:t>
      </w:r>
    </w:p>
    <w:p w14:paraId="36D0A814">
      <w:pPr>
        <w:widowControl/>
        <w:spacing w:line="440" w:lineRule="exact"/>
        <w:ind w:firstLine="480" w:firstLineChars="200"/>
        <w:jc w:val="left"/>
        <w:rPr>
          <w:rFonts w:hint="eastAsia" w:ascii="宋体" w:hAnsi="宋体" w:cs="宋体"/>
          <w:sz w:val="24"/>
          <w:shd w:val="clear" w:color="auto" w:fill="FFFFFF"/>
        </w:rPr>
      </w:pPr>
      <w:r>
        <w:rPr>
          <w:rFonts w:hint="eastAsia" w:ascii="宋体" w:hAnsi="宋体" w:cs="宋体"/>
          <w:sz w:val="24"/>
          <w:shd w:val="clear" w:color="auto" w:fill="FFFFFF"/>
        </w:rPr>
        <w:t>2.落实政府采购政策需满足的资格要求：促进中小企业和监狱企业发展扶持政策、政府强制采购节能产品、节能产品及环境标志产品优先采购。</w:t>
      </w:r>
    </w:p>
    <w:p w14:paraId="7DCCCB13">
      <w:pPr>
        <w:widowControl/>
        <w:spacing w:line="480" w:lineRule="exact"/>
        <w:ind w:firstLine="480" w:firstLineChars="200"/>
        <w:jc w:val="left"/>
        <w:rPr>
          <w:rFonts w:hint="eastAsia" w:ascii="宋体" w:hAnsi="宋体" w:cs="宋体"/>
          <w:sz w:val="24"/>
          <w:shd w:val="clear" w:color="auto" w:fill="FFFFFF"/>
        </w:rPr>
      </w:pPr>
      <w:r>
        <w:rPr>
          <w:rFonts w:hint="eastAsia" w:ascii="宋体" w:hAnsi="宋体" w:cs="宋体"/>
          <w:sz w:val="24"/>
          <w:shd w:val="clear" w:color="auto" w:fill="FFFFFF"/>
        </w:rPr>
        <w:t>3.本项目的特定资格要求：</w:t>
      </w:r>
    </w:p>
    <w:p w14:paraId="34978081">
      <w:pPr>
        <w:widowControl/>
        <w:spacing w:line="480" w:lineRule="exact"/>
        <w:ind w:firstLine="480" w:firstLineChars="200"/>
        <w:jc w:val="left"/>
        <w:rPr>
          <w:rFonts w:hint="eastAsia" w:ascii="宋体" w:hAnsi="宋体" w:cs="宋体"/>
          <w:sz w:val="24"/>
          <w:shd w:val="clear" w:color="auto" w:fill="FFFFFF"/>
        </w:rPr>
      </w:pPr>
      <w:r>
        <w:rPr>
          <w:rFonts w:hint="eastAsia" w:ascii="宋体" w:hAnsi="宋体" w:cs="宋体"/>
          <w:sz w:val="24"/>
          <w:shd w:val="clear" w:color="auto" w:fill="FFFFFF"/>
        </w:rPr>
        <w:t>3.1供应商须具有有效的营业执照，并具有实施完成本项目的经营实力和完善的售后服务体系；</w:t>
      </w:r>
    </w:p>
    <w:p w14:paraId="33299E38">
      <w:pPr>
        <w:widowControl/>
        <w:spacing w:line="480" w:lineRule="exact"/>
        <w:ind w:firstLine="480" w:firstLineChars="200"/>
        <w:rPr>
          <w:rFonts w:hint="eastAsia" w:ascii="宋体" w:hAnsi="宋体" w:cs="宋体"/>
          <w:sz w:val="24"/>
          <w:shd w:val="clear" w:color="auto" w:fill="FFFFFF"/>
        </w:rPr>
      </w:pPr>
      <w:r>
        <w:rPr>
          <w:rFonts w:hint="eastAsia" w:ascii="宋体" w:hAnsi="宋体" w:cs="宋体"/>
          <w:sz w:val="24"/>
          <w:shd w:val="clear" w:color="auto" w:fill="FFFFFF"/>
        </w:rPr>
        <w:t>3.2信誉要求：</w:t>
      </w:r>
      <w:r>
        <w:rPr>
          <w:rFonts w:hint="eastAsia" w:ascii="宋体" w:hAnsi="宋体" w:cs="宋体"/>
          <w:sz w:val="24"/>
        </w:rPr>
        <w:t>按照《财政部关于在政府采购活动中查询及使用信用记录有关问题的通知》（财库〔2016〕125号）的要求，根据开标当日“信用中国”网站（www.creditchina.gov.cn）、中国政府采购网（www.ccgp.gov.cn）的信息，对列入重大税收违法失信主体、失信被执行人、政府采购严重违法失信行为记录名单的供应商，拒绝参与政府采购活动，同时对信用信息查询记录和证据进行打印存档。</w:t>
      </w:r>
      <w:r>
        <w:rPr>
          <w:rFonts w:hint="eastAsia" w:ascii="宋体" w:hAnsi="宋体" w:cs="宋体"/>
          <w:sz w:val="24"/>
          <w:shd w:val="clear" w:color="auto" w:fill="FFFFFF"/>
        </w:rPr>
        <w:t>(备注：信誉要求由采购代理机构开标当日提供查询结果)</w:t>
      </w:r>
    </w:p>
    <w:p w14:paraId="5EA79D83">
      <w:pPr>
        <w:widowControl/>
        <w:spacing w:line="480" w:lineRule="exact"/>
        <w:ind w:firstLine="480" w:firstLineChars="200"/>
        <w:jc w:val="left"/>
        <w:rPr>
          <w:rFonts w:hint="eastAsia" w:ascii="宋体" w:hAnsi="宋体" w:cs="宋体"/>
          <w:sz w:val="24"/>
          <w:shd w:val="clear" w:color="auto" w:fill="FFFFFF"/>
        </w:rPr>
      </w:pPr>
      <w:r>
        <w:rPr>
          <w:rFonts w:hint="eastAsia" w:ascii="宋体" w:hAnsi="宋体" w:cs="宋体"/>
          <w:sz w:val="24"/>
          <w:shd w:val="clear" w:color="auto" w:fill="FFFFFF"/>
        </w:rPr>
        <w:t>3.3本项目不接受联合体投标；</w:t>
      </w:r>
    </w:p>
    <w:p w14:paraId="5F529C41">
      <w:pPr>
        <w:widowControl/>
        <w:spacing w:line="480" w:lineRule="exact"/>
        <w:ind w:firstLine="480" w:firstLineChars="200"/>
        <w:jc w:val="left"/>
        <w:rPr>
          <w:rFonts w:hint="eastAsia" w:ascii="宋体" w:hAnsi="宋体" w:cs="宋体"/>
          <w:sz w:val="24"/>
          <w:shd w:val="clear" w:color="auto" w:fill="FFFFFF"/>
        </w:rPr>
      </w:pPr>
      <w:r>
        <w:rPr>
          <w:rFonts w:hint="eastAsia" w:ascii="宋体" w:hAnsi="宋体" w:cs="宋体"/>
          <w:sz w:val="24"/>
          <w:shd w:val="clear" w:color="auto" w:fill="FFFFFF"/>
        </w:rPr>
        <w:t>3.4资格审查方式：资格后审。</w:t>
      </w:r>
    </w:p>
    <w:p w14:paraId="7F415881">
      <w:pPr>
        <w:widowControl/>
        <w:spacing w:line="480" w:lineRule="exact"/>
        <w:jc w:val="left"/>
        <w:rPr>
          <w:rFonts w:hint="eastAsia" w:ascii="宋体" w:hAnsi="宋体" w:cs="宋体"/>
          <w:b/>
          <w:bCs/>
          <w:kern w:val="0"/>
          <w:sz w:val="24"/>
        </w:rPr>
      </w:pPr>
      <w:r>
        <w:rPr>
          <w:rFonts w:hint="eastAsia" w:ascii="宋体" w:hAnsi="宋体" w:cs="宋体"/>
          <w:b/>
          <w:bCs/>
          <w:kern w:val="0"/>
          <w:sz w:val="24"/>
        </w:rPr>
        <w:t>三、获取采购文件</w:t>
      </w:r>
    </w:p>
    <w:p w14:paraId="08ED467A">
      <w:pPr>
        <w:pStyle w:val="27"/>
        <w:autoSpaceDE w:val="0"/>
        <w:spacing w:before="0" w:beforeAutospacing="0" w:after="0" w:afterAutospacing="0" w:line="480" w:lineRule="exact"/>
        <w:ind w:firstLine="480" w:firstLineChars="200"/>
        <w:rPr>
          <w:rFonts w:hint="eastAsia"/>
          <w:u w:val="single"/>
        </w:rPr>
      </w:pPr>
      <w:r>
        <w:rPr>
          <w:rFonts w:hint="eastAsia"/>
        </w:rPr>
        <w:t>1.时间：2025年</w:t>
      </w:r>
      <w:r>
        <w:rPr>
          <w:rFonts w:hint="eastAsia"/>
          <w:lang w:val="en-US" w:eastAsia="zh-CN"/>
        </w:rPr>
        <w:t xml:space="preserve">9 </w:t>
      </w:r>
      <w:r>
        <w:rPr>
          <w:rFonts w:hint="eastAsia"/>
        </w:rPr>
        <w:t>月</w:t>
      </w:r>
      <w:r>
        <w:rPr>
          <w:rFonts w:hint="eastAsia"/>
          <w:lang w:val="en-US" w:eastAsia="zh-CN"/>
        </w:rPr>
        <w:t>15</w:t>
      </w:r>
      <w:r>
        <w:rPr>
          <w:rFonts w:hint="eastAsia"/>
        </w:rPr>
        <w:t>日至2025年</w:t>
      </w:r>
      <w:r>
        <w:rPr>
          <w:rFonts w:hint="eastAsia"/>
          <w:lang w:val="en-US" w:eastAsia="zh-CN"/>
        </w:rPr>
        <w:t>9</w:t>
      </w:r>
      <w:r>
        <w:rPr>
          <w:rFonts w:hint="eastAsia"/>
        </w:rPr>
        <w:t>月</w:t>
      </w:r>
      <w:r>
        <w:rPr>
          <w:rFonts w:hint="eastAsia"/>
          <w:lang w:val="en-US" w:eastAsia="zh-CN"/>
        </w:rPr>
        <w:t>19</w:t>
      </w:r>
      <w:r>
        <w:rPr>
          <w:rFonts w:hint="eastAsia"/>
        </w:rPr>
        <w:t>日，每天上午00:00至12:00，下午12:00至23:59（北京时间，法定节假日除外。）</w:t>
      </w:r>
    </w:p>
    <w:p w14:paraId="11B5624E">
      <w:pPr>
        <w:pStyle w:val="27"/>
        <w:shd w:val="clear" w:color="auto" w:fill="FFFFFF"/>
        <w:autoSpaceDE w:val="0"/>
        <w:spacing w:before="0" w:beforeAutospacing="0" w:after="0" w:afterAutospacing="0" w:line="480" w:lineRule="exact"/>
        <w:ind w:firstLine="480" w:firstLineChars="200"/>
        <w:rPr>
          <w:rFonts w:hint="eastAsia"/>
        </w:rPr>
      </w:pPr>
      <w:r>
        <w:rPr>
          <w:rFonts w:hint="eastAsia"/>
        </w:rPr>
        <w:t>2.地点：</w:t>
      </w:r>
      <w:r>
        <w:rPr>
          <w:rFonts w:hint="eastAsia"/>
          <w:shd w:val="clear" w:color="auto" w:fill="FFFFFF"/>
        </w:rPr>
        <w:t>焦作市公共资源交易中心网站交易平台。</w:t>
      </w:r>
    </w:p>
    <w:p w14:paraId="768915B6">
      <w:pPr>
        <w:pStyle w:val="27"/>
        <w:autoSpaceDE w:val="0"/>
        <w:spacing w:before="0" w:beforeAutospacing="0" w:after="0" w:afterAutospacing="0" w:line="480" w:lineRule="exact"/>
        <w:ind w:firstLine="480" w:firstLineChars="200"/>
        <w:rPr>
          <w:rFonts w:hint="eastAsia"/>
        </w:rPr>
      </w:pPr>
      <w:r>
        <w:rPr>
          <w:rFonts w:hint="eastAsia"/>
        </w:rPr>
        <w:t>3.方式：本项目采用电子开评标（不见面开标），凡有意参加投标者，请登陆焦作市公共资源交易中心网站交易平台“交易主体登录 ”栏目下载招标文件。</w:t>
      </w:r>
    </w:p>
    <w:p w14:paraId="0412DCFC">
      <w:pPr>
        <w:pStyle w:val="27"/>
        <w:autoSpaceDE w:val="0"/>
        <w:spacing w:before="0" w:beforeAutospacing="0" w:after="0" w:afterAutospacing="0" w:line="480" w:lineRule="exact"/>
        <w:ind w:firstLine="480" w:firstLineChars="200"/>
        <w:rPr>
          <w:rFonts w:hint="eastAsia"/>
        </w:rPr>
      </w:pPr>
      <w:r>
        <w:rPr>
          <w:rFonts w:hint="eastAsia"/>
        </w:rPr>
        <w:t>4.售价：0元</w:t>
      </w:r>
    </w:p>
    <w:p w14:paraId="62B45862">
      <w:pPr>
        <w:widowControl/>
        <w:spacing w:line="480" w:lineRule="exact"/>
        <w:rPr>
          <w:rFonts w:hint="eastAsia" w:ascii="宋体" w:hAnsi="宋体" w:cs="宋体"/>
          <w:sz w:val="24"/>
        </w:rPr>
      </w:pPr>
      <w:r>
        <w:rPr>
          <w:rFonts w:hint="eastAsia" w:ascii="宋体" w:hAnsi="宋体" w:cs="宋体"/>
          <w:b/>
          <w:bCs/>
          <w:sz w:val="24"/>
        </w:rPr>
        <w:t>四、响应文件提交</w:t>
      </w:r>
    </w:p>
    <w:p w14:paraId="3BAF8137">
      <w:pPr>
        <w:adjustRightInd w:val="0"/>
        <w:snapToGrid w:val="0"/>
        <w:spacing w:line="480" w:lineRule="exact"/>
        <w:ind w:firstLine="480" w:firstLineChars="200"/>
        <w:rPr>
          <w:rFonts w:hint="eastAsia" w:ascii="宋体" w:hAnsi="宋体" w:cs="宋体"/>
          <w:kern w:val="0"/>
          <w:sz w:val="24"/>
        </w:rPr>
      </w:pPr>
      <w:r>
        <w:rPr>
          <w:rFonts w:hint="eastAsia" w:ascii="宋体" w:hAnsi="宋体" w:cs="宋体"/>
          <w:kern w:val="0"/>
          <w:sz w:val="24"/>
        </w:rPr>
        <w:t>1.截止时间：</w:t>
      </w:r>
      <w:r>
        <w:rPr>
          <w:rFonts w:hint="eastAsia" w:ascii="宋体" w:hAnsi="宋体" w:cs="宋体"/>
          <w:kern w:val="0"/>
          <w:sz w:val="24"/>
          <w:u w:val="single"/>
        </w:rPr>
        <w:t>2025年</w:t>
      </w:r>
      <w:r>
        <w:rPr>
          <w:rFonts w:hint="eastAsia" w:ascii="宋体" w:hAnsi="宋体" w:cs="宋体"/>
          <w:kern w:val="0"/>
          <w:sz w:val="24"/>
          <w:u w:val="single"/>
          <w:lang w:val="en-US" w:eastAsia="zh-CN"/>
        </w:rPr>
        <w:t>10</w:t>
      </w:r>
      <w:r>
        <w:rPr>
          <w:rFonts w:hint="eastAsia" w:ascii="宋体" w:hAnsi="宋体" w:cs="宋体"/>
          <w:kern w:val="0"/>
          <w:sz w:val="24"/>
          <w:u w:val="single"/>
        </w:rPr>
        <w:t>月</w:t>
      </w:r>
      <w:r>
        <w:rPr>
          <w:rFonts w:hint="eastAsia" w:ascii="宋体" w:hAnsi="宋体" w:cs="宋体"/>
          <w:kern w:val="0"/>
          <w:sz w:val="24"/>
          <w:u w:val="single"/>
          <w:lang w:val="en-US" w:eastAsia="zh-CN"/>
        </w:rPr>
        <w:t>11</w:t>
      </w:r>
      <w:r>
        <w:rPr>
          <w:rFonts w:hint="eastAsia" w:ascii="宋体" w:hAnsi="宋体" w:cs="宋体"/>
          <w:kern w:val="0"/>
          <w:sz w:val="24"/>
          <w:u w:val="single"/>
        </w:rPr>
        <w:t>日上午9点00分（北京时间）；</w:t>
      </w:r>
    </w:p>
    <w:p w14:paraId="56FCFE1C">
      <w:pPr>
        <w:adjustRightInd w:val="0"/>
        <w:snapToGrid w:val="0"/>
        <w:spacing w:line="480" w:lineRule="exact"/>
        <w:ind w:firstLine="480" w:firstLineChars="200"/>
        <w:rPr>
          <w:rFonts w:hint="eastAsia" w:ascii="宋体" w:hAnsi="宋体" w:cs="宋体"/>
          <w:kern w:val="0"/>
          <w:sz w:val="24"/>
          <w:highlight w:val="red"/>
        </w:rPr>
      </w:pPr>
      <w:r>
        <w:rPr>
          <w:rFonts w:hint="eastAsia" w:ascii="宋体" w:hAnsi="宋体" w:cs="宋体"/>
          <w:kern w:val="0"/>
          <w:sz w:val="24"/>
        </w:rPr>
        <w:t>2.地点：</w:t>
      </w:r>
      <w:r>
        <w:rPr>
          <w:rFonts w:ascii="宋体" w:hAnsi="宋体" w:cs="宋体"/>
          <w:kern w:val="0"/>
          <w:sz w:val="24"/>
        </w:rPr>
        <w:t>加密电子响应性文件须在响应性文件提交截止时间前通过“焦作市公共资源交易中心（https://ggzy.jiaozuo.gov.cn/）”网站-交易平台加密上传。</w:t>
      </w:r>
    </w:p>
    <w:p w14:paraId="42AD5DED">
      <w:pPr>
        <w:widowControl/>
        <w:spacing w:line="480" w:lineRule="exact"/>
        <w:rPr>
          <w:rFonts w:hint="eastAsia" w:ascii="宋体" w:hAnsi="宋体" w:cs="宋体"/>
          <w:b/>
          <w:bCs/>
          <w:sz w:val="24"/>
        </w:rPr>
      </w:pPr>
      <w:r>
        <w:rPr>
          <w:rFonts w:hint="eastAsia" w:ascii="宋体" w:hAnsi="宋体" w:cs="宋体"/>
          <w:b/>
          <w:bCs/>
          <w:sz w:val="24"/>
        </w:rPr>
        <w:t>五、开启</w:t>
      </w:r>
    </w:p>
    <w:p w14:paraId="0FF91A34">
      <w:pPr>
        <w:adjustRightInd w:val="0"/>
        <w:snapToGrid w:val="0"/>
        <w:spacing w:line="480" w:lineRule="exact"/>
        <w:ind w:firstLine="480" w:firstLineChars="200"/>
        <w:rPr>
          <w:rFonts w:hint="eastAsia" w:ascii="宋体" w:hAnsi="宋体" w:cs="宋体"/>
          <w:kern w:val="0"/>
          <w:sz w:val="24"/>
        </w:rPr>
      </w:pPr>
      <w:r>
        <w:rPr>
          <w:rFonts w:hint="eastAsia" w:ascii="宋体" w:hAnsi="宋体" w:cs="宋体"/>
          <w:kern w:val="0"/>
          <w:sz w:val="24"/>
        </w:rPr>
        <w:t>1.时间：</w:t>
      </w:r>
      <w:r>
        <w:rPr>
          <w:rFonts w:hint="eastAsia" w:ascii="宋体" w:hAnsi="宋体" w:cs="宋体"/>
          <w:kern w:val="0"/>
          <w:sz w:val="24"/>
          <w:u w:val="single"/>
        </w:rPr>
        <w:t>2024年</w:t>
      </w:r>
      <w:r>
        <w:rPr>
          <w:rFonts w:hint="eastAsia" w:ascii="宋体" w:hAnsi="宋体" w:cs="宋体"/>
          <w:kern w:val="0"/>
          <w:sz w:val="24"/>
          <w:u w:val="single"/>
          <w:lang w:val="en-US" w:eastAsia="zh-CN"/>
        </w:rPr>
        <w:t>10</w:t>
      </w:r>
      <w:r>
        <w:rPr>
          <w:rFonts w:hint="eastAsia" w:ascii="宋体" w:hAnsi="宋体" w:cs="宋体"/>
          <w:kern w:val="0"/>
          <w:sz w:val="24"/>
          <w:u w:val="single"/>
        </w:rPr>
        <w:t>月</w:t>
      </w:r>
      <w:r>
        <w:rPr>
          <w:rFonts w:hint="eastAsia" w:ascii="宋体" w:hAnsi="宋体" w:cs="宋体"/>
          <w:kern w:val="0"/>
          <w:sz w:val="24"/>
          <w:u w:val="single"/>
          <w:lang w:val="en-US" w:eastAsia="zh-CN"/>
        </w:rPr>
        <w:t>11</w:t>
      </w:r>
      <w:r>
        <w:rPr>
          <w:rFonts w:hint="eastAsia" w:ascii="宋体" w:hAnsi="宋体" w:cs="宋体"/>
          <w:kern w:val="0"/>
          <w:sz w:val="24"/>
          <w:u w:val="single"/>
        </w:rPr>
        <w:t>日上午9点00分（北京时间）；</w:t>
      </w:r>
    </w:p>
    <w:p w14:paraId="626EECD8">
      <w:pPr>
        <w:adjustRightInd w:val="0"/>
        <w:snapToGrid w:val="0"/>
        <w:spacing w:line="480" w:lineRule="exact"/>
        <w:ind w:firstLine="480" w:firstLineChars="200"/>
        <w:rPr>
          <w:rFonts w:hint="eastAsia" w:ascii="宋体" w:hAnsi="宋体" w:cs="宋体"/>
          <w:kern w:val="0"/>
          <w:sz w:val="24"/>
        </w:rPr>
      </w:pPr>
      <w:r>
        <w:rPr>
          <w:rFonts w:hint="eastAsia" w:ascii="宋体" w:hAnsi="宋体" w:cs="宋体"/>
          <w:kern w:val="0"/>
          <w:sz w:val="24"/>
        </w:rPr>
        <w:t>2.地点：博爱县公共资源交易中心二楼不见面开标二室；</w:t>
      </w:r>
    </w:p>
    <w:p w14:paraId="5480FDE6">
      <w:pPr>
        <w:spacing w:line="480" w:lineRule="exact"/>
        <w:rPr>
          <w:rFonts w:hint="eastAsia" w:ascii="宋体" w:hAnsi="宋体" w:cs="宋体"/>
          <w:b/>
          <w:bCs/>
          <w:sz w:val="24"/>
        </w:rPr>
      </w:pPr>
      <w:r>
        <w:rPr>
          <w:rFonts w:hint="eastAsia" w:ascii="宋体" w:hAnsi="宋体" w:cs="宋体"/>
          <w:b/>
          <w:bCs/>
          <w:sz w:val="24"/>
        </w:rPr>
        <w:t>六、发布公告的媒介及招标公告期限</w:t>
      </w:r>
    </w:p>
    <w:p w14:paraId="73993BD1">
      <w:pPr>
        <w:widowControl/>
        <w:spacing w:line="480" w:lineRule="exact"/>
        <w:ind w:firstLine="480" w:firstLineChars="200"/>
        <w:rPr>
          <w:rFonts w:hint="eastAsia" w:ascii="宋体" w:hAnsi="宋体" w:cs="宋体"/>
          <w:sz w:val="24"/>
        </w:rPr>
      </w:pPr>
      <w:r>
        <w:rPr>
          <w:rFonts w:hint="eastAsia" w:ascii="宋体" w:hAnsi="宋体" w:cs="宋体"/>
          <w:sz w:val="24"/>
        </w:rPr>
        <w:t>本次本公告在河南省政府采购网、</w:t>
      </w:r>
      <w:r>
        <w:rPr>
          <w:rFonts w:hint="eastAsia" w:ascii="宋体" w:hAnsi="宋体" w:cs="宋体"/>
          <w:sz w:val="24"/>
          <w:highlight w:val="none"/>
        </w:rPr>
        <w:t>中国招标投标公共服务平台、</w:t>
      </w:r>
      <w:r>
        <w:rPr>
          <w:rFonts w:hint="eastAsia" w:ascii="宋体" w:hAnsi="宋体" w:cs="宋体"/>
          <w:sz w:val="24"/>
        </w:rPr>
        <w:t>焦作市政府采购网、焦作市公共资源交易中心网、博爱县公共资源交易中心网http://ggzy.boai.gov.cn/上发布。招标公告期限为五个工作日。</w:t>
      </w:r>
    </w:p>
    <w:p w14:paraId="5898A3E8">
      <w:pPr>
        <w:widowControl/>
        <w:spacing w:line="480" w:lineRule="exact"/>
        <w:rPr>
          <w:rFonts w:hint="eastAsia" w:ascii="宋体" w:hAnsi="宋体" w:cs="宋体"/>
          <w:b/>
          <w:bCs/>
          <w:sz w:val="24"/>
        </w:rPr>
      </w:pPr>
      <w:r>
        <w:rPr>
          <w:rFonts w:hint="eastAsia" w:ascii="宋体" w:hAnsi="宋体" w:cs="宋体"/>
          <w:b/>
          <w:bCs/>
          <w:sz w:val="24"/>
        </w:rPr>
        <w:t>七、其他补充事宜</w:t>
      </w:r>
    </w:p>
    <w:p w14:paraId="72D4D32B">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1.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p>
    <w:p w14:paraId="69B61B4B">
      <w:pPr>
        <w:adjustRightInd w:val="0"/>
        <w:snapToGrid w:val="0"/>
        <w:spacing w:line="440" w:lineRule="exact"/>
        <w:rPr>
          <w:rFonts w:hint="eastAsia" w:ascii="宋体" w:hAnsi="宋体" w:cs="宋体"/>
          <w:sz w:val="24"/>
        </w:rPr>
      </w:pPr>
      <w:r>
        <w:rPr>
          <w:rFonts w:hint="eastAsia" w:ascii="宋体" w:hAnsi="宋体" w:cs="宋体"/>
          <w:sz w:val="24"/>
        </w:rPr>
        <w:t>（http://ggzy.jiaozuo.gov.cn/BidOpeningHall/bidhall/default/login）进行签到，按要求解密投标文件。因文件未及时上传导致投标失败的责任由供应商自行承担，具体要求详见招标文件。平台统一技术服务电话：0512-58188538，服务QQ：4008503300，服务时间：周一至周日8：00-17：30。</w:t>
      </w:r>
    </w:p>
    <w:p w14:paraId="0A42040F">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2.供应商无需到现场参加开标会议，无需到达现场提交原件资料。供应商应当在线 准时参加开标活动并进行文件解密、答疑澄清等。加密电子投标文件须在焦作市公共资源交易中心电子交易平台中加密上传，上传时必须得到电脑“上传成功”的确认回复后方为上传成功。在规定时间内投标文件未解密的供应商，视为放弃投标。</w:t>
      </w:r>
    </w:p>
    <w:p w14:paraId="21A277F0">
      <w:pPr>
        <w:adjustRightInd w:val="0"/>
        <w:snapToGrid w:val="0"/>
        <w:spacing w:line="440" w:lineRule="exact"/>
        <w:rPr>
          <w:rFonts w:hint="eastAsia" w:ascii="宋体" w:hAnsi="宋体" w:cs="宋体"/>
          <w:b/>
          <w:kern w:val="0"/>
          <w:sz w:val="24"/>
        </w:rPr>
      </w:pPr>
      <w:r>
        <w:rPr>
          <w:rFonts w:hint="eastAsia" w:ascii="宋体" w:hAnsi="宋体" w:cs="宋体"/>
          <w:b/>
          <w:kern w:val="0"/>
          <w:sz w:val="24"/>
        </w:rPr>
        <w:t>八、</w:t>
      </w:r>
      <w:r>
        <w:rPr>
          <w:rFonts w:hint="eastAsia" w:ascii="宋体" w:hAnsi="宋体" w:cs="宋体"/>
          <w:b/>
          <w:sz w:val="24"/>
          <w:shd w:val="clear" w:color="auto" w:fill="FFFFFF"/>
        </w:rPr>
        <w:t>凡对本次招标提出询问，请按以下方式联系</w:t>
      </w:r>
    </w:p>
    <w:p w14:paraId="70DFE669">
      <w:pPr>
        <w:widowControl/>
        <w:spacing w:line="440" w:lineRule="exact"/>
        <w:ind w:firstLine="420"/>
        <w:rPr>
          <w:rFonts w:hint="eastAsia" w:ascii="宋体" w:hAnsi="宋体" w:cs="宋体"/>
          <w:kern w:val="0"/>
          <w:sz w:val="24"/>
        </w:rPr>
      </w:pPr>
      <w:r>
        <w:rPr>
          <w:rFonts w:hint="eastAsia" w:ascii="宋体" w:hAnsi="宋体" w:cs="宋体"/>
          <w:kern w:val="0"/>
          <w:sz w:val="24"/>
        </w:rPr>
        <w:t>1.采购人信息：</w:t>
      </w:r>
    </w:p>
    <w:p w14:paraId="58973B23">
      <w:pPr>
        <w:widowControl/>
        <w:spacing w:line="440" w:lineRule="exact"/>
        <w:ind w:firstLine="420"/>
        <w:rPr>
          <w:rFonts w:hint="eastAsia" w:ascii="宋体" w:hAnsi="宋体" w:cs="宋体"/>
          <w:kern w:val="0"/>
          <w:sz w:val="24"/>
        </w:rPr>
      </w:pPr>
      <w:r>
        <w:rPr>
          <w:rFonts w:hint="eastAsia" w:ascii="宋体" w:hAnsi="宋体" w:cs="宋体"/>
          <w:kern w:val="0"/>
          <w:sz w:val="24"/>
        </w:rPr>
        <w:t>采购人：博爱县教育体育局</w:t>
      </w:r>
    </w:p>
    <w:p w14:paraId="3CC48442">
      <w:pPr>
        <w:widowControl/>
        <w:spacing w:line="440" w:lineRule="exact"/>
        <w:ind w:firstLine="420"/>
        <w:rPr>
          <w:rFonts w:hint="eastAsia" w:ascii="宋体" w:hAnsi="宋体" w:cs="宋体"/>
          <w:kern w:val="0"/>
          <w:sz w:val="24"/>
        </w:rPr>
      </w:pPr>
      <w:r>
        <w:rPr>
          <w:rFonts w:hint="eastAsia" w:ascii="宋体" w:hAnsi="宋体" w:cs="宋体"/>
          <w:kern w:val="0"/>
          <w:sz w:val="24"/>
        </w:rPr>
        <w:t>地</w:t>
      </w:r>
      <w:r>
        <w:rPr>
          <w:rFonts w:hint="eastAsia" w:ascii="宋体" w:hAnsi="宋体" w:cs="宋体"/>
          <w:kern w:val="0"/>
          <w:sz w:val="24"/>
          <w:lang w:val="en-US" w:eastAsia="zh-CN"/>
        </w:rPr>
        <w:t xml:space="preserve">  </w:t>
      </w:r>
      <w:r>
        <w:rPr>
          <w:rFonts w:hint="eastAsia" w:ascii="宋体" w:hAnsi="宋体" w:cs="宋体"/>
          <w:kern w:val="0"/>
          <w:sz w:val="24"/>
        </w:rPr>
        <w:t>址：焦作市博爱县清华镇街道玉祥路</w:t>
      </w:r>
    </w:p>
    <w:p w14:paraId="5A12A9F2">
      <w:pPr>
        <w:widowControl/>
        <w:spacing w:line="440" w:lineRule="exact"/>
        <w:ind w:firstLine="420"/>
        <w:rPr>
          <w:rFonts w:hint="eastAsia" w:ascii="宋体" w:hAnsi="宋体" w:cs="宋体"/>
          <w:kern w:val="0"/>
          <w:sz w:val="24"/>
        </w:rPr>
      </w:pPr>
      <w:r>
        <w:rPr>
          <w:rFonts w:hint="eastAsia" w:ascii="宋体" w:hAnsi="宋体" w:cs="宋体"/>
          <w:kern w:val="0"/>
          <w:sz w:val="24"/>
        </w:rPr>
        <w:t>联系人：闫老师</w:t>
      </w:r>
    </w:p>
    <w:p w14:paraId="190E9E2E">
      <w:pPr>
        <w:widowControl/>
        <w:spacing w:line="440" w:lineRule="exact"/>
        <w:ind w:firstLine="420"/>
        <w:rPr>
          <w:rFonts w:hint="eastAsia" w:ascii="宋体" w:hAnsi="宋体" w:cs="宋体"/>
          <w:kern w:val="0"/>
          <w:sz w:val="24"/>
        </w:rPr>
      </w:pPr>
      <w:r>
        <w:rPr>
          <w:rFonts w:hint="eastAsia" w:ascii="宋体" w:hAnsi="宋体" w:cs="宋体"/>
          <w:kern w:val="0"/>
          <w:sz w:val="24"/>
        </w:rPr>
        <w:t>电  话：0391-8663917</w:t>
      </w:r>
    </w:p>
    <w:p w14:paraId="60D70873">
      <w:pPr>
        <w:widowControl/>
        <w:spacing w:line="440" w:lineRule="exact"/>
        <w:ind w:firstLine="420"/>
        <w:rPr>
          <w:rFonts w:hint="eastAsia" w:ascii="宋体" w:hAnsi="宋体" w:cs="宋体"/>
          <w:kern w:val="0"/>
          <w:sz w:val="24"/>
        </w:rPr>
      </w:pPr>
      <w:r>
        <w:rPr>
          <w:rFonts w:hint="eastAsia" w:ascii="宋体" w:hAnsi="宋体" w:cs="宋体"/>
          <w:kern w:val="0"/>
          <w:sz w:val="24"/>
        </w:rPr>
        <w:t>2.代理机构信息：</w:t>
      </w:r>
    </w:p>
    <w:p w14:paraId="346C1765">
      <w:pPr>
        <w:widowControl/>
        <w:spacing w:line="440" w:lineRule="exact"/>
        <w:ind w:firstLine="420"/>
        <w:rPr>
          <w:rFonts w:hint="eastAsia" w:ascii="宋体" w:hAnsi="宋体" w:cs="宋体"/>
          <w:kern w:val="0"/>
          <w:sz w:val="24"/>
        </w:rPr>
      </w:pPr>
      <w:r>
        <w:rPr>
          <w:rFonts w:hint="eastAsia" w:ascii="宋体" w:hAnsi="宋体" w:cs="宋体"/>
          <w:kern w:val="0"/>
          <w:sz w:val="24"/>
        </w:rPr>
        <w:t>代理机构：河南诚隆工程管理有限公司</w:t>
      </w:r>
    </w:p>
    <w:p w14:paraId="31CA3B95">
      <w:pPr>
        <w:widowControl/>
        <w:spacing w:line="440" w:lineRule="exact"/>
        <w:ind w:firstLine="420"/>
        <w:rPr>
          <w:rFonts w:hint="eastAsia" w:ascii="宋体" w:hAnsi="宋体" w:cs="宋体"/>
          <w:kern w:val="0"/>
          <w:sz w:val="24"/>
        </w:rPr>
      </w:pPr>
      <w:r>
        <w:rPr>
          <w:rFonts w:hint="eastAsia" w:ascii="宋体" w:hAnsi="宋体" w:cs="宋体"/>
          <w:kern w:val="0"/>
          <w:sz w:val="24"/>
        </w:rPr>
        <w:t>联系人：牛女士</w:t>
      </w:r>
    </w:p>
    <w:p w14:paraId="365C9E51">
      <w:pPr>
        <w:widowControl/>
        <w:spacing w:line="440" w:lineRule="exact"/>
        <w:ind w:firstLine="420"/>
        <w:rPr>
          <w:rFonts w:hint="eastAsia" w:ascii="宋体" w:hAnsi="宋体" w:cs="宋体"/>
          <w:kern w:val="0"/>
          <w:sz w:val="24"/>
        </w:rPr>
      </w:pPr>
      <w:r>
        <w:rPr>
          <w:rFonts w:hint="eastAsia" w:ascii="宋体" w:hAnsi="宋体" w:cs="宋体"/>
          <w:kern w:val="0"/>
          <w:sz w:val="24"/>
        </w:rPr>
        <w:t xml:space="preserve">电  话：15539114618    </w:t>
      </w:r>
    </w:p>
    <w:p w14:paraId="1A326571">
      <w:pPr>
        <w:widowControl/>
        <w:spacing w:line="440" w:lineRule="exact"/>
        <w:ind w:firstLine="420"/>
        <w:rPr>
          <w:rFonts w:hint="eastAsia" w:ascii="宋体" w:hAnsi="宋体" w:cs="宋体"/>
          <w:kern w:val="0"/>
          <w:sz w:val="24"/>
        </w:rPr>
      </w:pPr>
      <w:r>
        <w:rPr>
          <w:rFonts w:hint="eastAsia" w:ascii="宋体" w:hAnsi="宋体" w:cs="宋体"/>
          <w:kern w:val="0"/>
          <w:sz w:val="24"/>
        </w:rPr>
        <w:t>地  址：焦作市解放区人民路与光明路交叉口西南角</w:t>
      </w:r>
    </w:p>
    <w:p w14:paraId="1A6A55A1">
      <w:pPr>
        <w:widowControl/>
        <w:numPr>
          <w:ilvl w:val="0"/>
          <w:numId w:val="0"/>
        </w:numPr>
        <w:spacing w:line="440" w:lineRule="exact"/>
        <w:ind w:firstLine="420" w:firstLineChars="0"/>
        <w:rPr>
          <w:rFonts w:hint="eastAsia" w:ascii="宋体" w:hAnsi="宋体" w:cs="宋体"/>
          <w:kern w:val="0"/>
          <w:sz w:val="24"/>
        </w:rPr>
      </w:pPr>
      <w:r>
        <w:rPr>
          <w:rFonts w:hint="eastAsia" w:ascii="宋体" w:hAnsi="宋体" w:eastAsia="宋体" w:cs="宋体"/>
          <w:kern w:val="0"/>
          <w:sz w:val="24"/>
          <w:szCs w:val="24"/>
          <w:lang w:val="en-US" w:eastAsia="zh-CN" w:bidi="ar-SA"/>
        </w:rPr>
        <w:t>3.</w:t>
      </w:r>
      <w:r>
        <w:rPr>
          <w:rFonts w:hint="eastAsia" w:ascii="宋体" w:hAnsi="宋体" w:cs="宋体"/>
          <w:kern w:val="0"/>
          <w:sz w:val="24"/>
        </w:rPr>
        <w:t>项目联系方式</w:t>
      </w:r>
    </w:p>
    <w:p w14:paraId="7C63B017">
      <w:pPr>
        <w:widowControl/>
        <w:spacing w:line="440" w:lineRule="exact"/>
        <w:rPr>
          <w:rFonts w:hint="eastAsia" w:ascii="宋体" w:hAnsi="宋体" w:cs="宋体"/>
          <w:kern w:val="0"/>
          <w:sz w:val="24"/>
        </w:rPr>
      </w:pPr>
      <w:r>
        <w:rPr>
          <w:rFonts w:hint="eastAsia" w:ascii="宋体" w:hAnsi="宋体" w:cs="宋体"/>
          <w:kern w:val="0"/>
          <w:sz w:val="24"/>
        </w:rPr>
        <w:t xml:space="preserve">   项目联系人：闫老师、牛女士</w:t>
      </w:r>
    </w:p>
    <w:p w14:paraId="176761D0">
      <w:pPr>
        <w:widowControl/>
        <w:spacing w:line="440" w:lineRule="exact"/>
        <w:ind w:firstLine="420"/>
        <w:rPr>
          <w:rFonts w:hint="eastAsia" w:ascii="宋体" w:hAnsi="宋体" w:cs="宋体"/>
          <w:sz w:val="24"/>
        </w:rPr>
      </w:pPr>
      <w:r>
        <w:rPr>
          <w:rFonts w:hint="eastAsia" w:ascii="宋体" w:hAnsi="宋体" w:cs="宋体"/>
          <w:sz w:val="24"/>
        </w:rPr>
        <w:t>联系方式：</w:t>
      </w:r>
      <w:r>
        <w:rPr>
          <w:rFonts w:hint="eastAsia" w:ascii="宋体" w:hAnsi="宋体" w:cs="宋体"/>
          <w:kern w:val="0"/>
          <w:sz w:val="24"/>
        </w:rPr>
        <w:t>0391-8663917、15539114618</w:t>
      </w:r>
    </w:p>
    <w:p w14:paraId="74201AFD">
      <w:pPr>
        <w:widowControl/>
        <w:spacing w:line="440" w:lineRule="exact"/>
        <w:ind w:firstLine="420"/>
        <w:rPr>
          <w:rFonts w:hint="eastAsia" w:ascii="宋体" w:hAnsi="宋体" w:cs="宋体"/>
          <w:sz w:val="24"/>
        </w:rPr>
      </w:pPr>
    </w:p>
    <w:p w14:paraId="0EB83F1E">
      <w:pPr>
        <w:widowControl/>
        <w:spacing w:line="440" w:lineRule="exact"/>
        <w:ind w:firstLine="420"/>
        <w:jc w:val="right"/>
        <w:rPr>
          <w:rFonts w:hint="eastAsia" w:ascii="宋体" w:hAnsi="宋体" w:cs="宋体"/>
          <w:sz w:val="24"/>
        </w:rPr>
      </w:pPr>
    </w:p>
    <w:p w14:paraId="4D5A2841">
      <w:pPr>
        <w:rPr>
          <w:sz w:val="32"/>
          <w:szCs w:val="32"/>
        </w:rPr>
      </w:pPr>
      <w:r>
        <w:rPr>
          <w:rFonts w:hint="eastAsia"/>
          <w:sz w:val="32"/>
          <w:szCs w:val="32"/>
        </w:rPr>
        <w:br w:type="page"/>
      </w:r>
    </w:p>
    <w:p w14:paraId="16C734F6">
      <w:pPr>
        <w:pStyle w:val="9"/>
        <w:spacing w:line="500" w:lineRule="exact"/>
        <w:rPr>
          <w:sz w:val="32"/>
          <w:szCs w:val="32"/>
        </w:rPr>
      </w:pPr>
      <w:r>
        <w:rPr>
          <w:rFonts w:hint="eastAsia"/>
          <w:sz w:val="32"/>
          <w:szCs w:val="32"/>
        </w:rPr>
        <w:t>第二章  供应商须知</w:t>
      </w:r>
      <w:bookmarkEnd w:id="5"/>
      <w:bookmarkEnd w:id="6"/>
    </w:p>
    <w:bookmarkEnd w:id="0"/>
    <w:p w14:paraId="734771B1">
      <w:pPr>
        <w:spacing w:line="500" w:lineRule="exact"/>
        <w:jc w:val="center"/>
        <w:rPr>
          <w:b/>
          <w:bCs/>
          <w:sz w:val="30"/>
          <w:szCs w:val="30"/>
        </w:rPr>
      </w:pPr>
      <w:bookmarkStart w:id="7" w:name="_Toc32497"/>
      <w:bookmarkStart w:id="8" w:name="_Toc9161"/>
      <w:bookmarkStart w:id="9" w:name="_Toc403122490"/>
      <w:bookmarkStart w:id="10" w:name="_Toc426369478"/>
      <w:bookmarkStart w:id="11" w:name="_Toc14655"/>
      <w:r>
        <w:rPr>
          <w:rFonts w:hint="eastAsia"/>
          <w:b/>
          <w:bCs/>
          <w:sz w:val="30"/>
          <w:szCs w:val="30"/>
        </w:rPr>
        <w:t>供应商须知前附表</w:t>
      </w:r>
      <w:bookmarkEnd w:id="7"/>
      <w:bookmarkEnd w:id="8"/>
      <w:bookmarkEnd w:id="9"/>
      <w:bookmarkEnd w:id="10"/>
      <w:bookmarkEnd w:id="11"/>
    </w:p>
    <w:tbl>
      <w:tblPr>
        <w:tblStyle w:val="30"/>
        <w:tblW w:w="9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206"/>
        <w:gridCol w:w="6735"/>
      </w:tblGrid>
      <w:tr w14:paraId="2E4A4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16E19993">
            <w:pPr>
              <w:pStyle w:val="3"/>
              <w:spacing w:line="500" w:lineRule="exact"/>
              <w:jc w:val="center"/>
              <w:rPr>
                <w:rFonts w:asciiTheme="minorEastAsia" w:hAnsiTheme="minorEastAsia" w:eastAsiaTheme="minorEastAsia" w:cstheme="minorEastAsia"/>
                <w:b/>
                <w:sz w:val="24"/>
                <w:szCs w:val="24"/>
              </w:rPr>
            </w:pPr>
            <w:r>
              <w:rPr>
                <w:rFonts w:asciiTheme="minorEastAsia" w:hAnsiTheme="minorEastAsia" w:eastAsiaTheme="minorEastAsia" w:cstheme="minorEastAsia"/>
                <w:b/>
                <w:sz w:val="24"/>
                <w:szCs w:val="24"/>
              </w:rPr>
              <w:t>条款号</w:t>
            </w:r>
          </w:p>
        </w:tc>
        <w:tc>
          <w:tcPr>
            <w:tcW w:w="2206" w:type="dxa"/>
            <w:vAlign w:val="center"/>
          </w:tcPr>
          <w:p w14:paraId="67CD630F">
            <w:pPr>
              <w:pStyle w:val="3"/>
              <w:spacing w:line="500" w:lineRule="exact"/>
              <w:jc w:val="center"/>
              <w:rPr>
                <w:rFonts w:asciiTheme="minorEastAsia" w:hAnsiTheme="minorEastAsia" w:eastAsiaTheme="minorEastAsia" w:cstheme="minorEastAsia"/>
                <w:b/>
                <w:sz w:val="24"/>
                <w:szCs w:val="24"/>
              </w:rPr>
            </w:pPr>
            <w:r>
              <w:rPr>
                <w:rFonts w:asciiTheme="minorEastAsia" w:hAnsiTheme="minorEastAsia" w:eastAsiaTheme="minorEastAsia" w:cstheme="minorEastAsia"/>
                <w:b/>
                <w:sz w:val="24"/>
                <w:szCs w:val="24"/>
              </w:rPr>
              <w:t>条款名称</w:t>
            </w:r>
          </w:p>
        </w:tc>
        <w:tc>
          <w:tcPr>
            <w:tcW w:w="6735" w:type="dxa"/>
            <w:vAlign w:val="center"/>
          </w:tcPr>
          <w:p w14:paraId="4D5E1B4D">
            <w:pPr>
              <w:pStyle w:val="3"/>
              <w:spacing w:line="500" w:lineRule="exact"/>
              <w:jc w:val="center"/>
              <w:rPr>
                <w:rFonts w:asciiTheme="minorEastAsia" w:hAnsiTheme="minorEastAsia" w:eastAsiaTheme="minorEastAsia" w:cstheme="minorEastAsia"/>
                <w:b/>
                <w:sz w:val="24"/>
                <w:szCs w:val="24"/>
              </w:rPr>
            </w:pPr>
            <w:r>
              <w:rPr>
                <w:rFonts w:asciiTheme="minorEastAsia" w:hAnsiTheme="minorEastAsia" w:eastAsiaTheme="minorEastAsia" w:cstheme="minorEastAsia"/>
                <w:b/>
                <w:sz w:val="24"/>
                <w:szCs w:val="24"/>
              </w:rPr>
              <w:t>编列内容</w:t>
            </w:r>
          </w:p>
        </w:tc>
      </w:tr>
      <w:tr w14:paraId="55FAF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725AC6E6">
            <w:pPr>
              <w:pStyle w:val="3"/>
              <w:spacing w:line="500" w:lineRule="exact"/>
              <w:jc w:val="cente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1.1.2</w:t>
            </w:r>
          </w:p>
        </w:tc>
        <w:tc>
          <w:tcPr>
            <w:tcW w:w="2206" w:type="dxa"/>
            <w:vAlign w:val="center"/>
          </w:tcPr>
          <w:p w14:paraId="1F8D6ADB">
            <w:pPr>
              <w:pStyle w:val="3"/>
              <w:spacing w:line="500" w:lineRule="exact"/>
              <w:jc w:val="cente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采购人</w:t>
            </w:r>
          </w:p>
        </w:tc>
        <w:tc>
          <w:tcPr>
            <w:tcW w:w="6735" w:type="dxa"/>
            <w:vAlign w:val="center"/>
          </w:tcPr>
          <w:p w14:paraId="0F490C6F">
            <w:pPr>
              <w:pStyle w:val="3"/>
              <w:spacing w:line="500" w:lineRule="exact"/>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 xml:space="preserve">采购人：博爱县教育体育局 </w:t>
            </w:r>
          </w:p>
          <w:p w14:paraId="006EACA2">
            <w:pPr>
              <w:pStyle w:val="3"/>
              <w:spacing w:line="500" w:lineRule="exact"/>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联系人：闫老师</w:t>
            </w:r>
          </w:p>
          <w:p w14:paraId="30E18012">
            <w:pPr>
              <w:pStyle w:val="3"/>
              <w:spacing w:line="500" w:lineRule="exact"/>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电  话：</w:t>
            </w:r>
            <w:r>
              <w:rPr>
                <w:rFonts w:hAnsi="宋体" w:cs="宋体"/>
                <w:kern w:val="0"/>
                <w:sz w:val="24"/>
              </w:rPr>
              <w:t>0391-8663917</w:t>
            </w:r>
          </w:p>
        </w:tc>
      </w:tr>
      <w:tr w14:paraId="188A2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17A44A1E">
            <w:pPr>
              <w:pStyle w:val="3"/>
              <w:spacing w:line="500" w:lineRule="exact"/>
              <w:jc w:val="cente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1.1.3</w:t>
            </w:r>
          </w:p>
        </w:tc>
        <w:tc>
          <w:tcPr>
            <w:tcW w:w="2206" w:type="dxa"/>
            <w:vAlign w:val="center"/>
          </w:tcPr>
          <w:p w14:paraId="14BC21CA">
            <w:pPr>
              <w:pStyle w:val="3"/>
              <w:spacing w:line="500" w:lineRule="exact"/>
              <w:jc w:val="cente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采购代理机构</w:t>
            </w:r>
          </w:p>
        </w:tc>
        <w:tc>
          <w:tcPr>
            <w:tcW w:w="6735" w:type="dxa"/>
            <w:vAlign w:val="center"/>
          </w:tcPr>
          <w:p w14:paraId="10690167">
            <w:pPr>
              <w:pStyle w:val="3"/>
              <w:spacing w:line="500" w:lineRule="exact"/>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 xml:space="preserve">采购代理机构：河南诚隆工程管理有限公司 </w:t>
            </w:r>
          </w:p>
          <w:p w14:paraId="276776AE">
            <w:pPr>
              <w:pStyle w:val="3"/>
              <w:spacing w:line="500" w:lineRule="exact"/>
              <w:rPr>
                <w:rFonts w:asciiTheme="minorEastAsia" w:hAnsiTheme="minorEastAsia" w:eastAsiaTheme="minorEastAsia" w:cstheme="minorEastAsia"/>
                <w:bCs/>
                <w:iCs/>
                <w:sz w:val="24"/>
                <w:szCs w:val="24"/>
              </w:rPr>
            </w:pPr>
            <w:r>
              <w:rPr>
                <w:rFonts w:asciiTheme="minorEastAsia" w:hAnsiTheme="minorEastAsia" w:eastAsiaTheme="minorEastAsia" w:cstheme="minorEastAsia"/>
                <w:sz w:val="24"/>
                <w:szCs w:val="24"/>
              </w:rPr>
              <w:t>联</w:t>
            </w:r>
            <w:r>
              <w:rPr>
                <w:rFonts w:asciiTheme="minorEastAsia" w:hAnsiTheme="minorEastAsia" w:eastAsiaTheme="minorEastAsia" w:cstheme="minorEastAsia"/>
                <w:bCs/>
                <w:iCs/>
                <w:sz w:val="24"/>
                <w:szCs w:val="24"/>
              </w:rPr>
              <w:t>系人：牛女士</w:t>
            </w:r>
          </w:p>
          <w:p w14:paraId="4740B5C5">
            <w:pPr>
              <w:pStyle w:val="3"/>
              <w:spacing w:line="500" w:lineRule="exact"/>
              <w:rPr>
                <w:rFonts w:asciiTheme="minorEastAsia" w:hAnsiTheme="minorEastAsia" w:eastAsiaTheme="minorEastAsia" w:cstheme="minorEastAsia"/>
                <w:sz w:val="24"/>
                <w:szCs w:val="24"/>
              </w:rPr>
            </w:pPr>
            <w:r>
              <w:rPr>
                <w:rFonts w:asciiTheme="minorEastAsia" w:hAnsiTheme="minorEastAsia" w:eastAsiaTheme="minorEastAsia" w:cstheme="minorEastAsia"/>
                <w:bCs/>
                <w:iCs/>
                <w:sz w:val="24"/>
                <w:szCs w:val="24"/>
              </w:rPr>
              <w:t>电</w:t>
            </w:r>
            <w:r>
              <w:rPr>
                <w:rFonts w:hint="eastAsia" w:asciiTheme="minorEastAsia" w:hAnsiTheme="minorEastAsia" w:eastAsiaTheme="minorEastAsia" w:cstheme="minorEastAsia"/>
                <w:bCs/>
                <w:iCs/>
                <w:sz w:val="24"/>
                <w:szCs w:val="24"/>
                <w:lang w:val="en-US" w:eastAsia="zh-CN"/>
              </w:rPr>
              <w:t xml:space="preserve">  </w:t>
            </w:r>
            <w:r>
              <w:rPr>
                <w:rFonts w:asciiTheme="minorEastAsia" w:hAnsiTheme="minorEastAsia" w:eastAsiaTheme="minorEastAsia" w:cstheme="minorEastAsia"/>
                <w:bCs/>
                <w:iCs/>
                <w:sz w:val="24"/>
                <w:szCs w:val="24"/>
              </w:rPr>
              <w:t>话：15539114618</w:t>
            </w:r>
          </w:p>
        </w:tc>
      </w:tr>
      <w:tr w14:paraId="67D94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07321A23">
            <w:pPr>
              <w:pStyle w:val="3"/>
              <w:spacing w:line="500" w:lineRule="exact"/>
              <w:jc w:val="cente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1.1.4</w:t>
            </w:r>
          </w:p>
        </w:tc>
        <w:tc>
          <w:tcPr>
            <w:tcW w:w="2206" w:type="dxa"/>
            <w:vAlign w:val="center"/>
          </w:tcPr>
          <w:p w14:paraId="28216145">
            <w:pPr>
              <w:spacing w:line="5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6735" w:type="dxa"/>
            <w:vAlign w:val="center"/>
          </w:tcPr>
          <w:p w14:paraId="239D6285">
            <w:pPr>
              <w:adjustRightInd w:val="0"/>
              <w:snapToGrid w:val="0"/>
              <w:spacing w:line="500" w:lineRule="exac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bCs/>
                <w:iCs/>
                <w:sz w:val="24"/>
                <w:lang w:eastAsia="zh-CN"/>
              </w:rPr>
              <w:t>博爱县教育体育局购置教师计算机采购项目</w:t>
            </w:r>
          </w:p>
        </w:tc>
      </w:tr>
      <w:tr w14:paraId="11C95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14DD40A7">
            <w:pPr>
              <w:pStyle w:val="3"/>
              <w:spacing w:line="500" w:lineRule="exact"/>
              <w:jc w:val="cente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1.1.5</w:t>
            </w:r>
          </w:p>
        </w:tc>
        <w:tc>
          <w:tcPr>
            <w:tcW w:w="2206" w:type="dxa"/>
            <w:vAlign w:val="center"/>
          </w:tcPr>
          <w:p w14:paraId="07060251">
            <w:pPr>
              <w:spacing w:line="5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Cs/>
                <w:iCs/>
                <w:sz w:val="24"/>
              </w:rPr>
              <w:t>项目地点</w:t>
            </w:r>
          </w:p>
        </w:tc>
        <w:tc>
          <w:tcPr>
            <w:tcW w:w="6735" w:type="dxa"/>
            <w:vAlign w:val="center"/>
          </w:tcPr>
          <w:p w14:paraId="0C938105">
            <w:pPr>
              <w:pStyle w:val="3"/>
              <w:spacing w:line="500" w:lineRule="exact"/>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采购人指定地点</w:t>
            </w:r>
          </w:p>
        </w:tc>
      </w:tr>
      <w:tr w14:paraId="0FB55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74B52C6C">
            <w:pPr>
              <w:pStyle w:val="3"/>
              <w:spacing w:line="500" w:lineRule="exact"/>
              <w:jc w:val="cente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1.2.1</w:t>
            </w:r>
          </w:p>
        </w:tc>
        <w:tc>
          <w:tcPr>
            <w:tcW w:w="2206" w:type="dxa"/>
            <w:vAlign w:val="center"/>
          </w:tcPr>
          <w:p w14:paraId="65761D20">
            <w:pPr>
              <w:pStyle w:val="3"/>
              <w:spacing w:line="500" w:lineRule="exact"/>
              <w:jc w:val="cente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资金来源</w:t>
            </w:r>
          </w:p>
        </w:tc>
        <w:tc>
          <w:tcPr>
            <w:tcW w:w="6735" w:type="dxa"/>
            <w:vAlign w:val="center"/>
          </w:tcPr>
          <w:p w14:paraId="7F48320F">
            <w:pPr>
              <w:pStyle w:val="3"/>
              <w:spacing w:line="500" w:lineRule="exact"/>
              <w:rPr>
                <w:rFonts w:asciiTheme="minorEastAsia" w:hAnsiTheme="minorEastAsia" w:eastAsiaTheme="minorEastAsia" w:cstheme="minorEastAsia"/>
                <w:i/>
                <w:iCs/>
                <w:sz w:val="24"/>
                <w:szCs w:val="24"/>
              </w:rPr>
            </w:pPr>
            <w:r>
              <w:rPr>
                <w:rFonts w:asciiTheme="minorEastAsia" w:hAnsiTheme="minorEastAsia" w:eastAsiaTheme="minorEastAsia" w:cstheme="minorEastAsia"/>
                <w:sz w:val="24"/>
                <w:szCs w:val="24"/>
              </w:rPr>
              <w:t>上级财政资金</w:t>
            </w:r>
          </w:p>
        </w:tc>
      </w:tr>
      <w:tr w14:paraId="1AF58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3ACBBE36">
            <w:pPr>
              <w:pStyle w:val="3"/>
              <w:spacing w:line="500" w:lineRule="exact"/>
              <w:jc w:val="cente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1.2.2</w:t>
            </w:r>
          </w:p>
        </w:tc>
        <w:tc>
          <w:tcPr>
            <w:tcW w:w="2206" w:type="dxa"/>
            <w:vAlign w:val="center"/>
          </w:tcPr>
          <w:p w14:paraId="354CE566">
            <w:pPr>
              <w:pStyle w:val="3"/>
              <w:spacing w:line="500" w:lineRule="exact"/>
              <w:jc w:val="center"/>
              <w:rPr>
                <w:rFonts w:asciiTheme="minorEastAsia" w:hAnsiTheme="minorEastAsia" w:eastAsiaTheme="minorEastAsia" w:cstheme="minorEastAsia"/>
                <w:sz w:val="24"/>
                <w:szCs w:val="24"/>
              </w:rPr>
            </w:pPr>
            <w:r>
              <w:rPr>
                <w:rFonts w:asciiTheme="minorEastAsia" w:hAnsiTheme="minorEastAsia" w:eastAsiaTheme="minorEastAsia" w:cstheme="minorEastAsia"/>
                <w:bCs/>
                <w:iCs/>
                <w:sz w:val="24"/>
                <w:szCs w:val="24"/>
              </w:rPr>
              <w:t>资金落实情况</w:t>
            </w:r>
          </w:p>
        </w:tc>
        <w:tc>
          <w:tcPr>
            <w:tcW w:w="6735" w:type="dxa"/>
            <w:vAlign w:val="center"/>
          </w:tcPr>
          <w:p w14:paraId="62095457">
            <w:pPr>
              <w:pStyle w:val="3"/>
              <w:spacing w:line="500" w:lineRule="exact"/>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已落实</w:t>
            </w:r>
          </w:p>
        </w:tc>
      </w:tr>
      <w:tr w14:paraId="56A65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65" w:type="dxa"/>
            <w:vAlign w:val="center"/>
          </w:tcPr>
          <w:p w14:paraId="5898F804">
            <w:pPr>
              <w:pStyle w:val="3"/>
              <w:spacing w:line="500" w:lineRule="exact"/>
              <w:jc w:val="cente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1.3.1</w:t>
            </w:r>
          </w:p>
        </w:tc>
        <w:tc>
          <w:tcPr>
            <w:tcW w:w="2206" w:type="dxa"/>
            <w:shd w:val="clear" w:color="auto" w:fill="auto"/>
            <w:vAlign w:val="center"/>
          </w:tcPr>
          <w:p w14:paraId="7F6FA849">
            <w:pPr>
              <w:pStyle w:val="3"/>
              <w:spacing w:line="500" w:lineRule="exact"/>
              <w:ind w:firstLine="480" w:firstLineChars="200"/>
              <w:rPr>
                <w:rFonts w:asciiTheme="minorEastAsia" w:hAnsiTheme="minorEastAsia" w:eastAsiaTheme="minorEastAsia" w:cstheme="minorEastAsia"/>
                <w:sz w:val="24"/>
                <w:szCs w:val="24"/>
              </w:rPr>
            </w:pPr>
            <w:r>
              <w:rPr>
                <w:rFonts w:asciiTheme="minorEastAsia" w:hAnsiTheme="minorEastAsia" w:eastAsiaTheme="minorEastAsia" w:cstheme="minorEastAsia"/>
                <w:bCs/>
                <w:iCs/>
                <w:sz w:val="24"/>
                <w:szCs w:val="24"/>
              </w:rPr>
              <w:t>采购内容</w:t>
            </w:r>
          </w:p>
        </w:tc>
        <w:tc>
          <w:tcPr>
            <w:tcW w:w="6735" w:type="dxa"/>
            <w:shd w:val="clear" w:color="auto" w:fill="auto"/>
          </w:tcPr>
          <w:p w14:paraId="7997FBDE">
            <w:pPr>
              <w:pStyle w:val="45"/>
              <w:spacing w:line="500" w:lineRule="exact"/>
              <w:ind w:left="0" w:firstLine="480" w:firstLineChars="200"/>
              <w:rPr>
                <w:rFonts w:hint="eastAsia" w:asciiTheme="minorEastAsia" w:hAnsiTheme="minorEastAsia" w:eastAsiaTheme="minorEastAsia" w:cstheme="minorEastAsia"/>
                <w:sz w:val="24"/>
                <w:szCs w:val="24"/>
                <w:highlight w:val="yellow"/>
                <w:lang w:eastAsia="zh-CN"/>
              </w:rPr>
            </w:pPr>
            <w:r>
              <w:rPr>
                <w:rFonts w:hint="eastAsia"/>
                <w:color w:val="000000"/>
                <w:sz w:val="24"/>
                <w:szCs w:val="24"/>
                <w:lang w:eastAsia="zh-CN"/>
              </w:rPr>
              <w:t>为光智中学、玉祥中学等15所中小学学校购置教师计算机等设备，</w:t>
            </w:r>
            <w:r>
              <w:rPr>
                <w:rFonts w:hint="eastAsia"/>
                <w:color w:val="auto"/>
                <w:sz w:val="24"/>
                <w:szCs w:val="24"/>
                <w:highlight w:val="none"/>
                <w:lang w:eastAsia="zh-CN"/>
              </w:rPr>
              <w:t>包括计算机</w:t>
            </w:r>
            <w:r>
              <w:rPr>
                <w:rFonts w:hint="eastAsia"/>
                <w:color w:val="auto"/>
                <w:sz w:val="24"/>
                <w:szCs w:val="24"/>
                <w:highlight w:val="none"/>
                <w:lang w:val="en-US" w:eastAsia="zh-CN"/>
              </w:rPr>
              <w:t>723台</w:t>
            </w:r>
            <w:r>
              <w:rPr>
                <w:rFonts w:hint="eastAsia"/>
                <w:color w:val="auto"/>
                <w:sz w:val="24"/>
                <w:szCs w:val="24"/>
                <w:highlight w:val="none"/>
                <w:lang w:eastAsia="zh-CN"/>
              </w:rPr>
              <w:t>、图书管理软件</w:t>
            </w:r>
            <w:r>
              <w:rPr>
                <w:rFonts w:hint="eastAsia"/>
                <w:color w:val="auto"/>
                <w:sz w:val="24"/>
                <w:szCs w:val="24"/>
                <w:highlight w:val="none"/>
                <w:lang w:val="en-US" w:eastAsia="zh-CN"/>
              </w:rPr>
              <w:t>1套</w:t>
            </w:r>
            <w:r>
              <w:rPr>
                <w:rFonts w:hint="eastAsia"/>
                <w:color w:val="000000"/>
                <w:sz w:val="24"/>
                <w:szCs w:val="24"/>
                <w:lang w:eastAsia="zh-CN"/>
              </w:rPr>
              <w:t>。</w:t>
            </w:r>
            <w:r>
              <w:rPr>
                <w:rFonts w:asciiTheme="minorEastAsia" w:hAnsiTheme="minorEastAsia" w:eastAsiaTheme="minorEastAsia" w:cstheme="minorEastAsia"/>
                <w:sz w:val="24"/>
                <w:szCs w:val="24"/>
                <w:lang w:eastAsia="zh-CN"/>
              </w:rPr>
              <w:t>（详见第五章采购内容及技术要求）</w:t>
            </w:r>
          </w:p>
        </w:tc>
      </w:tr>
      <w:tr w14:paraId="2A4C4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475EAA7B">
            <w:pPr>
              <w:pStyle w:val="3"/>
              <w:spacing w:line="500" w:lineRule="exact"/>
              <w:jc w:val="cente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1.3.2</w:t>
            </w:r>
          </w:p>
        </w:tc>
        <w:tc>
          <w:tcPr>
            <w:tcW w:w="2206" w:type="dxa"/>
            <w:vAlign w:val="center"/>
          </w:tcPr>
          <w:p w14:paraId="15BF117E">
            <w:pPr>
              <w:pStyle w:val="3"/>
              <w:spacing w:line="500" w:lineRule="exact"/>
              <w:jc w:val="center"/>
              <w:rPr>
                <w:rFonts w:asciiTheme="minorEastAsia" w:hAnsiTheme="minorEastAsia" w:eastAsiaTheme="minorEastAsia" w:cstheme="minorEastAsia"/>
                <w:bCs/>
                <w:iCs/>
                <w:sz w:val="24"/>
                <w:szCs w:val="24"/>
              </w:rPr>
            </w:pPr>
            <w:r>
              <w:rPr>
                <w:rFonts w:asciiTheme="minorEastAsia" w:hAnsiTheme="minorEastAsia" w:eastAsiaTheme="minorEastAsia" w:cstheme="minorEastAsia"/>
                <w:bCs/>
                <w:iCs/>
                <w:sz w:val="24"/>
                <w:szCs w:val="24"/>
              </w:rPr>
              <w:t>合同履行期限</w:t>
            </w:r>
          </w:p>
          <w:p w14:paraId="5E0EDC53">
            <w:pPr>
              <w:pStyle w:val="3"/>
              <w:spacing w:line="500" w:lineRule="exact"/>
              <w:jc w:val="center"/>
              <w:rPr>
                <w:rFonts w:hAnsi="宋体" w:cs="宋体"/>
                <w:kern w:val="0"/>
                <w:sz w:val="24"/>
                <w:szCs w:val="24"/>
              </w:rPr>
            </w:pPr>
            <w:r>
              <w:rPr>
                <w:rFonts w:asciiTheme="minorEastAsia" w:hAnsiTheme="minorEastAsia" w:eastAsiaTheme="minorEastAsia" w:cstheme="minorEastAsia"/>
                <w:bCs/>
                <w:iCs/>
                <w:sz w:val="24"/>
                <w:szCs w:val="24"/>
              </w:rPr>
              <w:t>（供货及安装期）</w:t>
            </w:r>
          </w:p>
        </w:tc>
        <w:tc>
          <w:tcPr>
            <w:tcW w:w="6735" w:type="dxa"/>
            <w:vAlign w:val="center"/>
          </w:tcPr>
          <w:p w14:paraId="7B2735EA">
            <w:pPr>
              <w:adjustRightInd w:val="0"/>
              <w:snapToGrid w:val="0"/>
              <w:spacing w:line="500" w:lineRule="exact"/>
              <w:rPr>
                <w:rFonts w:hint="eastAsia" w:ascii="宋体" w:hAnsi="宋体" w:cs="宋体"/>
                <w:kern w:val="0"/>
                <w:sz w:val="24"/>
              </w:rPr>
            </w:pPr>
            <w:r>
              <w:rPr>
                <w:rFonts w:hint="eastAsia" w:ascii="宋体" w:hAnsi="宋体" w:cs="宋体"/>
                <w:color w:val="auto"/>
                <w:kern w:val="0"/>
                <w:sz w:val="24"/>
              </w:rPr>
              <w:t>合同签订后</w:t>
            </w:r>
            <w:r>
              <w:rPr>
                <w:rFonts w:hint="eastAsia" w:ascii="宋体" w:hAnsi="宋体" w:cs="宋体"/>
                <w:color w:val="auto"/>
                <w:kern w:val="0"/>
                <w:sz w:val="24"/>
                <w:lang w:val="en-US" w:eastAsia="zh-CN"/>
              </w:rPr>
              <w:t>20</w:t>
            </w:r>
            <w:r>
              <w:rPr>
                <w:rFonts w:hint="eastAsia" w:ascii="宋体" w:hAnsi="宋体" w:cs="宋体"/>
                <w:color w:val="auto"/>
                <w:kern w:val="0"/>
                <w:sz w:val="24"/>
              </w:rPr>
              <w:t>日历天</w:t>
            </w:r>
          </w:p>
        </w:tc>
      </w:tr>
      <w:tr w14:paraId="17D98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4AB60D7D">
            <w:pPr>
              <w:pStyle w:val="3"/>
              <w:spacing w:line="500" w:lineRule="exact"/>
              <w:jc w:val="cente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1.3.3</w:t>
            </w:r>
          </w:p>
        </w:tc>
        <w:tc>
          <w:tcPr>
            <w:tcW w:w="2206" w:type="dxa"/>
            <w:vAlign w:val="center"/>
          </w:tcPr>
          <w:p w14:paraId="4530493B">
            <w:pPr>
              <w:pStyle w:val="3"/>
              <w:spacing w:line="500" w:lineRule="exact"/>
              <w:jc w:val="center"/>
              <w:rPr>
                <w:rFonts w:hAnsi="宋体" w:cs="宋体"/>
                <w:kern w:val="0"/>
                <w:sz w:val="24"/>
                <w:szCs w:val="24"/>
              </w:rPr>
            </w:pPr>
            <w:r>
              <w:rPr>
                <w:rFonts w:hint="default" w:hAnsi="宋体" w:cs="宋体"/>
                <w:kern w:val="0"/>
                <w:sz w:val="24"/>
                <w:szCs w:val="24"/>
              </w:rPr>
              <w:t>质量标准</w:t>
            </w:r>
          </w:p>
        </w:tc>
        <w:tc>
          <w:tcPr>
            <w:tcW w:w="6735" w:type="dxa"/>
            <w:vAlign w:val="center"/>
          </w:tcPr>
          <w:p w14:paraId="68762796">
            <w:pPr>
              <w:spacing w:line="500" w:lineRule="exact"/>
              <w:rPr>
                <w:rFonts w:hint="eastAsia" w:ascii="宋体" w:hAnsi="宋体" w:cs="宋体"/>
                <w:kern w:val="0"/>
                <w:sz w:val="24"/>
              </w:rPr>
            </w:pPr>
            <w:r>
              <w:rPr>
                <w:rFonts w:ascii="宋体" w:hAnsi="宋体" w:cs="宋体"/>
                <w:kern w:val="0"/>
                <w:sz w:val="24"/>
              </w:rPr>
              <w:t>合格，符合国家</w:t>
            </w:r>
            <w:r>
              <w:rPr>
                <w:rFonts w:hint="eastAsia" w:ascii="宋体" w:hAnsi="宋体" w:cs="宋体"/>
                <w:kern w:val="0"/>
                <w:sz w:val="24"/>
              </w:rPr>
              <w:t>及</w:t>
            </w:r>
            <w:r>
              <w:rPr>
                <w:rFonts w:ascii="宋体" w:hAnsi="宋体" w:cs="宋体"/>
                <w:kern w:val="0"/>
                <w:sz w:val="24"/>
              </w:rPr>
              <w:t>行业规范标准。</w:t>
            </w:r>
          </w:p>
        </w:tc>
      </w:tr>
      <w:tr w14:paraId="1DF06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0F07C545">
            <w:pPr>
              <w:pStyle w:val="3"/>
              <w:spacing w:line="500" w:lineRule="exact"/>
              <w:jc w:val="cente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1.3.4</w:t>
            </w:r>
          </w:p>
        </w:tc>
        <w:tc>
          <w:tcPr>
            <w:tcW w:w="2206" w:type="dxa"/>
            <w:vAlign w:val="center"/>
          </w:tcPr>
          <w:p w14:paraId="3827933A">
            <w:pPr>
              <w:pStyle w:val="3"/>
              <w:spacing w:line="500" w:lineRule="exact"/>
              <w:jc w:val="center"/>
              <w:rPr>
                <w:rFonts w:hAnsi="宋体" w:cs="宋体"/>
                <w:kern w:val="0"/>
                <w:sz w:val="24"/>
                <w:szCs w:val="24"/>
              </w:rPr>
            </w:pPr>
            <w:r>
              <w:rPr>
                <w:rFonts w:hAnsi="宋体" w:cs="宋体"/>
                <w:kern w:val="0"/>
                <w:sz w:val="24"/>
                <w:szCs w:val="24"/>
              </w:rPr>
              <w:t>质保期</w:t>
            </w:r>
          </w:p>
        </w:tc>
        <w:tc>
          <w:tcPr>
            <w:tcW w:w="6735" w:type="dxa"/>
            <w:vAlign w:val="center"/>
          </w:tcPr>
          <w:p w14:paraId="6147E385">
            <w:pPr>
              <w:spacing w:line="500" w:lineRule="exact"/>
              <w:rPr>
                <w:rFonts w:hint="eastAsia" w:ascii="宋体" w:hAnsi="宋体" w:cs="宋体"/>
                <w:color w:val="EE0000"/>
                <w:kern w:val="0"/>
                <w:sz w:val="24"/>
              </w:rPr>
            </w:pPr>
            <w:r>
              <w:rPr>
                <w:rFonts w:hint="eastAsia" w:ascii="宋体" w:hAnsi="宋体" w:cs="宋体"/>
                <w:kern w:val="0"/>
                <w:sz w:val="24"/>
              </w:rPr>
              <w:t>硬件设备质保3年，软件产品质保1年</w:t>
            </w:r>
          </w:p>
        </w:tc>
      </w:tr>
      <w:tr w14:paraId="4DFE0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29F216CF">
            <w:pPr>
              <w:pStyle w:val="3"/>
              <w:spacing w:line="500" w:lineRule="exact"/>
              <w:jc w:val="cente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1.4.1</w:t>
            </w:r>
          </w:p>
        </w:tc>
        <w:tc>
          <w:tcPr>
            <w:tcW w:w="2206" w:type="dxa"/>
            <w:vAlign w:val="center"/>
          </w:tcPr>
          <w:p w14:paraId="4761D638">
            <w:pPr>
              <w:pStyle w:val="3"/>
              <w:spacing w:line="500" w:lineRule="exact"/>
              <w:jc w:val="cente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供应商资质条件</w:t>
            </w:r>
          </w:p>
        </w:tc>
        <w:tc>
          <w:tcPr>
            <w:tcW w:w="6735" w:type="dxa"/>
            <w:vAlign w:val="center"/>
          </w:tcPr>
          <w:p w14:paraId="0F640614">
            <w:pPr>
              <w:widowControl/>
              <w:spacing w:line="500" w:lineRule="exact"/>
              <w:jc w:val="left"/>
              <w:rPr>
                <w:rFonts w:hint="eastAsia" w:ascii="宋体" w:hAnsi="宋体" w:cs="宋体"/>
                <w:sz w:val="24"/>
                <w:shd w:val="clear" w:color="auto" w:fill="FFFFFF"/>
              </w:rPr>
            </w:pPr>
            <w:r>
              <w:rPr>
                <w:rFonts w:hint="eastAsia" w:ascii="宋体" w:hAnsi="宋体" w:cs="宋体"/>
                <w:sz w:val="24"/>
                <w:shd w:val="clear" w:color="auto" w:fill="FFFFFF"/>
              </w:rPr>
              <w:t>1.符合《中华人民共和国政府采购法》第二十二条之规定；</w:t>
            </w:r>
          </w:p>
          <w:p w14:paraId="0B49D7AE">
            <w:pPr>
              <w:widowControl/>
              <w:spacing w:line="500" w:lineRule="exact"/>
              <w:jc w:val="left"/>
              <w:rPr>
                <w:rFonts w:hint="eastAsia" w:ascii="宋体" w:hAnsi="宋体" w:cs="宋体"/>
                <w:sz w:val="24"/>
                <w:shd w:val="clear" w:color="auto" w:fill="FFFFFF"/>
              </w:rPr>
            </w:pPr>
            <w:r>
              <w:rPr>
                <w:rFonts w:hint="eastAsia" w:ascii="宋体" w:hAnsi="宋体" w:cs="宋体"/>
                <w:sz w:val="24"/>
                <w:shd w:val="clear" w:color="auto" w:fill="FFFFFF"/>
              </w:rPr>
              <w:t>2.落实政府采购政策需满足的资格要求：促进中小企业和监狱企业发展扶持政策、政府强制采购节能产品、节能产品及环境标志产品优先采购。</w:t>
            </w:r>
          </w:p>
          <w:p w14:paraId="2AE3DA58">
            <w:pPr>
              <w:widowControl/>
              <w:spacing w:line="500" w:lineRule="exact"/>
              <w:jc w:val="left"/>
              <w:rPr>
                <w:rFonts w:hint="eastAsia" w:ascii="宋体" w:hAnsi="宋体" w:cs="宋体"/>
                <w:sz w:val="24"/>
                <w:shd w:val="clear" w:color="auto" w:fill="FFFFFF"/>
              </w:rPr>
            </w:pPr>
            <w:r>
              <w:rPr>
                <w:rFonts w:hint="eastAsia" w:ascii="宋体" w:hAnsi="宋体" w:cs="宋体"/>
                <w:sz w:val="24"/>
                <w:shd w:val="clear" w:color="auto" w:fill="FFFFFF"/>
              </w:rPr>
              <w:t>3.本项目的特定资格要求：</w:t>
            </w:r>
          </w:p>
          <w:p w14:paraId="023C3B4A">
            <w:pPr>
              <w:widowControl/>
              <w:spacing w:line="500" w:lineRule="exact"/>
              <w:jc w:val="left"/>
              <w:rPr>
                <w:rFonts w:hint="eastAsia" w:ascii="宋体" w:hAnsi="宋体" w:cs="宋体"/>
                <w:sz w:val="24"/>
                <w:shd w:val="clear" w:color="auto" w:fill="FFFFFF"/>
              </w:rPr>
            </w:pPr>
            <w:r>
              <w:rPr>
                <w:rFonts w:hint="eastAsia" w:ascii="宋体" w:hAnsi="宋体" w:cs="宋体"/>
                <w:sz w:val="24"/>
                <w:shd w:val="clear" w:color="auto" w:fill="FFFFFF"/>
              </w:rPr>
              <w:t>3.1 供应商须具有有效的营业执照，并具有实施完成本项目的经营实力和完善的售后服务体系；</w:t>
            </w:r>
          </w:p>
          <w:p w14:paraId="5BBB26C6">
            <w:pPr>
              <w:widowControl/>
              <w:spacing w:line="500" w:lineRule="exact"/>
              <w:rPr>
                <w:rFonts w:hint="eastAsia" w:ascii="宋体" w:hAnsi="宋体" w:cs="宋体"/>
                <w:sz w:val="24"/>
                <w:highlight w:val="red"/>
                <w:shd w:val="clear" w:color="auto" w:fill="FFFFFF"/>
              </w:rPr>
            </w:pPr>
            <w:r>
              <w:rPr>
                <w:rFonts w:hint="eastAsia" w:ascii="宋体" w:hAnsi="宋体" w:cs="宋体"/>
                <w:sz w:val="24"/>
                <w:shd w:val="clear" w:color="auto" w:fill="FFFFFF"/>
              </w:rPr>
              <w:t>3.2 信誉要求：</w:t>
            </w:r>
            <w:r>
              <w:rPr>
                <w:rFonts w:hint="eastAsia" w:ascii="宋体" w:hAnsi="宋体" w:cs="宋体"/>
                <w:sz w:val="24"/>
              </w:rPr>
              <w:t>按照《财政部关于在政府采购活动中查询及使用信用记录有关问题的通知》（财库〔2016〕125号）的要求，根据开标当日“信用中国”网站（www.creditchina.gov.cn）、中国政府采购网（www.ccgp.gov.cn）的信息，对列入重大税收违法失信主体、失信被执行人、政府采购严重违法失信行为记录名单的供应商，拒绝参与政府采购活动，同时对信用信息查询记录和证据进行打印存档。</w:t>
            </w:r>
            <w:r>
              <w:rPr>
                <w:rFonts w:hint="eastAsia" w:ascii="宋体" w:hAnsi="宋体" w:cs="宋体"/>
                <w:sz w:val="24"/>
                <w:shd w:val="clear" w:color="auto" w:fill="FFFFFF"/>
              </w:rPr>
              <w:t>(备注：信誉要求由采购代理机构开标当日提供查询结果)</w:t>
            </w:r>
          </w:p>
          <w:p w14:paraId="35CB702B">
            <w:pPr>
              <w:widowControl/>
              <w:spacing w:line="500" w:lineRule="exact"/>
              <w:jc w:val="left"/>
              <w:rPr>
                <w:rFonts w:hint="eastAsia" w:ascii="宋体" w:hAnsi="宋体" w:cs="宋体"/>
                <w:sz w:val="24"/>
                <w:shd w:val="clear" w:color="auto" w:fill="FFFFFF"/>
              </w:rPr>
            </w:pPr>
            <w:r>
              <w:rPr>
                <w:rFonts w:hint="eastAsia" w:ascii="宋体" w:hAnsi="宋体" w:cs="宋体"/>
                <w:sz w:val="24"/>
                <w:shd w:val="clear" w:color="auto" w:fill="FFFFFF"/>
              </w:rPr>
              <w:t>3.3 本项目不接受联合体投标；</w:t>
            </w:r>
          </w:p>
          <w:p w14:paraId="589B043A">
            <w:pPr>
              <w:widowControl/>
              <w:spacing w:line="500" w:lineRule="exact"/>
              <w:jc w:val="left"/>
              <w:rPr>
                <w:rFonts w:hint="eastAsia" w:asciiTheme="minorEastAsia" w:hAnsiTheme="minorEastAsia" w:eastAsiaTheme="minorEastAsia" w:cstheme="minorEastAsia"/>
                <w:sz w:val="24"/>
              </w:rPr>
            </w:pPr>
            <w:r>
              <w:rPr>
                <w:rFonts w:hint="eastAsia" w:ascii="宋体" w:hAnsi="宋体" w:cs="宋体"/>
                <w:sz w:val="24"/>
                <w:shd w:val="clear" w:color="auto" w:fill="FFFFFF"/>
              </w:rPr>
              <w:t>3.4 资格审查方式：资格后审。</w:t>
            </w:r>
          </w:p>
        </w:tc>
      </w:tr>
      <w:tr w14:paraId="2C71F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24627FBB">
            <w:pPr>
              <w:pStyle w:val="3"/>
              <w:spacing w:line="500" w:lineRule="exact"/>
              <w:jc w:val="cente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1.4.2</w:t>
            </w:r>
          </w:p>
        </w:tc>
        <w:tc>
          <w:tcPr>
            <w:tcW w:w="2206" w:type="dxa"/>
            <w:vAlign w:val="center"/>
          </w:tcPr>
          <w:p w14:paraId="71CAFCA0">
            <w:pPr>
              <w:pStyle w:val="3"/>
              <w:spacing w:line="500" w:lineRule="exact"/>
              <w:jc w:val="cente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是否接受联合体</w:t>
            </w:r>
          </w:p>
        </w:tc>
        <w:tc>
          <w:tcPr>
            <w:tcW w:w="6735" w:type="dxa"/>
            <w:vAlign w:val="center"/>
          </w:tcPr>
          <w:p w14:paraId="134A8236">
            <w:pPr>
              <w:pStyle w:val="3"/>
              <w:spacing w:line="500" w:lineRule="exact"/>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不接受</w:t>
            </w:r>
          </w:p>
        </w:tc>
      </w:tr>
      <w:tr w14:paraId="071FA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65" w:type="dxa"/>
            <w:vAlign w:val="center"/>
          </w:tcPr>
          <w:p w14:paraId="2C0F48D8">
            <w:pPr>
              <w:pStyle w:val="3"/>
              <w:spacing w:line="500" w:lineRule="exact"/>
              <w:jc w:val="cente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1.10.1</w:t>
            </w:r>
          </w:p>
        </w:tc>
        <w:tc>
          <w:tcPr>
            <w:tcW w:w="2206" w:type="dxa"/>
            <w:vAlign w:val="center"/>
          </w:tcPr>
          <w:p w14:paraId="616A4016">
            <w:pPr>
              <w:pStyle w:val="3"/>
              <w:spacing w:line="500" w:lineRule="exact"/>
              <w:jc w:val="cente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投标预备会</w:t>
            </w:r>
          </w:p>
        </w:tc>
        <w:tc>
          <w:tcPr>
            <w:tcW w:w="6735" w:type="dxa"/>
            <w:vAlign w:val="center"/>
          </w:tcPr>
          <w:p w14:paraId="44297FFB">
            <w:pPr>
              <w:pStyle w:val="3"/>
              <w:spacing w:line="500" w:lineRule="exact"/>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不召开</w:t>
            </w:r>
          </w:p>
        </w:tc>
      </w:tr>
      <w:tr w14:paraId="658DF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636D1DF4">
            <w:pPr>
              <w:pStyle w:val="3"/>
              <w:spacing w:line="500" w:lineRule="exact"/>
              <w:jc w:val="cente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1.10.2</w:t>
            </w:r>
          </w:p>
        </w:tc>
        <w:tc>
          <w:tcPr>
            <w:tcW w:w="2206" w:type="dxa"/>
            <w:vAlign w:val="center"/>
          </w:tcPr>
          <w:p w14:paraId="6C22F786">
            <w:pPr>
              <w:pStyle w:val="3"/>
              <w:spacing w:line="500" w:lineRule="exact"/>
              <w:jc w:val="cente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供应商提出问题的</w:t>
            </w:r>
          </w:p>
          <w:p w14:paraId="147EC060">
            <w:pPr>
              <w:pStyle w:val="3"/>
              <w:spacing w:line="500" w:lineRule="exact"/>
              <w:jc w:val="cente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截止时间</w:t>
            </w:r>
          </w:p>
        </w:tc>
        <w:tc>
          <w:tcPr>
            <w:tcW w:w="6735" w:type="dxa"/>
            <w:vAlign w:val="center"/>
          </w:tcPr>
          <w:p w14:paraId="5DA6DD8B">
            <w:pPr>
              <w:pStyle w:val="3"/>
              <w:spacing w:line="500" w:lineRule="exact"/>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若有疑问，应当在获取招标文件或者招标文件公告期限届满之日起七个工作日内，以书面形式向采购人、代理机构提出质疑。</w:t>
            </w:r>
          </w:p>
        </w:tc>
      </w:tr>
      <w:tr w14:paraId="47BF9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13A1010B">
            <w:pPr>
              <w:pStyle w:val="3"/>
              <w:spacing w:line="500" w:lineRule="exact"/>
              <w:jc w:val="cente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1.10.3</w:t>
            </w:r>
          </w:p>
        </w:tc>
        <w:tc>
          <w:tcPr>
            <w:tcW w:w="2206" w:type="dxa"/>
            <w:vAlign w:val="center"/>
          </w:tcPr>
          <w:p w14:paraId="22B1CED3">
            <w:pPr>
              <w:pStyle w:val="3"/>
              <w:spacing w:line="500" w:lineRule="exact"/>
              <w:jc w:val="cente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采购人说明澄清的时间</w:t>
            </w:r>
          </w:p>
        </w:tc>
        <w:tc>
          <w:tcPr>
            <w:tcW w:w="6735" w:type="dxa"/>
            <w:vAlign w:val="center"/>
          </w:tcPr>
          <w:p w14:paraId="1A58479A">
            <w:pPr>
              <w:pStyle w:val="3"/>
              <w:spacing w:line="500" w:lineRule="exact"/>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招标文件规定的投标截止时间15天前</w:t>
            </w:r>
          </w:p>
        </w:tc>
      </w:tr>
      <w:tr w14:paraId="6DA51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65" w:type="dxa"/>
            <w:vAlign w:val="center"/>
          </w:tcPr>
          <w:p w14:paraId="1BD125DD">
            <w:pPr>
              <w:pStyle w:val="3"/>
              <w:spacing w:line="500" w:lineRule="exact"/>
              <w:jc w:val="cente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1.11</w:t>
            </w:r>
          </w:p>
        </w:tc>
        <w:tc>
          <w:tcPr>
            <w:tcW w:w="2206" w:type="dxa"/>
            <w:vAlign w:val="center"/>
          </w:tcPr>
          <w:p w14:paraId="41A66168">
            <w:pPr>
              <w:pStyle w:val="3"/>
              <w:spacing w:line="500" w:lineRule="exact"/>
              <w:jc w:val="cente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分包</w:t>
            </w:r>
          </w:p>
        </w:tc>
        <w:tc>
          <w:tcPr>
            <w:tcW w:w="6735" w:type="dxa"/>
            <w:vAlign w:val="center"/>
          </w:tcPr>
          <w:p w14:paraId="26F3AF9F">
            <w:pPr>
              <w:pStyle w:val="3"/>
              <w:spacing w:line="500" w:lineRule="exact"/>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不允许</w:t>
            </w:r>
          </w:p>
        </w:tc>
      </w:tr>
      <w:tr w14:paraId="510D4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723A0456">
            <w:pPr>
              <w:pStyle w:val="3"/>
              <w:spacing w:line="500" w:lineRule="exact"/>
              <w:jc w:val="cente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2.2.1</w:t>
            </w:r>
          </w:p>
        </w:tc>
        <w:tc>
          <w:tcPr>
            <w:tcW w:w="2206" w:type="dxa"/>
            <w:vAlign w:val="center"/>
          </w:tcPr>
          <w:p w14:paraId="36C55AE4">
            <w:pPr>
              <w:pStyle w:val="3"/>
              <w:spacing w:line="500" w:lineRule="exact"/>
              <w:jc w:val="cente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供应商要求澄清招标文件的截止时间</w:t>
            </w:r>
          </w:p>
        </w:tc>
        <w:tc>
          <w:tcPr>
            <w:tcW w:w="6735" w:type="dxa"/>
            <w:vAlign w:val="center"/>
          </w:tcPr>
          <w:p w14:paraId="4C3CBC36">
            <w:pPr>
              <w:pStyle w:val="3"/>
              <w:spacing w:line="500" w:lineRule="exact"/>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若有疑问，应当在获取招标文件或者招标文件公告期限届满之日起七个工作日内，以书面形式向采购人、代理机构提出质疑。</w:t>
            </w:r>
          </w:p>
        </w:tc>
      </w:tr>
      <w:tr w14:paraId="087FF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65" w:type="dxa"/>
            <w:vAlign w:val="center"/>
          </w:tcPr>
          <w:p w14:paraId="054BD40C">
            <w:pPr>
              <w:pStyle w:val="3"/>
              <w:spacing w:line="500" w:lineRule="exact"/>
              <w:jc w:val="cente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2.2.2</w:t>
            </w:r>
          </w:p>
        </w:tc>
        <w:tc>
          <w:tcPr>
            <w:tcW w:w="2206" w:type="dxa"/>
            <w:vAlign w:val="center"/>
          </w:tcPr>
          <w:p w14:paraId="491293F2">
            <w:pPr>
              <w:pStyle w:val="3"/>
              <w:spacing w:line="500" w:lineRule="exact"/>
              <w:jc w:val="center"/>
              <w:rPr>
                <w:rFonts w:asciiTheme="minorEastAsia" w:hAnsiTheme="minorEastAsia" w:eastAsiaTheme="minorEastAsia" w:cstheme="minorEastAsia"/>
                <w:b/>
                <w:bCs/>
                <w:sz w:val="24"/>
                <w:szCs w:val="24"/>
              </w:rPr>
            </w:pPr>
            <w:r>
              <w:rPr>
                <w:rFonts w:asciiTheme="minorEastAsia" w:hAnsiTheme="minorEastAsia" w:eastAsiaTheme="minorEastAsia" w:cstheme="minorEastAsia"/>
                <w:sz w:val="24"/>
                <w:szCs w:val="24"/>
              </w:rPr>
              <w:t>投标截止时间</w:t>
            </w:r>
          </w:p>
        </w:tc>
        <w:tc>
          <w:tcPr>
            <w:tcW w:w="6735" w:type="dxa"/>
            <w:vAlign w:val="center"/>
          </w:tcPr>
          <w:p w14:paraId="68C27E9B">
            <w:pPr>
              <w:spacing w:line="500" w:lineRule="exact"/>
              <w:jc w:val="left"/>
              <w:rPr>
                <w:rFonts w:hint="eastAsia" w:asciiTheme="minorEastAsia" w:hAnsiTheme="minorEastAsia" w:eastAsiaTheme="minorEastAsia" w:cstheme="minorEastAsia"/>
                <w:b w:val="0"/>
                <w:bCs w:val="0"/>
                <w:sz w:val="24"/>
              </w:rPr>
            </w:pPr>
            <w:r>
              <w:rPr>
                <w:rFonts w:hint="eastAsia" w:ascii="宋体" w:hAnsi="宋体" w:cs="宋体"/>
                <w:b w:val="0"/>
                <w:bCs w:val="0"/>
                <w:kern w:val="0"/>
                <w:sz w:val="24"/>
              </w:rPr>
              <w:t>2025年</w:t>
            </w:r>
            <w:r>
              <w:rPr>
                <w:rFonts w:hint="eastAsia" w:ascii="宋体" w:hAnsi="宋体" w:cs="宋体"/>
                <w:b w:val="0"/>
                <w:bCs w:val="0"/>
                <w:kern w:val="0"/>
                <w:sz w:val="24"/>
                <w:lang w:val="en-US" w:eastAsia="zh-CN"/>
              </w:rPr>
              <w:t>10</w:t>
            </w:r>
            <w:r>
              <w:rPr>
                <w:rFonts w:hint="eastAsia" w:ascii="宋体" w:hAnsi="宋体" w:cs="宋体"/>
                <w:b w:val="0"/>
                <w:bCs w:val="0"/>
                <w:kern w:val="0"/>
                <w:sz w:val="24"/>
              </w:rPr>
              <w:t>月</w:t>
            </w:r>
            <w:r>
              <w:rPr>
                <w:rFonts w:hint="eastAsia" w:ascii="宋体" w:hAnsi="宋体" w:cs="宋体"/>
                <w:b w:val="0"/>
                <w:bCs w:val="0"/>
                <w:kern w:val="0"/>
                <w:sz w:val="24"/>
                <w:lang w:val="en-US" w:eastAsia="zh-CN"/>
              </w:rPr>
              <w:t>11</w:t>
            </w:r>
            <w:r>
              <w:rPr>
                <w:rFonts w:hint="eastAsia" w:ascii="宋体" w:hAnsi="宋体" w:cs="宋体"/>
                <w:b w:val="0"/>
                <w:bCs w:val="0"/>
                <w:kern w:val="0"/>
                <w:sz w:val="24"/>
              </w:rPr>
              <w:t>日上午9点00分（北京时间）</w:t>
            </w:r>
          </w:p>
        </w:tc>
      </w:tr>
      <w:tr w14:paraId="4A4E4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31025A60">
            <w:pPr>
              <w:spacing w:line="5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3.1.1</w:t>
            </w:r>
          </w:p>
        </w:tc>
        <w:tc>
          <w:tcPr>
            <w:tcW w:w="2206" w:type="dxa"/>
            <w:vAlign w:val="center"/>
          </w:tcPr>
          <w:p w14:paraId="4251EABE">
            <w:pPr>
              <w:spacing w:line="5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构成投标文件的</w:t>
            </w:r>
          </w:p>
          <w:p w14:paraId="5BA75B01">
            <w:pPr>
              <w:spacing w:line="5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其他材料</w:t>
            </w:r>
          </w:p>
        </w:tc>
        <w:tc>
          <w:tcPr>
            <w:tcW w:w="6735" w:type="dxa"/>
            <w:vAlign w:val="center"/>
          </w:tcPr>
          <w:p w14:paraId="3E5B295A">
            <w:pPr>
              <w:spacing w:line="5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招标文件中要求的其他资料。 </w:t>
            </w:r>
          </w:p>
        </w:tc>
      </w:tr>
      <w:tr w14:paraId="33946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65" w:type="dxa"/>
            <w:vAlign w:val="center"/>
          </w:tcPr>
          <w:p w14:paraId="37573C8B">
            <w:pPr>
              <w:pStyle w:val="3"/>
              <w:spacing w:line="500" w:lineRule="exact"/>
              <w:jc w:val="cente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3.3.1</w:t>
            </w:r>
          </w:p>
        </w:tc>
        <w:tc>
          <w:tcPr>
            <w:tcW w:w="2206" w:type="dxa"/>
            <w:vAlign w:val="center"/>
          </w:tcPr>
          <w:p w14:paraId="28BA7E62">
            <w:pPr>
              <w:pStyle w:val="3"/>
              <w:spacing w:line="500" w:lineRule="exact"/>
              <w:jc w:val="cente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投标有效期</w:t>
            </w:r>
          </w:p>
        </w:tc>
        <w:tc>
          <w:tcPr>
            <w:tcW w:w="6735" w:type="dxa"/>
            <w:vAlign w:val="center"/>
          </w:tcPr>
          <w:p w14:paraId="158F3FEF">
            <w:pPr>
              <w:pStyle w:val="3"/>
              <w:spacing w:line="500" w:lineRule="exact"/>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60日历天（从投标截止之日算起）</w:t>
            </w:r>
          </w:p>
        </w:tc>
      </w:tr>
      <w:tr w14:paraId="034B3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605FBA3A">
            <w:pPr>
              <w:pStyle w:val="3"/>
              <w:spacing w:line="500" w:lineRule="exact"/>
              <w:jc w:val="cente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3.6</w:t>
            </w:r>
          </w:p>
        </w:tc>
        <w:tc>
          <w:tcPr>
            <w:tcW w:w="2206" w:type="dxa"/>
            <w:vAlign w:val="center"/>
          </w:tcPr>
          <w:p w14:paraId="537836D5">
            <w:pPr>
              <w:pStyle w:val="3"/>
              <w:spacing w:line="500" w:lineRule="exact"/>
              <w:jc w:val="cente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是否允许递交备选</w:t>
            </w:r>
          </w:p>
          <w:p w14:paraId="45DC7B92">
            <w:pPr>
              <w:pStyle w:val="3"/>
              <w:spacing w:line="500" w:lineRule="exact"/>
              <w:jc w:val="cente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投标方案</w:t>
            </w:r>
          </w:p>
        </w:tc>
        <w:tc>
          <w:tcPr>
            <w:tcW w:w="6735" w:type="dxa"/>
            <w:vAlign w:val="center"/>
          </w:tcPr>
          <w:p w14:paraId="367D62FC">
            <w:pPr>
              <w:pStyle w:val="3"/>
              <w:spacing w:line="500" w:lineRule="exact"/>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不允许</w:t>
            </w:r>
          </w:p>
        </w:tc>
      </w:tr>
      <w:tr w14:paraId="0109F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shd w:val="clear" w:color="auto" w:fill="auto"/>
            <w:vAlign w:val="center"/>
          </w:tcPr>
          <w:p w14:paraId="7808BD97">
            <w:pPr>
              <w:spacing w:line="5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3.7.3</w:t>
            </w:r>
          </w:p>
        </w:tc>
        <w:tc>
          <w:tcPr>
            <w:tcW w:w="2206" w:type="dxa"/>
            <w:shd w:val="clear" w:color="auto" w:fill="auto"/>
            <w:vAlign w:val="center"/>
          </w:tcPr>
          <w:p w14:paraId="025E4259">
            <w:pPr>
              <w:spacing w:line="5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签字盖章要求</w:t>
            </w:r>
          </w:p>
        </w:tc>
        <w:tc>
          <w:tcPr>
            <w:tcW w:w="6735" w:type="dxa"/>
            <w:shd w:val="clear" w:color="auto" w:fill="auto"/>
            <w:vAlign w:val="center"/>
          </w:tcPr>
          <w:p w14:paraId="7523F784">
            <w:pPr>
              <w:pStyle w:val="3"/>
              <w:spacing w:line="500" w:lineRule="exact"/>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1、所有要求供应商加盖公章的地方都须加盖供应商单位的 CA 印章。</w:t>
            </w:r>
          </w:p>
          <w:p w14:paraId="7FDB8314">
            <w:pPr>
              <w:pStyle w:val="3"/>
              <w:spacing w:line="500" w:lineRule="exact"/>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2、要求法定代表人签字或盖章的，法定代表人在签字或盖章的地方上传手写签名的扫描件或加盖法定代表人CA印章。</w:t>
            </w:r>
          </w:p>
          <w:p w14:paraId="23409E6A">
            <w:pPr>
              <w:pStyle w:val="3"/>
              <w:spacing w:line="500" w:lineRule="exact"/>
              <w:rPr>
                <w:rFonts w:asciiTheme="minorEastAsia" w:hAnsiTheme="minorEastAsia" w:eastAsiaTheme="minorEastAsia" w:cstheme="minorEastAsia"/>
                <w:sz w:val="24"/>
                <w:szCs w:val="24"/>
                <w:highlight w:val="yellow"/>
              </w:rPr>
            </w:pPr>
            <w:r>
              <w:rPr>
                <w:rFonts w:asciiTheme="minorEastAsia" w:hAnsiTheme="minorEastAsia" w:eastAsiaTheme="minorEastAsia" w:cstheme="minorEastAsia"/>
                <w:sz w:val="24"/>
                <w:szCs w:val="24"/>
              </w:rPr>
              <w:t>3、要求委托代理人签字或盖章的，委托代理人在签字或盖章的地方上传手写签名的扫描件或加盖委托代理人CA印章。</w:t>
            </w:r>
          </w:p>
        </w:tc>
      </w:tr>
      <w:tr w14:paraId="2EED7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jc w:val="center"/>
        </w:trPr>
        <w:tc>
          <w:tcPr>
            <w:tcW w:w="965" w:type="dxa"/>
            <w:vAlign w:val="center"/>
          </w:tcPr>
          <w:p w14:paraId="7754015F">
            <w:pPr>
              <w:pStyle w:val="3"/>
              <w:spacing w:line="500" w:lineRule="exact"/>
              <w:jc w:val="cente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3.7.4</w:t>
            </w:r>
          </w:p>
        </w:tc>
        <w:tc>
          <w:tcPr>
            <w:tcW w:w="2206" w:type="dxa"/>
            <w:vAlign w:val="center"/>
          </w:tcPr>
          <w:p w14:paraId="6CC58B54">
            <w:pPr>
              <w:pStyle w:val="3"/>
              <w:spacing w:line="500" w:lineRule="exact"/>
              <w:jc w:val="cente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投标文件份数</w:t>
            </w:r>
          </w:p>
        </w:tc>
        <w:tc>
          <w:tcPr>
            <w:tcW w:w="6735" w:type="dxa"/>
            <w:vAlign w:val="center"/>
          </w:tcPr>
          <w:p w14:paraId="717EF798">
            <w:pPr>
              <w:pStyle w:val="3"/>
              <w:spacing w:line="500" w:lineRule="exact"/>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加密的电子投标文件壹份（.jztf 格式在会员系统指定位置上传）；自备非加密的电子投标文件一份，如有紧急情况，在不见面开标系统按要求上传。</w:t>
            </w:r>
          </w:p>
        </w:tc>
      </w:tr>
      <w:tr w14:paraId="2637C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3" w:hRule="atLeast"/>
          <w:jc w:val="center"/>
        </w:trPr>
        <w:tc>
          <w:tcPr>
            <w:tcW w:w="965" w:type="dxa"/>
            <w:vAlign w:val="center"/>
          </w:tcPr>
          <w:p w14:paraId="675E0A3D">
            <w:pPr>
              <w:pStyle w:val="3"/>
              <w:spacing w:line="500" w:lineRule="exact"/>
              <w:jc w:val="cente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4.2.2</w:t>
            </w:r>
          </w:p>
        </w:tc>
        <w:tc>
          <w:tcPr>
            <w:tcW w:w="2206" w:type="dxa"/>
            <w:vAlign w:val="center"/>
          </w:tcPr>
          <w:p w14:paraId="1DBBC072">
            <w:pPr>
              <w:pStyle w:val="3"/>
              <w:spacing w:line="500" w:lineRule="exact"/>
              <w:jc w:val="cente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递交投标文件方式和地点</w:t>
            </w:r>
          </w:p>
        </w:tc>
        <w:tc>
          <w:tcPr>
            <w:tcW w:w="6735" w:type="dxa"/>
            <w:vAlign w:val="center"/>
          </w:tcPr>
          <w:p w14:paraId="46D299AC">
            <w:pPr>
              <w:pStyle w:val="3"/>
              <w:spacing w:line="500" w:lineRule="exact"/>
              <w:rPr>
                <w:rFonts w:hAnsi="宋体"/>
                <w:sz w:val="24"/>
                <w:szCs w:val="24"/>
              </w:rPr>
            </w:pPr>
            <w:r>
              <w:rPr>
                <w:rFonts w:hAnsi="宋体"/>
                <w:sz w:val="24"/>
                <w:szCs w:val="24"/>
              </w:rPr>
              <w:t>本项目采用“远程不见面”开标方式，远程开标大厅网址为</w:t>
            </w:r>
          </w:p>
          <w:p w14:paraId="185E4789">
            <w:pPr>
              <w:pStyle w:val="3"/>
              <w:spacing w:line="500" w:lineRule="exact"/>
              <w:rPr>
                <w:rFonts w:hAnsi="宋体"/>
                <w:sz w:val="24"/>
                <w:szCs w:val="24"/>
              </w:rPr>
            </w:pPr>
            <w:r>
              <w:rPr>
                <w:rFonts w:hAnsi="宋体"/>
                <w:sz w:val="24"/>
                <w:szCs w:val="24"/>
              </w:rPr>
              <w:t xml:space="preserve">https://ggzy.jiaozuo.gov.cn/BidOpeningHall/bidhall/dqhnjz/login.html。投标人不需到开标现场参加开标会议，不需提交原件资料等。 </w:t>
            </w:r>
          </w:p>
          <w:p w14:paraId="73EB0365">
            <w:pPr>
              <w:pStyle w:val="3"/>
              <w:spacing w:line="500" w:lineRule="exact"/>
              <w:rPr>
                <w:rFonts w:hAnsi="宋体"/>
                <w:sz w:val="24"/>
                <w:szCs w:val="24"/>
              </w:rPr>
            </w:pPr>
            <w:r>
              <w:rPr>
                <w:rFonts w:hAnsi="宋体"/>
                <w:sz w:val="24"/>
                <w:szCs w:val="24"/>
              </w:rPr>
              <w:t>（1）电子投标文件的递交</w:t>
            </w:r>
          </w:p>
          <w:p w14:paraId="19EE357A">
            <w:pPr>
              <w:pStyle w:val="3"/>
              <w:spacing w:line="500" w:lineRule="exact"/>
              <w:rPr>
                <w:rFonts w:hAnsi="宋体"/>
                <w:sz w:val="24"/>
                <w:szCs w:val="24"/>
              </w:rPr>
            </w:pPr>
            <w:r>
              <w:rPr>
                <w:rFonts w:hAnsi="宋体"/>
                <w:sz w:val="24"/>
                <w:szCs w:val="24"/>
              </w:rPr>
              <w:t>a.各投标人应在投标截止时间前上传加密的电子投标文件</w:t>
            </w:r>
          </w:p>
          <w:p w14:paraId="62863F7E">
            <w:pPr>
              <w:pStyle w:val="3"/>
              <w:spacing w:line="500" w:lineRule="exact"/>
              <w:rPr>
                <w:rFonts w:hAnsi="宋体"/>
                <w:sz w:val="24"/>
                <w:szCs w:val="24"/>
              </w:rPr>
            </w:pPr>
            <w:r>
              <w:rPr>
                <w:rFonts w:hAnsi="宋体"/>
                <w:sz w:val="24"/>
                <w:szCs w:val="24"/>
              </w:rPr>
              <w:t>（.jztf 格式）到会员系统的指定位置。上传时必须得到电脑“上传成功”的确认回复。请投标人在上传时认真检查上传投标文件是否完整、正确。</w:t>
            </w:r>
          </w:p>
          <w:p w14:paraId="533EAB20">
            <w:pPr>
              <w:pStyle w:val="3"/>
              <w:spacing w:line="500" w:lineRule="exact"/>
              <w:rPr>
                <w:rFonts w:hint="default"/>
                <w:sz w:val="24"/>
                <w:szCs w:val="24"/>
              </w:rPr>
            </w:pPr>
            <w:r>
              <w:rPr>
                <w:rFonts w:hAnsi="宋体"/>
                <w:sz w:val="24"/>
                <w:szCs w:val="24"/>
              </w:rPr>
              <w:t>b.如系统故故障需上传非加密文件时，投标人应按照采购人指示将非加密文件递交给采购人。</w:t>
            </w:r>
          </w:p>
        </w:tc>
      </w:tr>
      <w:tr w14:paraId="513BB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65" w:type="dxa"/>
            <w:vAlign w:val="center"/>
          </w:tcPr>
          <w:p w14:paraId="452B12E2">
            <w:pPr>
              <w:pStyle w:val="3"/>
              <w:spacing w:line="500" w:lineRule="exact"/>
              <w:jc w:val="cente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4.2.3</w:t>
            </w:r>
          </w:p>
        </w:tc>
        <w:tc>
          <w:tcPr>
            <w:tcW w:w="2206" w:type="dxa"/>
            <w:vAlign w:val="center"/>
          </w:tcPr>
          <w:p w14:paraId="20804E88">
            <w:pPr>
              <w:pStyle w:val="3"/>
              <w:spacing w:line="500" w:lineRule="exact"/>
              <w:jc w:val="cente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是否退还投标文件</w:t>
            </w:r>
          </w:p>
        </w:tc>
        <w:tc>
          <w:tcPr>
            <w:tcW w:w="6735" w:type="dxa"/>
            <w:vAlign w:val="center"/>
          </w:tcPr>
          <w:p w14:paraId="7551767E">
            <w:pPr>
              <w:pStyle w:val="3"/>
              <w:spacing w:line="500" w:lineRule="exact"/>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否</w:t>
            </w:r>
          </w:p>
        </w:tc>
      </w:tr>
      <w:tr w14:paraId="733C2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7BEA6F72">
            <w:pPr>
              <w:pStyle w:val="3"/>
              <w:spacing w:line="500" w:lineRule="exact"/>
              <w:jc w:val="cente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5.1</w:t>
            </w:r>
          </w:p>
        </w:tc>
        <w:tc>
          <w:tcPr>
            <w:tcW w:w="2206" w:type="dxa"/>
            <w:vAlign w:val="center"/>
          </w:tcPr>
          <w:p w14:paraId="6BC25150">
            <w:pPr>
              <w:pStyle w:val="3"/>
              <w:spacing w:line="500" w:lineRule="exact"/>
              <w:jc w:val="cente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开标时间和地点</w:t>
            </w:r>
          </w:p>
        </w:tc>
        <w:tc>
          <w:tcPr>
            <w:tcW w:w="6735" w:type="dxa"/>
            <w:vAlign w:val="center"/>
          </w:tcPr>
          <w:p w14:paraId="18B64F4B">
            <w:pPr>
              <w:adjustRightInd w:val="0"/>
              <w:snapToGrid w:val="0"/>
              <w:spacing w:line="500" w:lineRule="exact"/>
              <w:rPr>
                <w:rFonts w:hint="eastAsia" w:ascii="宋体" w:hAnsi="宋体"/>
                <w:sz w:val="24"/>
              </w:rPr>
            </w:pPr>
            <w:r>
              <w:rPr>
                <w:rFonts w:hint="eastAsia" w:ascii="宋体" w:hAnsi="宋体"/>
                <w:sz w:val="24"/>
              </w:rPr>
              <w:t>开标时间：同投标截止时间。登录远程开标大厅，凭制作投标文件所用的企业 CA 密匙在线签到、解密文件等，解密时间为投标截止时后30分钟内。</w:t>
            </w:r>
          </w:p>
          <w:p w14:paraId="250CB302">
            <w:pPr>
              <w:spacing w:line="500" w:lineRule="exact"/>
              <w:ind w:left="700" w:hanging="700"/>
              <w:jc w:val="left"/>
              <w:rPr>
                <w:rFonts w:hint="eastAsia" w:asciiTheme="minorEastAsia" w:hAnsiTheme="minorEastAsia" w:eastAsiaTheme="minorEastAsia" w:cstheme="minorEastAsia"/>
                <w:sz w:val="24"/>
              </w:rPr>
            </w:pPr>
            <w:r>
              <w:rPr>
                <w:rFonts w:hint="eastAsia" w:ascii="宋体" w:hAnsi="宋体"/>
                <w:sz w:val="24"/>
              </w:rPr>
              <w:t>现场开标地点：博爱县公共资源交易中心二楼不见面开标二室</w:t>
            </w:r>
          </w:p>
        </w:tc>
      </w:tr>
      <w:tr w14:paraId="2207C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65" w:type="dxa"/>
            <w:vAlign w:val="center"/>
          </w:tcPr>
          <w:p w14:paraId="65C40FD2">
            <w:pPr>
              <w:spacing w:line="5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6.1.1</w:t>
            </w:r>
          </w:p>
        </w:tc>
        <w:tc>
          <w:tcPr>
            <w:tcW w:w="2206" w:type="dxa"/>
            <w:vAlign w:val="center"/>
          </w:tcPr>
          <w:p w14:paraId="2D9FDFA7">
            <w:pPr>
              <w:spacing w:line="5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评标委员会的组建</w:t>
            </w:r>
          </w:p>
        </w:tc>
        <w:tc>
          <w:tcPr>
            <w:tcW w:w="6735" w:type="dxa"/>
            <w:vAlign w:val="center"/>
          </w:tcPr>
          <w:p w14:paraId="6953E6E0">
            <w:pPr>
              <w:adjustRightInd w:val="0"/>
              <w:snapToGrid w:val="0"/>
              <w:spacing w:line="500" w:lineRule="exact"/>
              <w:rPr>
                <w:rFonts w:hint="eastAsia" w:ascii="宋体" w:hAnsi="宋体"/>
                <w:sz w:val="24"/>
                <w:highlight w:val="red"/>
                <w:u w:val="single"/>
              </w:rPr>
            </w:pPr>
            <w:r>
              <w:rPr>
                <w:rFonts w:hint="eastAsia" w:ascii="宋体" w:hAnsi="宋体"/>
                <w:sz w:val="24"/>
              </w:rPr>
              <w:t>评标委员会构成：由采购人代表1名和政府采购专家库中随机抽取的评审专家4名共5人组成。</w:t>
            </w:r>
            <w:r>
              <w:rPr>
                <w:rFonts w:hint="eastAsia" w:ascii="宋体" w:hAnsi="宋体"/>
                <w:b/>
                <w:bCs/>
                <w:sz w:val="24"/>
              </w:rPr>
              <w:t>注</w:t>
            </w:r>
            <w:r>
              <w:rPr>
                <w:rFonts w:hint="eastAsia" w:ascii="宋体" w:hAnsi="宋体"/>
                <w:sz w:val="24"/>
              </w:rPr>
              <w:t>：</w:t>
            </w:r>
            <w:r>
              <w:rPr>
                <w:rFonts w:hint="eastAsia" w:ascii="宋体" w:hAnsi="宋体"/>
                <w:b/>
                <w:bCs/>
                <w:sz w:val="24"/>
                <w:u w:val="single"/>
              </w:rPr>
              <w:t>根据《财政部令第87号》第四十五条规定，采购人代表不得担任评标委员会组长。</w:t>
            </w:r>
          </w:p>
          <w:p w14:paraId="52CD1E14">
            <w:pPr>
              <w:tabs>
                <w:tab w:val="left" w:pos="6090"/>
              </w:tabs>
              <w:spacing w:line="500" w:lineRule="exact"/>
              <w:jc w:val="left"/>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评审专家确定方式：在开标前从有关政府部门设立的评标专家中随机抽取确定。</w:t>
            </w:r>
          </w:p>
        </w:tc>
      </w:tr>
      <w:tr w14:paraId="1248E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1F1E5644">
            <w:pPr>
              <w:spacing w:line="5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7.1</w:t>
            </w:r>
          </w:p>
        </w:tc>
        <w:tc>
          <w:tcPr>
            <w:tcW w:w="2206" w:type="dxa"/>
            <w:vAlign w:val="center"/>
          </w:tcPr>
          <w:p w14:paraId="69E0356F">
            <w:pPr>
              <w:spacing w:line="5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是否授权评标委员会确定中标人</w:t>
            </w:r>
          </w:p>
        </w:tc>
        <w:tc>
          <w:tcPr>
            <w:tcW w:w="6735" w:type="dxa"/>
            <w:vAlign w:val="center"/>
          </w:tcPr>
          <w:p w14:paraId="596ECF25">
            <w:pPr>
              <w:spacing w:line="50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否，由评标委员会从认定的合理报价中，按得分由高到低的顺序，依次推荐3名中标候选人。</w:t>
            </w:r>
          </w:p>
          <w:p w14:paraId="0B0DA6E5">
            <w:pPr>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人应当确定排名第一的中标候选人为中标人。排名第一的中标候选人放弃中标、因不可抗力不能履行合同，或者被查实存在影响中标结果的违法行为等情形，不符合中标条件的，采购人可以按照评标委员会提出的中标候选人名单排序依次确定其他中标候选人为中标人。</w:t>
            </w:r>
          </w:p>
          <w:p w14:paraId="25C85A9D">
            <w:pPr>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非因不可抗力因素放弃中标的，或排名第一的中标候选人未按规定期限与采购人签订合同的，应赔偿采购人由此造成的损失，损失费的计算方法为该中标候选人的投标价与重新确定的中标人中标价的差额，将按相关规定予以处理。</w:t>
            </w:r>
          </w:p>
        </w:tc>
      </w:tr>
      <w:tr w14:paraId="0A17C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12E28C8D">
            <w:pPr>
              <w:pStyle w:val="3"/>
              <w:spacing w:line="500" w:lineRule="exact"/>
              <w:jc w:val="cente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7.3.1</w:t>
            </w:r>
          </w:p>
        </w:tc>
        <w:tc>
          <w:tcPr>
            <w:tcW w:w="2206" w:type="dxa"/>
            <w:vAlign w:val="center"/>
          </w:tcPr>
          <w:p w14:paraId="1836A670">
            <w:pPr>
              <w:spacing w:line="5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履约保证金</w:t>
            </w:r>
          </w:p>
        </w:tc>
        <w:tc>
          <w:tcPr>
            <w:tcW w:w="6735" w:type="dxa"/>
            <w:vAlign w:val="center"/>
          </w:tcPr>
          <w:p w14:paraId="039BC66C">
            <w:pPr>
              <w:spacing w:line="5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无</w:t>
            </w:r>
          </w:p>
        </w:tc>
      </w:tr>
      <w:tr w14:paraId="0B9FE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shd w:val="clear" w:color="auto" w:fill="auto"/>
            <w:vAlign w:val="center"/>
          </w:tcPr>
          <w:p w14:paraId="4CFC9B51">
            <w:pPr>
              <w:pStyle w:val="3"/>
              <w:spacing w:line="500" w:lineRule="exact"/>
              <w:jc w:val="cente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7.3.2</w:t>
            </w:r>
          </w:p>
        </w:tc>
        <w:tc>
          <w:tcPr>
            <w:tcW w:w="2206" w:type="dxa"/>
            <w:shd w:val="clear" w:color="auto" w:fill="auto"/>
            <w:vAlign w:val="center"/>
          </w:tcPr>
          <w:p w14:paraId="11DF5449">
            <w:pPr>
              <w:spacing w:line="5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投标保证金</w:t>
            </w:r>
          </w:p>
        </w:tc>
        <w:tc>
          <w:tcPr>
            <w:tcW w:w="6735" w:type="dxa"/>
            <w:shd w:val="clear" w:color="auto" w:fill="auto"/>
            <w:vAlign w:val="center"/>
          </w:tcPr>
          <w:p w14:paraId="3FB1308A">
            <w:pPr>
              <w:spacing w:line="5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无</w:t>
            </w:r>
          </w:p>
        </w:tc>
      </w:tr>
      <w:tr w14:paraId="58DE3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shd w:val="clear" w:color="auto" w:fill="auto"/>
            <w:vAlign w:val="center"/>
          </w:tcPr>
          <w:p w14:paraId="0CD4E3A5">
            <w:pPr>
              <w:pStyle w:val="3"/>
              <w:spacing w:line="50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7.3.3</w:t>
            </w:r>
          </w:p>
        </w:tc>
        <w:tc>
          <w:tcPr>
            <w:tcW w:w="2206" w:type="dxa"/>
            <w:shd w:val="clear" w:color="auto" w:fill="auto"/>
            <w:vAlign w:val="center"/>
          </w:tcPr>
          <w:p w14:paraId="580F5D24">
            <w:pPr>
              <w:spacing w:line="500" w:lineRule="exact"/>
              <w:jc w:val="center"/>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质量保证金</w:t>
            </w:r>
          </w:p>
        </w:tc>
        <w:tc>
          <w:tcPr>
            <w:tcW w:w="6735" w:type="dxa"/>
            <w:shd w:val="clear" w:color="auto" w:fill="auto"/>
            <w:vAlign w:val="center"/>
          </w:tcPr>
          <w:p w14:paraId="1A0B34B4">
            <w:pPr>
              <w:spacing w:line="500" w:lineRule="exac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无</w:t>
            </w:r>
          </w:p>
        </w:tc>
      </w:tr>
      <w:tr w14:paraId="420D7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65" w:type="dxa"/>
            <w:vAlign w:val="bottom"/>
          </w:tcPr>
          <w:p w14:paraId="10105EA1">
            <w:pPr>
              <w:spacing w:line="500" w:lineRule="exac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Cs/>
                <w:sz w:val="24"/>
              </w:rPr>
              <w:t>10</w:t>
            </w:r>
          </w:p>
        </w:tc>
        <w:tc>
          <w:tcPr>
            <w:tcW w:w="8941" w:type="dxa"/>
            <w:gridSpan w:val="2"/>
            <w:vAlign w:val="bottom"/>
          </w:tcPr>
          <w:p w14:paraId="5F0AF2B2">
            <w:pPr>
              <w:spacing w:line="500" w:lineRule="exac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需要补充的其他内容</w:t>
            </w:r>
          </w:p>
        </w:tc>
      </w:tr>
      <w:tr w14:paraId="22897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65" w:type="dxa"/>
            <w:vAlign w:val="center"/>
          </w:tcPr>
          <w:p w14:paraId="19990B6A">
            <w:pPr>
              <w:spacing w:line="5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10.1</w:t>
            </w:r>
          </w:p>
        </w:tc>
        <w:tc>
          <w:tcPr>
            <w:tcW w:w="2206" w:type="dxa"/>
            <w:vAlign w:val="center"/>
          </w:tcPr>
          <w:p w14:paraId="1F57B1C2">
            <w:pPr>
              <w:spacing w:line="5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预算金额（控制价）</w:t>
            </w:r>
          </w:p>
        </w:tc>
        <w:tc>
          <w:tcPr>
            <w:tcW w:w="6735" w:type="dxa"/>
            <w:vAlign w:val="bottom"/>
          </w:tcPr>
          <w:p w14:paraId="024B2790">
            <w:pPr>
              <w:spacing w:line="5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1.本项目预算金额为：</w:t>
            </w:r>
            <w:r>
              <w:rPr>
                <w:rFonts w:hint="eastAsia" w:asciiTheme="minorEastAsia" w:hAnsiTheme="minorEastAsia" w:eastAsiaTheme="minorEastAsia" w:cstheme="minorEastAsia"/>
                <w:sz w:val="24"/>
                <w:lang w:eastAsia="zh-CN"/>
              </w:rPr>
              <w:t>3626620.00</w:t>
            </w:r>
            <w:r>
              <w:rPr>
                <w:rFonts w:hint="eastAsia" w:asciiTheme="minorEastAsia" w:hAnsiTheme="minorEastAsia" w:eastAsiaTheme="minorEastAsia" w:cstheme="minorEastAsia"/>
                <w:sz w:val="24"/>
              </w:rPr>
              <w:t>元。</w:t>
            </w:r>
          </w:p>
          <w:p w14:paraId="183968C0">
            <w:pPr>
              <w:spacing w:line="5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2.控制价是采购人设置的最高限价，供应商的投标报价高于控制价的视为无效报价，其投标予以拒绝；</w:t>
            </w:r>
          </w:p>
          <w:p w14:paraId="6D745262">
            <w:pPr>
              <w:spacing w:line="5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3.当中标人的投标报价高于控制价的95%时，该中标人的中标价按控制价的95%执行。</w:t>
            </w:r>
          </w:p>
        </w:tc>
      </w:tr>
      <w:tr w14:paraId="3CB37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5" w:type="dxa"/>
            <w:vAlign w:val="center"/>
          </w:tcPr>
          <w:p w14:paraId="0EF8C6D3">
            <w:pPr>
              <w:spacing w:line="5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10.2</w:t>
            </w:r>
          </w:p>
        </w:tc>
        <w:tc>
          <w:tcPr>
            <w:tcW w:w="2206" w:type="dxa"/>
            <w:vAlign w:val="center"/>
          </w:tcPr>
          <w:p w14:paraId="78F04C57">
            <w:pPr>
              <w:spacing w:line="5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小型或微型企业（含监狱企业）</w:t>
            </w:r>
          </w:p>
        </w:tc>
        <w:tc>
          <w:tcPr>
            <w:tcW w:w="6735" w:type="dxa"/>
            <w:vAlign w:val="center"/>
          </w:tcPr>
          <w:p w14:paraId="35AD8E95">
            <w:pPr>
              <w:autoSpaceDE w:val="0"/>
              <w:autoSpaceDN w:val="0"/>
              <w:adjustRightInd w:val="0"/>
              <w:spacing w:line="500" w:lineRule="exact"/>
              <w:jc w:val="left"/>
              <w:rPr>
                <w:rFonts w:hint="eastAsia" w:ascii="宋体" w:hAnsi="宋体" w:cs="宋体"/>
                <w:kern w:val="0"/>
                <w:sz w:val="24"/>
              </w:rPr>
            </w:pPr>
            <w:r>
              <w:rPr>
                <w:rFonts w:hint="eastAsia" w:ascii="宋体" w:hAnsi="宋体" w:cs="宋体"/>
                <w:kern w:val="0"/>
                <w:sz w:val="24"/>
              </w:rPr>
              <w:t>1.对小型或微型企业投标的扶持：(如有）</w:t>
            </w:r>
          </w:p>
          <w:p w14:paraId="5E43B009">
            <w:pPr>
              <w:autoSpaceDE w:val="0"/>
              <w:autoSpaceDN w:val="0"/>
              <w:adjustRightInd w:val="0"/>
              <w:spacing w:line="500" w:lineRule="exact"/>
              <w:jc w:val="left"/>
              <w:rPr>
                <w:rFonts w:hint="eastAsia" w:ascii="宋体" w:hAnsi="宋体" w:cs="宋体"/>
                <w:kern w:val="0"/>
                <w:sz w:val="24"/>
              </w:rPr>
            </w:pPr>
            <w:r>
              <w:rPr>
                <w:rFonts w:hint="eastAsia" w:ascii="宋体" w:hAnsi="宋体" w:cs="宋体"/>
                <w:kern w:val="0"/>
                <w:sz w:val="24"/>
              </w:rPr>
              <w:t>1.1 投标供应商为小型或微型企业时，报价给予C1的价格扣除（C1的取值为20%），即：评标价＝投标报价（最后报价）×(1－C1）；</w:t>
            </w:r>
          </w:p>
          <w:p w14:paraId="65C5352A">
            <w:pPr>
              <w:autoSpaceDE w:val="0"/>
              <w:autoSpaceDN w:val="0"/>
              <w:adjustRightInd w:val="0"/>
              <w:spacing w:line="500" w:lineRule="exact"/>
              <w:jc w:val="left"/>
              <w:rPr>
                <w:rFonts w:hint="eastAsia" w:ascii="宋体" w:hAnsi="宋体" w:cs="宋体"/>
                <w:kern w:val="0"/>
                <w:sz w:val="24"/>
              </w:rPr>
            </w:pPr>
            <w:r>
              <w:rPr>
                <w:rFonts w:hint="eastAsia" w:ascii="宋体" w:hAnsi="宋体" w:cs="宋体"/>
                <w:kern w:val="0"/>
                <w:sz w:val="24"/>
              </w:rPr>
              <w:t>小微企业应当提供《中小企业声明函》（见格式）。</w:t>
            </w:r>
          </w:p>
          <w:p w14:paraId="59957BAD">
            <w:pPr>
              <w:autoSpaceDE w:val="0"/>
              <w:autoSpaceDN w:val="0"/>
              <w:adjustRightInd w:val="0"/>
              <w:spacing w:line="500" w:lineRule="exact"/>
              <w:jc w:val="left"/>
              <w:rPr>
                <w:rFonts w:hint="eastAsia" w:ascii="宋体" w:hAnsi="宋体" w:cs="宋体"/>
                <w:kern w:val="0"/>
                <w:sz w:val="24"/>
              </w:rPr>
            </w:pPr>
            <w:r>
              <w:rPr>
                <w:rFonts w:hint="eastAsia" w:ascii="宋体" w:hAnsi="宋体" w:cs="宋体"/>
                <w:kern w:val="0"/>
                <w:sz w:val="24"/>
              </w:rPr>
              <w:t>1.2 按照《政府采购促进中小企业发展管理办法》有关规定，中小企业的标准为：</w:t>
            </w:r>
          </w:p>
          <w:p w14:paraId="56B67982">
            <w:pPr>
              <w:autoSpaceDE w:val="0"/>
              <w:autoSpaceDN w:val="0"/>
              <w:adjustRightInd w:val="0"/>
              <w:spacing w:line="500" w:lineRule="exact"/>
              <w:jc w:val="left"/>
              <w:rPr>
                <w:rFonts w:hint="eastAsia" w:ascii="宋体" w:hAnsi="宋体" w:cs="宋体"/>
                <w:kern w:val="0"/>
                <w:sz w:val="24"/>
              </w:rPr>
            </w:pPr>
            <w:r>
              <w:rPr>
                <w:rFonts w:hint="eastAsia" w:ascii="宋体" w:hAnsi="宋体" w:cs="宋体"/>
                <w:kern w:val="0"/>
                <w:sz w:val="24"/>
              </w:rPr>
              <w:t>1.2.1 提供本企业制造的货物、承担的工程或者服务，或者提供其他中小企业制造的货物，不包括提供或使用大型企业注册商标的货物；</w:t>
            </w:r>
          </w:p>
          <w:p w14:paraId="31604C04">
            <w:pPr>
              <w:autoSpaceDE w:val="0"/>
              <w:autoSpaceDN w:val="0"/>
              <w:adjustRightInd w:val="0"/>
              <w:spacing w:line="500" w:lineRule="exact"/>
              <w:jc w:val="left"/>
              <w:rPr>
                <w:rFonts w:hint="eastAsia" w:ascii="宋体" w:hAnsi="宋体" w:cs="宋体"/>
                <w:kern w:val="0"/>
                <w:sz w:val="24"/>
              </w:rPr>
            </w:pPr>
            <w:r>
              <w:rPr>
                <w:rFonts w:hint="eastAsia" w:ascii="宋体" w:hAnsi="宋体" w:cs="宋体"/>
                <w:kern w:val="0"/>
                <w:sz w:val="24"/>
              </w:rPr>
              <w:t>1.2.2 本规定所称中小企业划分标准，是指国务院有关部门根据企业从业人员、营业收入、资产总额等指标制定的中小企业划型标准（工信部联企业[2011]300号）；</w:t>
            </w:r>
          </w:p>
          <w:p w14:paraId="5650FC7C">
            <w:pPr>
              <w:autoSpaceDE w:val="0"/>
              <w:autoSpaceDN w:val="0"/>
              <w:adjustRightInd w:val="0"/>
              <w:spacing w:line="500" w:lineRule="exact"/>
              <w:jc w:val="left"/>
              <w:rPr>
                <w:rFonts w:hint="eastAsia" w:ascii="宋体" w:hAnsi="宋体" w:cs="宋体"/>
                <w:kern w:val="0"/>
                <w:sz w:val="24"/>
              </w:rPr>
            </w:pPr>
            <w:r>
              <w:rPr>
                <w:rFonts w:hint="eastAsia" w:ascii="宋体" w:hAnsi="宋体" w:cs="宋体"/>
                <w:kern w:val="0"/>
                <w:sz w:val="24"/>
              </w:rPr>
              <w:t>1.2.3 小型、微型企业提供有中型企业制造的货物的，视同为中型企业；小型、微型、中型企业提供有大型企业制造的货物的，视同为大型企业。</w:t>
            </w:r>
          </w:p>
          <w:p w14:paraId="7BF30260">
            <w:pPr>
              <w:spacing w:line="500" w:lineRule="exact"/>
              <w:rPr>
                <w:rFonts w:hint="eastAsia" w:ascii="宋体" w:hAnsi="宋体" w:cs="宋体"/>
                <w:bCs/>
                <w:sz w:val="24"/>
              </w:rPr>
            </w:pPr>
            <w:r>
              <w:rPr>
                <w:rFonts w:hint="eastAsia" w:ascii="宋体" w:hAnsi="宋体" w:cs="宋体"/>
                <w:bCs/>
                <w:sz w:val="24"/>
              </w:rPr>
              <w:t>2.根据财政部司法部《关于政府采购支持监狱企业发展有关问题的通知》（财库〔2014〕68号）和财政部民政部中国残疾人联合会《关于促进残疾人就业政府采购政策的通知》（财库〔2017〕141号）规定，本项目对监狱企业、残疾人福利性企业作为投标人所提供的本企业生产的产品的价格给予20%的扣除。</w:t>
            </w:r>
          </w:p>
          <w:p w14:paraId="34AF1B35">
            <w:pPr>
              <w:spacing w:line="500" w:lineRule="exact"/>
              <w:ind w:firstLine="480" w:firstLineChars="200"/>
              <w:rPr>
                <w:rFonts w:hint="eastAsia" w:asciiTheme="minorEastAsia" w:hAnsiTheme="minorEastAsia" w:eastAsiaTheme="minorEastAsia" w:cstheme="minorEastAsia"/>
                <w:sz w:val="24"/>
              </w:rPr>
            </w:pPr>
            <w:r>
              <w:rPr>
                <w:rFonts w:hint="eastAsia" w:ascii="宋体" w:hAnsi="宋体" w:cs="宋体"/>
                <w:bCs/>
                <w:sz w:val="24"/>
              </w:rPr>
              <w:t>同一投标人，小微企业、监狱、残疾人福利性企业同一产品价格扣除优惠只享受一次，不得重复享受。</w:t>
            </w:r>
          </w:p>
        </w:tc>
      </w:tr>
      <w:tr w14:paraId="0FB1B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4CDB8E0D">
            <w:pPr>
              <w:spacing w:line="5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10.3</w:t>
            </w:r>
          </w:p>
        </w:tc>
        <w:tc>
          <w:tcPr>
            <w:tcW w:w="2206" w:type="dxa"/>
            <w:vAlign w:val="center"/>
          </w:tcPr>
          <w:p w14:paraId="1DE56BB5">
            <w:pPr>
              <w:spacing w:line="500" w:lineRule="exact"/>
              <w:jc w:val="center"/>
              <w:rPr>
                <w:rFonts w:hint="eastAsia" w:ascii="宋体" w:hAnsi="宋体" w:cs="宋体"/>
                <w:bCs/>
                <w:sz w:val="24"/>
              </w:rPr>
            </w:pPr>
            <w:r>
              <w:rPr>
                <w:rFonts w:hint="eastAsia" w:ascii="宋体" w:hAnsi="宋体" w:cs="宋体"/>
                <w:bCs/>
                <w:sz w:val="24"/>
              </w:rPr>
              <w:t>付款方式</w:t>
            </w:r>
          </w:p>
        </w:tc>
        <w:tc>
          <w:tcPr>
            <w:tcW w:w="6735" w:type="dxa"/>
            <w:vAlign w:val="center"/>
          </w:tcPr>
          <w:p w14:paraId="0561B036">
            <w:pPr>
              <w:spacing w:line="500" w:lineRule="exact"/>
              <w:rPr>
                <w:rFonts w:hint="eastAsia" w:ascii="宋体" w:hAnsi="宋体" w:cs="宋体"/>
                <w:bCs/>
                <w:sz w:val="24"/>
              </w:rPr>
            </w:pPr>
            <w:r>
              <w:rPr>
                <w:rFonts w:hint="eastAsia" w:ascii="宋体" w:hAnsi="宋体" w:cs="宋体"/>
                <w:bCs/>
                <w:sz w:val="24"/>
              </w:rPr>
              <w:t>自项目合同签订后支付合同价的30%作为预付款，供货安装调试完毕后（初验）支付合同价的30%，终验合格后支付合同价40%。</w:t>
            </w:r>
          </w:p>
        </w:tc>
      </w:tr>
      <w:tr w14:paraId="14023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65" w:type="dxa"/>
            <w:vAlign w:val="center"/>
          </w:tcPr>
          <w:p w14:paraId="2FB6E127">
            <w:pPr>
              <w:spacing w:line="5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10.4</w:t>
            </w:r>
          </w:p>
        </w:tc>
        <w:tc>
          <w:tcPr>
            <w:tcW w:w="2206" w:type="dxa"/>
            <w:vAlign w:val="center"/>
          </w:tcPr>
          <w:p w14:paraId="15E85948">
            <w:pPr>
              <w:spacing w:line="500" w:lineRule="exact"/>
              <w:jc w:val="center"/>
              <w:rPr>
                <w:rFonts w:hint="eastAsia" w:ascii="宋体" w:hAnsi="宋体" w:cs="宋体"/>
                <w:bCs/>
                <w:sz w:val="24"/>
              </w:rPr>
            </w:pPr>
            <w:r>
              <w:rPr>
                <w:rFonts w:hint="eastAsia" w:ascii="宋体" w:hAnsi="宋体" w:cs="宋体"/>
                <w:bCs/>
                <w:sz w:val="24"/>
              </w:rPr>
              <w:t>供货要求</w:t>
            </w:r>
          </w:p>
        </w:tc>
        <w:tc>
          <w:tcPr>
            <w:tcW w:w="6735" w:type="dxa"/>
            <w:vAlign w:val="center"/>
          </w:tcPr>
          <w:p w14:paraId="0DB5D6E8">
            <w:pPr>
              <w:spacing w:line="500" w:lineRule="exact"/>
              <w:rPr>
                <w:rFonts w:hint="eastAsia" w:ascii="宋体" w:hAnsi="宋体" w:cs="宋体"/>
                <w:bCs/>
                <w:sz w:val="24"/>
              </w:rPr>
            </w:pPr>
            <w:r>
              <w:rPr>
                <w:rFonts w:hint="eastAsia" w:ascii="宋体" w:hAnsi="宋体" w:cs="宋体"/>
                <w:bCs/>
                <w:sz w:val="24"/>
              </w:rPr>
              <w:t>若因中标人原因不能按期按质供货的，将扣除中标人1万元的违约金，同时每超过一天另扣除合同金额的千分之一。</w:t>
            </w:r>
          </w:p>
        </w:tc>
      </w:tr>
      <w:tr w14:paraId="003FD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5" w:type="dxa"/>
            <w:vAlign w:val="center"/>
          </w:tcPr>
          <w:p w14:paraId="34A41BD7">
            <w:pPr>
              <w:spacing w:line="5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10.5</w:t>
            </w:r>
          </w:p>
        </w:tc>
        <w:tc>
          <w:tcPr>
            <w:tcW w:w="2206" w:type="dxa"/>
            <w:vAlign w:val="center"/>
          </w:tcPr>
          <w:p w14:paraId="16CCC453">
            <w:pPr>
              <w:spacing w:line="5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招标代理服务费</w:t>
            </w:r>
          </w:p>
        </w:tc>
        <w:tc>
          <w:tcPr>
            <w:tcW w:w="6735" w:type="dxa"/>
            <w:vAlign w:val="center"/>
          </w:tcPr>
          <w:p w14:paraId="489466FD">
            <w:pPr>
              <w:spacing w:line="500" w:lineRule="exact"/>
              <w:rPr>
                <w:sz w:val="24"/>
              </w:rPr>
            </w:pPr>
            <w:r>
              <w:rPr>
                <w:rFonts w:hint="eastAsia" w:ascii="宋体" w:hAnsi="宋体" w:cs="宋体"/>
                <w:bCs/>
                <w:sz w:val="24"/>
              </w:rPr>
              <w:t>招标代理服务费参照豫招协[2023]002号《河南省招标代理服务收费指导意见》中的标准收取，由中标人支付。招标代理费由招标代理机构通知中标企业结清后，领取中标通知书。</w:t>
            </w:r>
          </w:p>
        </w:tc>
      </w:tr>
      <w:tr w14:paraId="04551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965" w:type="dxa"/>
            <w:vAlign w:val="center"/>
          </w:tcPr>
          <w:p w14:paraId="2B8102DF">
            <w:pPr>
              <w:spacing w:line="5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10.8</w:t>
            </w:r>
          </w:p>
        </w:tc>
        <w:tc>
          <w:tcPr>
            <w:tcW w:w="2206" w:type="dxa"/>
            <w:vAlign w:val="center"/>
          </w:tcPr>
          <w:p w14:paraId="0F57F351">
            <w:pPr>
              <w:adjustRightInd w:val="0"/>
              <w:snapToGrid w:val="0"/>
              <w:spacing w:line="500" w:lineRule="exact"/>
              <w:jc w:val="center"/>
              <w:rPr>
                <w:rFonts w:hint="eastAsia" w:ascii="宋体" w:hAnsi="宋体" w:cs="宋体"/>
                <w:bCs/>
                <w:sz w:val="24"/>
              </w:rPr>
            </w:pPr>
            <w:r>
              <w:rPr>
                <w:rFonts w:hint="eastAsia" w:ascii="宋体" w:hAnsi="宋体" w:cs="宋体"/>
                <w:bCs/>
                <w:sz w:val="24"/>
              </w:rPr>
              <w:t>认定为不响应招标文件的其它条件</w:t>
            </w:r>
          </w:p>
        </w:tc>
        <w:tc>
          <w:tcPr>
            <w:tcW w:w="6735" w:type="dxa"/>
            <w:vAlign w:val="center"/>
          </w:tcPr>
          <w:p w14:paraId="3C1E252C">
            <w:pPr>
              <w:pStyle w:val="7"/>
              <w:spacing w:line="500" w:lineRule="exact"/>
              <w:ind w:firstLine="0" w:firstLineChars="0"/>
              <w:rPr>
                <w:rFonts w:hint="eastAsia" w:ascii="宋体" w:hAnsi="宋体" w:cs="宋体"/>
                <w:bCs/>
                <w:sz w:val="24"/>
              </w:rPr>
            </w:pPr>
            <w:r>
              <w:rPr>
                <w:rFonts w:hint="eastAsia" w:ascii="宋体" w:hAnsi="宋体" w:cs="宋体"/>
                <w:bCs/>
                <w:sz w:val="24"/>
              </w:rPr>
              <w:t>1.未按招标文件明示的规定签字盖章的；</w:t>
            </w:r>
          </w:p>
          <w:p w14:paraId="6B84CC0B">
            <w:pPr>
              <w:pStyle w:val="7"/>
              <w:spacing w:line="500" w:lineRule="exact"/>
              <w:ind w:firstLine="0" w:firstLineChars="0"/>
              <w:rPr>
                <w:rFonts w:hint="eastAsia" w:ascii="宋体" w:hAnsi="宋体" w:cs="宋体"/>
                <w:bCs/>
                <w:sz w:val="24"/>
              </w:rPr>
            </w:pPr>
            <w:r>
              <w:rPr>
                <w:rFonts w:hint="eastAsia" w:ascii="宋体" w:hAnsi="宋体" w:cs="宋体"/>
                <w:bCs/>
                <w:sz w:val="24"/>
              </w:rPr>
              <w:t>2.投标文件的关键内容（供货及安装期、质量标准、品牌、型号等）未填写或填写字迹模糊、达不到采购要求的；</w:t>
            </w:r>
          </w:p>
          <w:p w14:paraId="6094B1A3">
            <w:pPr>
              <w:pStyle w:val="7"/>
              <w:spacing w:line="500" w:lineRule="exact"/>
              <w:ind w:firstLine="0" w:firstLineChars="0"/>
              <w:rPr>
                <w:rFonts w:hint="eastAsia" w:ascii="宋体" w:hAnsi="宋体" w:cs="宋体"/>
                <w:bCs/>
                <w:sz w:val="24"/>
              </w:rPr>
            </w:pPr>
            <w:r>
              <w:rPr>
                <w:rFonts w:hint="eastAsia" w:ascii="宋体" w:hAnsi="宋体" w:cs="宋体"/>
                <w:bCs/>
                <w:sz w:val="24"/>
              </w:rPr>
              <w:t>3.投标报价超出招标控制价的；</w:t>
            </w:r>
          </w:p>
          <w:p w14:paraId="436FACEE">
            <w:pPr>
              <w:pStyle w:val="7"/>
              <w:spacing w:line="500" w:lineRule="exact"/>
              <w:ind w:firstLine="0" w:firstLineChars="0"/>
              <w:rPr>
                <w:rFonts w:hint="eastAsia" w:ascii="宋体" w:hAnsi="宋体" w:cs="宋体"/>
                <w:bCs/>
                <w:sz w:val="24"/>
              </w:rPr>
            </w:pPr>
            <w:r>
              <w:rPr>
                <w:rFonts w:hint="eastAsia" w:ascii="宋体" w:hAnsi="宋体" w:cs="宋体"/>
                <w:bCs/>
                <w:sz w:val="24"/>
              </w:rPr>
              <w:t>4.供应商递交两份或多份内容不同的投标文件，或在一份投标文件中对同一招标项目有两个或多个报价，且未声明哪一个有效的；</w:t>
            </w:r>
          </w:p>
          <w:p w14:paraId="2E4A03D3">
            <w:pPr>
              <w:pStyle w:val="7"/>
              <w:spacing w:line="500" w:lineRule="exact"/>
              <w:ind w:firstLine="0" w:firstLineChars="0"/>
              <w:rPr>
                <w:rFonts w:hint="eastAsia" w:ascii="宋体" w:hAnsi="宋体" w:cs="宋体"/>
                <w:bCs/>
                <w:sz w:val="24"/>
              </w:rPr>
            </w:pPr>
            <w:r>
              <w:rPr>
                <w:rFonts w:hint="eastAsia" w:ascii="宋体" w:hAnsi="宋体" w:cs="宋体"/>
                <w:bCs/>
                <w:sz w:val="24"/>
              </w:rPr>
              <w:t>5.附有采购人不能接受的条件的；</w:t>
            </w:r>
          </w:p>
          <w:p w14:paraId="68817590">
            <w:pPr>
              <w:pStyle w:val="7"/>
              <w:spacing w:line="500" w:lineRule="exact"/>
              <w:ind w:firstLine="0" w:firstLineChars="0"/>
              <w:rPr>
                <w:rFonts w:hint="eastAsia" w:ascii="宋体" w:hAnsi="宋体" w:cs="宋体"/>
                <w:bCs/>
                <w:sz w:val="24"/>
              </w:rPr>
            </w:pPr>
            <w:r>
              <w:rPr>
                <w:rFonts w:hint="eastAsia" w:ascii="宋体" w:hAnsi="宋体" w:cs="宋体"/>
                <w:bCs/>
                <w:sz w:val="24"/>
              </w:rPr>
              <w:t>6.评标过程中，如因两个或两个以上投标人在同一台计算或同一个IP上传响应文件，而被不见面开标系统提示为“投标文件制作机器码一致”的，则视其投标无效。</w:t>
            </w:r>
          </w:p>
          <w:p w14:paraId="49881331">
            <w:pPr>
              <w:pStyle w:val="7"/>
              <w:spacing w:line="500" w:lineRule="exact"/>
              <w:ind w:firstLine="0" w:firstLineChars="0"/>
              <w:rPr>
                <w:rFonts w:hint="eastAsia" w:ascii="宋体" w:hAnsi="宋体" w:cs="宋体"/>
                <w:bCs/>
                <w:sz w:val="24"/>
              </w:rPr>
            </w:pPr>
            <w:r>
              <w:rPr>
                <w:rFonts w:hint="eastAsia" w:ascii="宋体" w:hAnsi="宋体" w:cs="宋体"/>
                <w:bCs/>
                <w:sz w:val="24"/>
              </w:rPr>
              <w:t>7.投标文件有明显不符合招标文件其它要求和有关法律法规的。</w:t>
            </w:r>
          </w:p>
        </w:tc>
      </w:tr>
      <w:tr w14:paraId="6E1BE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65" w:type="dxa"/>
            <w:vAlign w:val="center"/>
          </w:tcPr>
          <w:p w14:paraId="508512E7">
            <w:pPr>
              <w:spacing w:line="5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10.9</w:t>
            </w:r>
          </w:p>
        </w:tc>
        <w:tc>
          <w:tcPr>
            <w:tcW w:w="8941" w:type="dxa"/>
            <w:gridSpan w:val="2"/>
            <w:vAlign w:val="center"/>
          </w:tcPr>
          <w:p w14:paraId="1C3310E5">
            <w:pPr>
              <w:pStyle w:val="7"/>
              <w:tabs>
                <w:tab w:val="left" w:pos="1268"/>
              </w:tabs>
              <w:spacing w:line="500" w:lineRule="exact"/>
              <w:ind w:firstLine="0" w:firstLineChars="0"/>
              <w:rPr>
                <w:rFonts w:hint="eastAsia" w:ascii="宋体" w:hAnsi="宋体" w:cs="宋体"/>
                <w:bCs/>
                <w:sz w:val="24"/>
              </w:rPr>
            </w:pPr>
            <w:r>
              <w:rPr>
                <w:rFonts w:hint="eastAsia" w:asciiTheme="minorEastAsia" w:hAnsiTheme="minorEastAsia" w:eastAsiaTheme="minorEastAsia" w:cstheme="minorEastAsia"/>
                <w:sz w:val="24"/>
              </w:rPr>
              <w:t>本招标文件解释权归采购人</w:t>
            </w:r>
          </w:p>
        </w:tc>
      </w:tr>
      <w:tr w14:paraId="61A91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9906" w:type="dxa"/>
            <w:gridSpan w:val="3"/>
            <w:vAlign w:val="center"/>
          </w:tcPr>
          <w:p w14:paraId="3F7AB61C">
            <w:pPr>
              <w:pStyle w:val="7"/>
              <w:spacing w:line="500" w:lineRule="exact"/>
              <w:ind w:firstLine="480"/>
              <w:rPr>
                <w:rFonts w:hint="eastAsia" w:ascii="宋体" w:hAnsi="宋体" w:cs="宋体"/>
                <w:bCs/>
                <w:sz w:val="24"/>
              </w:rPr>
            </w:pPr>
            <w:r>
              <w:rPr>
                <w:rFonts w:hint="eastAsia" w:asciiTheme="minorEastAsia" w:hAnsiTheme="minorEastAsia" w:eastAsiaTheme="minorEastAsia" w:cstheme="minorEastAsia"/>
                <w:sz w:val="24"/>
              </w:rPr>
              <w:t>本项目采购货物在质保期内属于货物质量问题的，成交供应商应免费维修，不能维修的应及时更换新货物，供应商须针对质保期内的质量问题提供承诺函。</w:t>
            </w:r>
          </w:p>
        </w:tc>
      </w:tr>
    </w:tbl>
    <w:p w14:paraId="2FDA9C7D">
      <w:pPr>
        <w:pStyle w:val="5"/>
        <w:spacing w:before="120" w:after="120" w:line="500" w:lineRule="exact"/>
        <w:ind w:right="-1029" w:rightChars="-490" w:firstLine="482" w:firstLineChars="200"/>
        <w:jc w:val="both"/>
        <w:outlineLvl w:val="1"/>
        <w:rPr>
          <w:rFonts w:hint="eastAsia" w:ascii="宋体" w:hAnsi="宋体" w:eastAsia="宋体" w:cs="宋体"/>
          <w:sz w:val="24"/>
          <w:szCs w:val="24"/>
        </w:rPr>
      </w:pPr>
      <w:bookmarkStart w:id="12" w:name="_Toc23576"/>
      <w:bookmarkStart w:id="13" w:name="_Toc426369479"/>
      <w:bookmarkStart w:id="14" w:name="_Toc9048"/>
      <w:bookmarkStart w:id="15" w:name="_Toc403122491"/>
      <w:bookmarkStart w:id="16" w:name="_Toc15892"/>
      <w:bookmarkStart w:id="17" w:name="_Toc23082"/>
      <w:bookmarkStart w:id="18" w:name="_Toc426369491"/>
      <w:bookmarkStart w:id="19" w:name="_Toc403122503"/>
      <w:bookmarkStart w:id="20" w:name="_Toc26894"/>
      <w:r>
        <w:rPr>
          <w:rFonts w:hint="eastAsia" w:ascii="宋体" w:hAnsi="宋体" w:eastAsia="宋体" w:cs="宋体"/>
          <w:sz w:val="24"/>
          <w:szCs w:val="24"/>
        </w:rPr>
        <w:t>1. 总则</w:t>
      </w:r>
      <w:bookmarkEnd w:id="12"/>
      <w:bookmarkEnd w:id="13"/>
      <w:bookmarkEnd w:id="14"/>
      <w:bookmarkEnd w:id="15"/>
      <w:bookmarkEnd w:id="16"/>
      <w:bookmarkEnd w:id="17"/>
    </w:p>
    <w:p w14:paraId="70B24298">
      <w:pPr>
        <w:spacing w:line="500" w:lineRule="exact"/>
        <w:ind w:firstLine="482" w:firstLineChars="200"/>
        <w:rPr>
          <w:rFonts w:hint="eastAsia" w:ascii="宋体" w:hAnsi="宋体" w:cs="宋体"/>
          <w:b/>
          <w:bCs/>
          <w:sz w:val="24"/>
        </w:rPr>
      </w:pPr>
      <w:bookmarkStart w:id="21" w:name="_Toc403122492"/>
      <w:bookmarkStart w:id="22" w:name="_Toc426369480"/>
      <w:bookmarkStart w:id="23" w:name="_Toc274249575"/>
      <w:bookmarkStart w:id="24" w:name="_Toc279599771"/>
      <w:r>
        <w:rPr>
          <w:rFonts w:hint="eastAsia" w:ascii="宋体" w:hAnsi="宋体" w:cs="宋体"/>
          <w:b/>
          <w:bCs/>
          <w:sz w:val="24"/>
        </w:rPr>
        <w:t>1.1 项目概况</w:t>
      </w:r>
      <w:bookmarkEnd w:id="21"/>
      <w:bookmarkEnd w:id="22"/>
      <w:bookmarkEnd w:id="23"/>
      <w:bookmarkEnd w:id="24"/>
    </w:p>
    <w:p w14:paraId="01B1C399">
      <w:pPr>
        <w:spacing w:line="500" w:lineRule="exact"/>
        <w:ind w:firstLine="480" w:firstLineChars="200"/>
        <w:rPr>
          <w:rFonts w:hint="eastAsia" w:ascii="宋体" w:hAnsi="宋体" w:cs="宋体"/>
          <w:sz w:val="24"/>
        </w:rPr>
      </w:pPr>
      <w:r>
        <w:rPr>
          <w:rFonts w:hint="eastAsia" w:ascii="宋体" w:hAnsi="宋体" w:cs="宋体"/>
          <w:sz w:val="24"/>
        </w:rPr>
        <w:t>1.1.1 根据</w:t>
      </w:r>
      <w:r>
        <w:rPr>
          <w:rFonts w:hint="eastAsia" w:ascii="宋体" w:hAnsi="宋体" w:cs="宋体"/>
          <w:bCs/>
          <w:sz w:val="24"/>
        </w:rPr>
        <w:t>《中华人民共和国政府采购法》</w:t>
      </w:r>
      <w:r>
        <w:rPr>
          <w:rFonts w:hint="eastAsia" w:ascii="宋体" w:hAnsi="宋体" w:cs="宋体"/>
          <w:sz w:val="24"/>
        </w:rPr>
        <w:t xml:space="preserve">等有关法律、法规和规章的规定，本招标项目已具备招标条件，现对本招标项目进行公开招标。 </w:t>
      </w:r>
    </w:p>
    <w:p w14:paraId="1BA97A29">
      <w:pPr>
        <w:spacing w:line="500" w:lineRule="exact"/>
        <w:ind w:firstLine="480" w:firstLineChars="200"/>
        <w:rPr>
          <w:rFonts w:hint="eastAsia" w:ascii="宋体" w:hAnsi="宋体" w:cs="宋体"/>
          <w:sz w:val="24"/>
        </w:rPr>
      </w:pPr>
      <w:r>
        <w:rPr>
          <w:rFonts w:hint="eastAsia" w:ascii="宋体" w:hAnsi="宋体" w:cs="宋体"/>
          <w:sz w:val="24"/>
        </w:rPr>
        <w:t xml:space="preserve">1.1.2  本招标项目采购人：见供应商须知前附表。 </w:t>
      </w:r>
    </w:p>
    <w:p w14:paraId="4FC02580">
      <w:pPr>
        <w:spacing w:line="500" w:lineRule="exact"/>
        <w:ind w:firstLine="480" w:firstLineChars="200"/>
        <w:rPr>
          <w:rFonts w:hint="eastAsia" w:ascii="宋体" w:hAnsi="宋体" w:cs="宋体"/>
          <w:sz w:val="24"/>
        </w:rPr>
      </w:pPr>
      <w:r>
        <w:rPr>
          <w:rFonts w:hint="eastAsia" w:ascii="宋体" w:hAnsi="宋体" w:cs="宋体"/>
          <w:sz w:val="24"/>
        </w:rPr>
        <w:t xml:space="preserve">1.1.3  本招标项目采购代理机构：见供应商须知前附表。 </w:t>
      </w:r>
    </w:p>
    <w:p w14:paraId="196B8F98">
      <w:pPr>
        <w:spacing w:line="500" w:lineRule="exact"/>
        <w:ind w:firstLine="480" w:firstLineChars="200"/>
        <w:rPr>
          <w:rFonts w:hint="eastAsia" w:ascii="宋体" w:hAnsi="宋体" w:cs="宋体"/>
          <w:sz w:val="24"/>
        </w:rPr>
      </w:pPr>
      <w:r>
        <w:rPr>
          <w:rFonts w:hint="eastAsia" w:ascii="宋体" w:hAnsi="宋体" w:cs="宋体"/>
          <w:sz w:val="24"/>
        </w:rPr>
        <w:t xml:space="preserve">1.1.4  本招标项目名称：见供应商须知前附表。 </w:t>
      </w:r>
    </w:p>
    <w:p w14:paraId="4E7089DE">
      <w:pPr>
        <w:spacing w:line="500" w:lineRule="exact"/>
        <w:ind w:firstLine="482" w:firstLineChars="200"/>
        <w:rPr>
          <w:rFonts w:hint="eastAsia" w:ascii="宋体" w:hAnsi="宋体" w:cs="宋体"/>
          <w:b/>
          <w:bCs/>
          <w:sz w:val="24"/>
        </w:rPr>
      </w:pPr>
      <w:bookmarkStart w:id="25" w:name="_Toc279599772"/>
      <w:bookmarkStart w:id="26" w:name="_Toc426369481"/>
      <w:bookmarkStart w:id="27" w:name="_Toc403122493"/>
      <w:bookmarkStart w:id="28" w:name="_Toc274249576"/>
      <w:r>
        <w:rPr>
          <w:rFonts w:hint="eastAsia" w:ascii="宋体" w:hAnsi="宋体" w:cs="宋体"/>
          <w:b/>
          <w:bCs/>
          <w:sz w:val="24"/>
        </w:rPr>
        <w:t>1.2 资金来源和落实情况</w:t>
      </w:r>
      <w:bookmarkEnd w:id="25"/>
      <w:bookmarkEnd w:id="26"/>
      <w:bookmarkEnd w:id="27"/>
      <w:bookmarkEnd w:id="28"/>
    </w:p>
    <w:p w14:paraId="4E65E6B5">
      <w:pPr>
        <w:spacing w:line="500" w:lineRule="exact"/>
        <w:ind w:firstLine="480" w:firstLineChars="200"/>
        <w:rPr>
          <w:rFonts w:hint="eastAsia" w:ascii="宋体" w:hAnsi="宋体" w:cs="宋体"/>
          <w:sz w:val="24"/>
        </w:rPr>
      </w:pPr>
      <w:r>
        <w:rPr>
          <w:rFonts w:hint="eastAsia" w:ascii="宋体" w:hAnsi="宋体" w:cs="宋体"/>
          <w:sz w:val="24"/>
        </w:rPr>
        <w:t xml:space="preserve">1.2.1  本招标项目的资金来源：见供应商须知前附表。 </w:t>
      </w:r>
    </w:p>
    <w:p w14:paraId="36509E86">
      <w:pPr>
        <w:spacing w:line="500" w:lineRule="exact"/>
        <w:ind w:firstLine="480" w:firstLineChars="200"/>
        <w:rPr>
          <w:rFonts w:hint="eastAsia" w:ascii="宋体" w:hAnsi="宋体" w:cs="宋体"/>
          <w:sz w:val="24"/>
        </w:rPr>
      </w:pPr>
      <w:r>
        <w:rPr>
          <w:rFonts w:hint="eastAsia" w:ascii="宋体" w:hAnsi="宋体" w:cs="宋体"/>
          <w:sz w:val="24"/>
        </w:rPr>
        <w:t xml:space="preserve">1.2.2  本招标项目的资金落实情况：见供应商须知前附表。 </w:t>
      </w:r>
    </w:p>
    <w:p w14:paraId="4DDE3C51">
      <w:pPr>
        <w:spacing w:line="500" w:lineRule="exact"/>
        <w:ind w:firstLine="482" w:firstLineChars="200"/>
        <w:rPr>
          <w:rFonts w:hint="eastAsia" w:ascii="宋体" w:hAnsi="宋体" w:cs="宋体"/>
          <w:b/>
          <w:bCs/>
          <w:sz w:val="24"/>
        </w:rPr>
      </w:pPr>
      <w:bookmarkStart w:id="29" w:name="_Toc426369482"/>
      <w:bookmarkStart w:id="30" w:name="_Toc279599773"/>
      <w:bookmarkStart w:id="31" w:name="_Toc403122494"/>
      <w:bookmarkStart w:id="32" w:name="_Toc274249577"/>
      <w:r>
        <w:rPr>
          <w:rFonts w:hint="eastAsia" w:ascii="宋体" w:hAnsi="宋体" w:cs="宋体"/>
          <w:b/>
          <w:bCs/>
          <w:sz w:val="24"/>
        </w:rPr>
        <w:t>1.3 采购内容、合同履行期限和质量</w:t>
      </w:r>
      <w:bookmarkEnd w:id="29"/>
      <w:bookmarkEnd w:id="30"/>
      <w:bookmarkEnd w:id="31"/>
      <w:bookmarkEnd w:id="32"/>
      <w:r>
        <w:rPr>
          <w:rFonts w:hint="eastAsia" w:ascii="宋体" w:hAnsi="宋体" w:cs="宋体"/>
          <w:b/>
          <w:bCs/>
          <w:sz w:val="24"/>
        </w:rPr>
        <w:t>标准</w:t>
      </w:r>
    </w:p>
    <w:p w14:paraId="61BCCDC2">
      <w:pPr>
        <w:spacing w:line="500" w:lineRule="exact"/>
        <w:ind w:firstLine="480" w:firstLineChars="200"/>
        <w:rPr>
          <w:rFonts w:hint="eastAsia" w:ascii="宋体" w:hAnsi="宋体" w:cs="宋体"/>
          <w:sz w:val="24"/>
        </w:rPr>
      </w:pPr>
      <w:r>
        <w:rPr>
          <w:rFonts w:hint="eastAsia" w:ascii="宋体" w:hAnsi="宋体" w:cs="宋体"/>
          <w:sz w:val="24"/>
        </w:rPr>
        <w:t xml:space="preserve">1.3.1  本次招标采购内容：见供应商须知前附表。 </w:t>
      </w:r>
    </w:p>
    <w:p w14:paraId="232E7F9E">
      <w:pPr>
        <w:spacing w:line="500" w:lineRule="exact"/>
        <w:ind w:firstLine="480" w:firstLineChars="200"/>
        <w:rPr>
          <w:rFonts w:hint="eastAsia" w:ascii="宋体" w:hAnsi="宋体" w:cs="宋体"/>
          <w:sz w:val="24"/>
        </w:rPr>
      </w:pPr>
      <w:r>
        <w:rPr>
          <w:rFonts w:hint="eastAsia" w:ascii="宋体" w:hAnsi="宋体" w:cs="宋体"/>
          <w:sz w:val="24"/>
        </w:rPr>
        <w:t xml:space="preserve">1.3.2  本次招标的合同履行期限（供货及安装期）：见供应商须知前附表。 </w:t>
      </w:r>
    </w:p>
    <w:p w14:paraId="49E298B4">
      <w:pPr>
        <w:tabs>
          <w:tab w:val="right" w:pos="9040"/>
        </w:tabs>
        <w:spacing w:line="500" w:lineRule="exact"/>
        <w:ind w:firstLine="480" w:firstLineChars="200"/>
        <w:rPr>
          <w:rFonts w:hint="eastAsia" w:ascii="宋体" w:hAnsi="宋体" w:cs="宋体"/>
          <w:sz w:val="24"/>
        </w:rPr>
      </w:pPr>
      <w:r>
        <w:rPr>
          <w:rFonts w:hint="eastAsia" w:ascii="宋体" w:hAnsi="宋体" w:cs="宋体"/>
          <w:sz w:val="24"/>
        </w:rPr>
        <w:t xml:space="preserve">1.3.3  本次招标的质量要求：见供应商须知前附表。 </w:t>
      </w:r>
    </w:p>
    <w:p w14:paraId="15091619">
      <w:pPr>
        <w:tabs>
          <w:tab w:val="right" w:pos="9040"/>
        </w:tabs>
        <w:spacing w:line="500" w:lineRule="exact"/>
        <w:ind w:firstLine="480" w:firstLineChars="200"/>
        <w:rPr>
          <w:rFonts w:hint="eastAsia" w:ascii="宋体" w:hAnsi="宋体" w:cs="宋体"/>
          <w:sz w:val="24"/>
        </w:rPr>
      </w:pPr>
      <w:r>
        <w:rPr>
          <w:rFonts w:hint="eastAsia" w:ascii="宋体" w:hAnsi="宋体" w:cs="宋体"/>
          <w:sz w:val="24"/>
        </w:rPr>
        <w:t xml:space="preserve">1.3.4  本次招标的质保期要求：见供应商须知前附表。 </w:t>
      </w:r>
      <w:r>
        <w:rPr>
          <w:rFonts w:hint="eastAsia" w:ascii="宋体" w:hAnsi="宋体" w:cs="宋体"/>
          <w:sz w:val="24"/>
        </w:rPr>
        <w:tab/>
      </w:r>
    </w:p>
    <w:p w14:paraId="18A1755B">
      <w:pPr>
        <w:spacing w:line="500" w:lineRule="exact"/>
        <w:ind w:firstLine="482" w:firstLineChars="200"/>
        <w:rPr>
          <w:rFonts w:hint="eastAsia" w:ascii="宋体" w:hAnsi="宋体" w:cs="宋体"/>
          <w:b/>
          <w:bCs/>
          <w:sz w:val="24"/>
        </w:rPr>
      </w:pPr>
      <w:bookmarkStart w:id="33" w:name="_Toc403122495"/>
      <w:bookmarkStart w:id="34" w:name="_Toc274249578"/>
      <w:bookmarkStart w:id="35" w:name="_Toc426369483"/>
      <w:bookmarkStart w:id="36" w:name="_Toc279599774"/>
      <w:r>
        <w:rPr>
          <w:rFonts w:hint="eastAsia" w:ascii="宋体" w:hAnsi="宋体" w:cs="宋体"/>
          <w:b/>
          <w:bCs/>
          <w:sz w:val="24"/>
        </w:rPr>
        <w:t>1.4 供应商资格要求</w:t>
      </w:r>
      <w:bookmarkEnd w:id="33"/>
      <w:bookmarkEnd w:id="34"/>
      <w:bookmarkEnd w:id="35"/>
      <w:bookmarkEnd w:id="36"/>
    </w:p>
    <w:p w14:paraId="051FE759">
      <w:pPr>
        <w:spacing w:line="500" w:lineRule="exact"/>
        <w:ind w:firstLine="480" w:firstLineChars="200"/>
        <w:rPr>
          <w:rFonts w:hint="eastAsia" w:ascii="宋体" w:hAnsi="宋体" w:cs="宋体"/>
          <w:sz w:val="24"/>
        </w:rPr>
      </w:pPr>
      <w:r>
        <w:rPr>
          <w:rFonts w:hint="eastAsia" w:ascii="宋体" w:hAnsi="宋体" w:cs="宋体"/>
          <w:sz w:val="24"/>
        </w:rPr>
        <w:t xml:space="preserve">1.4.1 供应商应具备承担本招标项目的资质条件。 </w:t>
      </w:r>
    </w:p>
    <w:p w14:paraId="33FAF928">
      <w:pPr>
        <w:spacing w:line="500" w:lineRule="exact"/>
        <w:ind w:firstLine="480" w:firstLineChars="200"/>
        <w:rPr>
          <w:rFonts w:hint="eastAsia" w:ascii="宋体" w:hAnsi="宋体" w:cs="宋体"/>
          <w:sz w:val="24"/>
        </w:rPr>
      </w:pPr>
      <w:r>
        <w:rPr>
          <w:rFonts w:hint="eastAsia" w:ascii="宋体" w:hAnsi="宋体" w:cs="宋体"/>
          <w:sz w:val="24"/>
        </w:rPr>
        <w:t xml:space="preserve">（1）供应商资质条件：见供应商须知前附表； </w:t>
      </w:r>
    </w:p>
    <w:p w14:paraId="3E35335F">
      <w:pPr>
        <w:spacing w:line="500" w:lineRule="exact"/>
        <w:ind w:firstLine="480" w:firstLineChars="200"/>
        <w:rPr>
          <w:rFonts w:hint="eastAsia" w:ascii="宋体" w:hAnsi="宋体" w:cs="宋体"/>
          <w:sz w:val="24"/>
        </w:rPr>
      </w:pPr>
      <w:bookmarkStart w:id="37" w:name="_Toc403122496"/>
      <w:bookmarkStart w:id="38" w:name="_Toc279599775"/>
      <w:bookmarkStart w:id="39" w:name="_Toc274249579"/>
      <w:r>
        <w:rPr>
          <w:rFonts w:hint="eastAsia" w:ascii="宋体" w:hAnsi="宋体" w:cs="宋体"/>
          <w:sz w:val="24"/>
        </w:rPr>
        <w:t>1.4.2 本次招标不接受联合体投标。</w:t>
      </w:r>
    </w:p>
    <w:p w14:paraId="1A009410">
      <w:pPr>
        <w:spacing w:line="500" w:lineRule="exact"/>
        <w:ind w:firstLine="482" w:firstLineChars="200"/>
        <w:rPr>
          <w:rFonts w:hint="eastAsia" w:ascii="宋体" w:hAnsi="宋体" w:cs="宋体"/>
          <w:b/>
          <w:bCs/>
          <w:sz w:val="24"/>
        </w:rPr>
      </w:pPr>
      <w:bookmarkStart w:id="40" w:name="_Toc426369484"/>
      <w:r>
        <w:rPr>
          <w:rFonts w:hint="eastAsia" w:ascii="宋体" w:hAnsi="宋体" w:cs="宋体"/>
          <w:b/>
          <w:bCs/>
          <w:sz w:val="24"/>
        </w:rPr>
        <w:t>1.5 费用承担</w:t>
      </w:r>
      <w:bookmarkEnd w:id="37"/>
      <w:bookmarkEnd w:id="38"/>
      <w:bookmarkEnd w:id="39"/>
      <w:bookmarkEnd w:id="40"/>
    </w:p>
    <w:p w14:paraId="233CE768">
      <w:pPr>
        <w:spacing w:line="500" w:lineRule="exact"/>
        <w:ind w:firstLine="480" w:firstLineChars="200"/>
        <w:rPr>
          <w:rFonts w:hint="eastAsia" w:ascii="宋体" w:hAnsi="宋体" w:cs="宋体"/>
          <w:sz w:val="24"/>
        </w:rPr>
      </w:pPr>
      <w:r>
        <w:rPr>
          <w:rFonts w:hint="eastAsia" w:ascii="宋体" w:hAnsi="宋体" w:cs="宋体"/>
          <w:sz w:val="24"/>
        </w:rPr>
        <w:t xml:space="preserve">供应商准备和参加投标活动发生的费用自理。 </w:t>
      </w:r>
    </w:p>
    <w:p w14:paraId="72864018">
      <w:pPr>
        <w:spacing w:line="500" w:lineRule="exact"/>
        <w:ind w:firstLine="482" w:firstLineChars="200"/>
        <w:rPr>
          <w:rFonts w:hint="eastAsia" w:ascii="宋体" w:hAnsi="宋体" w:cs="宋体"/>
          <w:b/>
          <w:bCs/>
          <w:sz w:val="24"/>
        </w:rPr>
      </w:pPr>
      <w:bookmarkStart w:id="41" w:name="_Toc426369485"/>
      <w:bookmarkStart w:id="42" w:name="_Toc403122497"/>
      <w:r>
        <w:rPr>
          <w:rFonts w:hint="eastAsia" w:ascii="宋体" w:hAnsi="宋体" w:cs="宋体"/>
          <w:b/>
          <w:bCs/>
          <w:sz w:val="24"/>
        </w:rPr>
        <w:t>1.6 保密</w:t>
      </w:r>
      <w:bookmarkEnd w:id="41"/>
      <w:bookmarkEnd w:id="42"/>
    </w:p>
    <w:p w14:paraId="2355C538">
      <w:pPr>
        <w:spacing w:line="500" w:lineRule="exact"/>
        <w:ind w:firstLine="480" w:firstLineChars="200"/>
        <w:rPr>
          <w:rFonts w:hint="eastAsia" w:ascii="宋体" w:hAnsi="宋体" w:cs="宋体"/>
          <w:sz w:val="24"/>
        </w:rPr>
      </w:pPr>
      <w:r>
        <w:rPr>
          <w:rFonts w:hint="eastAsia" w:ascii="宋体" w:hAnsi="宋体" w:cs="宋体"/>
          <w:sz w:val="24"/>
        </w:rPr>
        <w:t>参与招标投标活动的各方应对招标文件和投标文件中的商业和技术等秘密保密，违者应对由此造成的后果承担法律责任。</w:t>
      </w:r>
    </w:p>
    <w:p w14:paraId="2C7BA96C">
      <w:pPr>
        <w:spacing w:line="500" w:lineRule="exact"/>
        <w:ind w:firstLine="482" w:firstLineChars="200"/>
        <w:rPr>
          <w:rFonts w:hint="eastAsia" w:ascii="宋体" w:hAnsi="宋体" w:cs="宋体"/>
          <w:b/>
          <w:bCs/>
          <w:sz w:val="24"/>
        </w:rPr>
      </w:pPr>
      <w:bookmarkStart w:id="43" w:name="_Toc426369486"/>
      <w:bookmarkStart w:id="44" w:name="_Toc279599777"/>
      <w:bookmarkStart w:id="45" w:name="_Toc403122498"/>
      <w:bookmarkStart w:id="46" w:name="_Toc274249581"/>
      <w:r>
        <w:rPr>
          <w:rFonts w:hint="eastAsia" w:ascii="宋体" w:hAnsi="宋体" w:cs="宋体"/>
          <w:b/>
          <w:bCs/>
          <w:sz w:val="24"/>
        </w:rPr>
        <w:t>1.7 语言文字</w:t>
      </w:r>
      <w:bookmarkEnd w:id="43"/>
      <w:bookmarkEnd w:id="44"/>
      <w:bookmarkEnd w:id="45"/>
      <w:bookmarkEnd w:id="46"/>
      <w:r>
        <w:rPr>
          <w:rFonts w:hint="eastAsia" w:ascii="宋体" w:hAnsi="宋体" w:cs="宋体"/>
          <w:b/>
          <w:bCs/>
          <w:sz w:val="24"/>
        </w:rPr>
        <w:t xml:space="preserve"> </w:t>
      </w:r>
    </w:p>
    <w:p w14:paraId="1F1F50EE">
      <w:pPr>
        <w:spacing w:line="500" w:lineRule="exact"/>
        <w:ind w:firstLine="480" w:firstLineChars="200"/>
        <w:rPr>
          <w:rFonts w:hint="eastAsia" w:ascii="宋体" w:hAnsi="宋体" w:cs="宋体"/>
          <w:sz w:val="24"/>
        </w:rPr>
      </w:pPr>
      <w:r>
        <w:rPr>
          <w:rFonts w:hint="eastAsia" w:ascii="宋体" w:hAnsi="宋体" w:cs="宋体"/>
          <w:sz w:val="24"/>
        </w:rPr>
        <w:t>1.7.1 采购文件以及投标人与采购人、采购代理机构就有关投标事宜的所有来往函电均应使用简体中文书写。</w:t>
      </w:r>
    </w:p>
    <w:p w14:paraId="0F7072E3">
      <w:pPr>
        <w:spacing w:line="500" w:lineRule="exact"/>
        <w:ind w:firstLine="480" w:firstLineChars="200"/>
        <w:rPr>
          <w:rFonts w:hint="eastAsia" w:ascii="宋体" w:hAnsi="宋体" w:cs="宋体"/>
          <w:b/>
          <w:bCs/>
          <w:sz w:val="24"/>
        </w:rPr>
      </w:pPr>
      <w:r>
        <w:rPr>
          <w:rFonts w:hint="eastAsia" w:ascii="宋体" w:hAnsi="宋体" w:cs="宋体"/>
          <w:sz w:val="24"/>
        </w:rPr>
        <w:t>1.7.2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bookmarkStart w:id="47" w:name="_Toc403122499"/>
      <w:bookmarkStart w:id="48" w:name="_Toc426369487"/>
    </w:p>
    <w:p w14:paraId="67F41952">
      <w:pPr>
        <w:spacing w:line="500" w:lineRule="exact"/>
        <w:ind w:firstLine="482" w:firstLineChars="200"/>
        <w:rPr>
          <w:rFonts w:hint="eastAsia" w:ascii="宋体" w:hAnsi="宋体" w:cs="宋体"/>
          <w:b/>
          <w:bCs/>
          <w:sz w:val="24"/>
        </w:rPr>
      </w:pPr>
      <w:r>
        <w:rPr>
          <w:rFonts w:hint="eastAsia" w:ascii="宋体" w:hAnsi="宋体" w:cs="宋体"/>
          <w:b/>
          <w:bCs/>
          <w:sz w:val="24"/>
        </w:rPr>
        <w:t>1.8 计量单位</w:t>
      </w:r>
      <w:bookmarkEnd w:id="47"/>
      <w:bookmarkEnd w:id="48"/>
    </w:p>
    <w:p w14:paraId="1A7C5B19">
      <w:pPr>
        <w:spacing w:line="500" w:lineRule="exact"/>
        <w:ind w:firstLine="480" w:firstLineChars="200"/>
        <w:rPr>
          <w:rFonts w:hint="eastAsia" w:ascii="宋体" w:hAnsi="宋体" w:cs="宋体"/>
          <w:sz w:val="24"/>
        </w:rPr>
      </w:pPr>
      <w:r>
        <w:rPr>
          <w:rFonts w:hint="eastAsia" w:ascii="宋体" w:hAnsi="宋体" w:cs="宋体"/>
          <w:sz w:val="24"/>
        </w:rPr>
        <w:t xml:space="preserve">1.8.1关于投标计量单位，采购文件已有明确规定的，使用采购文件规定的计量单位；采购文件没有规定的，应采用中华人民共和国法定计量单位。 </w:t>
      </w:r>
    </w:p>
    <w:p w14:paraId="2FBF8EAC">
      <w:pPr>
        <w:spacing w:line="500" w:lineRule="exact"/>
        <w:ind w:firstLine="480" w:firstLineChars="200"/>
        <w:rPr>
          <w:rFonts w:hint="eastAsia" w:ascii="宋体" w:hAnsi="宋体" w:cs="宋体"/>
          <w:sz w:val="24"/>
        </w:rPr>
      </w:pPr>
      <w:r>
        <w:rPr>
          <w:rFonts w:hint="eastAsia" w:ascii="宋体" w:hAnsi="宋体" w:cs="宋体"/>
          <w:sz w:val="24"/>
        </w:rPr>
        <w:t>1.8.2本响应性文件所表述的时间均为北京时间。</w:t>
      </w:r>
    </w:p>
    <w:p w14:paraId="62D125FD">
      <w:pPr>
        <w:spacing w:line="500" w:lineRule="exact"/>
        <w:ind w:firstLine="482" w:firstLineChars="200"/>
        <w:rPr>
          <w:rFonts w:hint="eastAsia" w:ascii="宋体" w:hAnsi="宋体" w:cs="宋体"/>
          <w:b/>
          <w:bCs/>
          <w:sz w:val="24"/>
        </w:rPr>
      </w:pPr>
      <w:bookmarkStart w:id="49" w:name="_Toc279599779"/>
      <w:bookmarkStart w:id="50" w:name="_Toc403122500"/>
      <w:bookmarkStart w:id="51" w:name="_Toc274249583"/>
      <w:bookmarkStart w:id="52" w:name="_Toc426369488"/>
      <w:r>
        <w:rPr>
          <w:rFonts w:hint="eastAsia" w:ascii="宋体" w:hAnsi="宋体" w:cs="宋体"/>
          <w:b/>
          <w:bCs/>
          <w:sz w:val="24"/>
        </w:rPr>
        <w:t>1.9 踏勘现场</w:t>
      </w:r>
      <w:bookmarkEnd w:id="49"/>
      <w:bookmarkEnd w:id="50"/>
      <w:bookmarkEnd w:id="51"/>
      <w:bookmarkEnd w:id="52"/>
    </w:p>
    <w:p w14:paraId="0CAB3C05">
      <w:pPr>
        <w:spacing w:line="500" w:lineRule="exact"/>
        <w:ind w:firstLine="480" w:firstLineChars="200"/>
        <w:rPr>
          <w:rFonts w:hint="eastAsia" w:ascii="宋体" w:hAnsi="宋体" w:cs="宋体"/>
          <w:sz w:val="24"/>
        </w:rPr>
      </w:pPr>
      <w:r>
        <w:rPr>
          <w:rFonts w:hint="eastAsia" w:ascii="宋体" w:hAnsi="宋体" w:cs="宋体"/>
          <w:sz w:val="24"/>
        </w:rPr>
        <w:t xml:space="preserve">1.9.1 由于项目特殊性，本次招标需供应商自行勘查。 </w:t>
      </w:r>
    </w:p>
    <w:p w14:paraId="202A4EE1">
      <w:pPr>
        <w:spacing w:line="500" w:lineRule="exact"/>
        <w:ind w:firstLine="482" w:firstLineChars="200"/>
        <w:rPr>
          <w:rFonts w:hint="eastAsia" w:ascii="宋体" w:hAnsi="宋体" w:cs="宋体"/>
          <w:b/>
          <w:bCs/>
          <w:sz w:val="24"/>
        </w:rPr>
      </w:pPr>
      <w:bookmarkStart w:id="53" w:name="_Toc426369489"/>
      <w:bookmarkStart w:id="54" w:name="_Toc403122501"/>
      <w:bookmarkStart w:id="55" w:name="_Toc274249584"/>
      <w:bookmarkStart w:id="56" w:name="_Toc279599780"/>
      <w:r>
        <w:rPr>
          <w:rFonts w:hint="eastAsia" w:ascii="宋体" w:hAnsi="宋体" w:cs="宋体"/>
          <w:b/>
          <w:bCs/>
          <w:sz w:val="24"/>
        </w:rPr>
        <w:t>1.10 投标预备会</w:t>
      </w:r>
      <w:bookmarkEnd w:id="53"/>
      <w:bookmarkEnd w:id="54"/>
      <w:bookmarkEnd w:id="55"/>
      <w:bookmarkEnd w:id="56"/>
    </w:p>
    <w:p w14:paraId="1220D705">
      <w:pPr>
        <w:spacing w:line="500" w:lineRule="exact"/>
        <w:ind w:firstLine="480" w:firstLineChars="200"/>
        <w:rPr>
          <w:rFonts w:hint="eastAsia" w:ascii="宋体" w:hAnsi="宋体" w:cs="宋体"/>
          <w:sz w:val="24"/>
        </w:rPr>
      </w:pPr>
      <w:r>
        <w:rPr>
          <w:rFonts w:hint="eastAsia" w:ascii="宋体" w:hAnsi="宋体" w:cs="宋体"/>
          <w:sz w:val="24"/>
        </w:rPr>
        <w:t xml:space="preserve">1.10.1 本次招标不召开投标预备会。 </w:t>
      </w:r>
    </w:p>
    <w:p w14:paraId="10E5A706">
      <w:pPr>
        <w:spacing w:line="500" w:lineRule="exact"/>
        <w:ind w:firstLine="480" w:firstLineChars="200"/>
        <w:rPr>
          <w:rFonts w:hint="eastAsia" w:ascii="宋体" w:hAnsi="宋体" w:cs="宋体"/>
          <w:sz w:val="24"/>
        </w:rPr>
      </w:pPr>
      <w:r>
        <w:rPr>
          <w:rFonts w:hint="eastAsia" w:ascii="宋体" w:hAnsi="宋体" w:cs="宋体"/>
          <w:sz w:val="24"/>
        </w:rPr>
        <w:t xml:space="preserve">1.10.2 供应商应在供应商须知前附表规定的时间前，以书面形式将提出的问题送达招标代理人。 </w:t>
      </w:r>
    </w:p>
    <w:p w14:paraId="55453A3D">
      <w:pPr>
        <w:spacing w:line="500" w:lineRule="exact"/>
        <w:ind w:firstLine="480" w:firstLineChars="200"/>
        <w:rPr>
          <w:rFonts w:hint="eastAsia" w:ascii="宋体" w:hAnsi="宋体" w:cs="宋体"/>
          <w:sz w:val="24"/>
        </w:rPr>
      </w:pPr>
      <w:r>
        <w:rPr>
          <w:rFonts w:hint="eastAsia" w:ascii="宋体" w:hAnsi="宋体" w:cs="宋体"/>
          <w:sz w:val="24"/>
        </w:rPr>
        <w:t xml:space="preserve">1.10.3 采购人在供应商须知前附表规定的时间内，将对供应商所提问题的澄清，以书面方式通知所有已领取招标文件的供应商。该澄清内容为招标文件的组成部分。 </w:t>
      </w:r>
    </w:p>
    <w:p w14:paraId="5BD824AE">
      <w:pPr>
        <w:spacing w:line="500" w:lineRule="exact"/>
        <w:ind w:firstLine="482" w:firstLineChars="200"/>
        <w:rPr>
          <w:rFonts w:hint="eastAsia" w:ascii="宋体" w:hAnsi="宋体" w:cs="宋体"/>
          <w:b/>
          <w:bCs/>
          <w:sz w:val="24"/>
        </w:rPr>
      </w:pPr>
      <w:bookmarkStart w:id="57" w:name="_Toc279599781"/>
      <w:bookmarkStart w:id="58" w:name="_Toc274249585"/>
      <w:bookmarkStart w:id="59" w:name="_Toc426369490"/>
      <w:bookmarkStart w:id="60" w:name="_Toc403122502"/>
      <w:r>
        <w:rPr>
          <w:rFonts w:hint="eastAsia" w:ascii="宋体" w:hAnsi="宋体" w:cs="宋体"/>
          <w:b/>
          <w:bCs/>
          <w:sz w:val="24"/>
        </w:rPr>
        <w:t>1.11 分包</w:t>
      </w:r>
      <w:bookmarkEnd w:id="57"/>
      <w:bookmarkEnd w:id="58"/>
      <w:bookmarkEnd w:id="59"/>
      <w:bookmarkEnd w:id="60"/>
    </w:p>
    <w:p w14:paraId="0E03FDFB">
      <w:pPr>
        <w:spacing w:line="500" w:lineRule="exact"/>
        <w:ind w:firstLine="480" w:firstLineChars="200"/>
        <w:rPr>
          <w:rFonts w:hint="eastAsia" w:ascii="宋体" w:hAnsi="宋体" w:cs="宋体"/>
          <w:sz w:val="24"/>
        </w:rPr>
      </w:pPr>
      <w:r>
        <w:rPr>
          <w:rFonts w:hint="eastAsia" w:ascii="宋体" w:hAnsi="宋体" w:cs="宋体"/>
          <w:sz w:val="24"/>
        </w:rPr>
        <w:t xml:space="preserve">本次招标项目不允许分包。 </w:t>
      </w:r>
    </w:p>
    <w:p w14:paraId="4A3346B2">
      <w:pPr>
        <w:pStyle w:val="5"/>
        <w:spacing w:before="120" w:after="120" w:line="500" w:lineRule="exact"/>
        <w:ind w:right="-1029" w:rightChars="-490" w:firstLine="482" w:firstLineChars="200"/>
        <w:jc w:val="both"/>
        <w:outlineLvl w:val="1"/>
        <w:rPr>
          <w:rFonts w:hint="eastAsia" w:ascii="宋体" w:hAnsi="宋体" w:eastAsia="宋体" w:cs="宋体"/>
          <w:sz w:val="24"/>
          <w:szCs w:val="24"/>
        </w:rPr>
      </w:pPr>
      <w:bookmarkStart w:id="61" w:name="_Toc27006"/>
      <w:bookmarkStart w:id="62" w:name="_Toc9121"/>
      <w:bookmarkStart w:id="63" w:name="_Toc28663"/>
      <w:r>
        <w:rPr>
          <w:rFonts w:hint="eastAsia" w:ascii="宋体" w:hAnsi="宋体" w:eastAsia="宋体" w:cs="宋体"/>
          <w:sz w:val="24"/>
          <w:szCs w:val="24"/>
        </w:rPr>
        <w:t>2. 招标文件</w:t>
      </w:r>
      <w:bookmarkEnd w:id="18"/>
      <w:bookmarkEnd w:id="19"/>
      <w:bookmarkEnd w:id="20"/>
      <w:bookmarkEnd w:id="61"/>
      <w:bookmarkEnd w:id="62"/>
      <w:bookmarkEnd w:id="63"/>
    </w:p>
    <w:p w14:paraId="2C2C0391">
      <w:pPr>
        <w:spacing w:line="500" w:lineRule="exact"/>
        <w:ind w:firstLine="482" w:firstLineChars="200"/>
        <w:rPr>
          <w:rFonts w:hint="eastAsia" w:ascii="宋体" w:hAnsi="宋体" w:cs="宋体"/>
          <w:b/>
          <w:bCs/>
          <w:sz w:val="24"/>
        </w:rPr>
      </w:pPr>
      <w:bookmarkStart w:id="64" w:name="_Toc403122504"/>
      <w:bookmarkStart w:id="65" w:name="_Toc279599783"/>
      <w:bookmarkStart w:id="66" w:name="_Toc426369492"/>
      <w:bookmarkStart w:id="67" w:name="_Toc274249587"/>
      <w:r>
        <w:rPr>
          <w:rFonts w:hint="eastAsia" w:ascii="宋体" w:hAnsi="宋体" w:cs="宋体"/>
          <w:b/>
          <w:bCs/>
          <w:sz w:val="24"/>
        </w:rPr>
        <w:t>2.1 招标文件的组成</w:t>
      </w:r>
      <w:bookmarkEnd w:id="64"/>
      <w:bookmarkEnd w:id="65"/>
      <w:bookmarkEnd w:id="66"/>
      <w:bookmarkEnd w:id="67"/>
    </w:p>
    <w:p w14:paraId="2F91908B">
      <w:pPr>
        <w:spacing w:line="500" w:lineRule="exact"/>
        <w:ind w:firstLine="480" w:firstLineChars="200"/>
        <w:rPr>
          <w:rFonts w:hint="eastAsia" w:ascii="宋体" w:hAnsi="宋体" w:cs="宋体"/>
          <w:sz w:val="24"/>
        </w:rPr>
      </w:pPr>
      <w:r>
        <w:rPr>
          <w:rFonts w:hint="eastAsia" w:ascii="宋体" w:hAnsi="宋体" w:cs="宋体"/>
          <w:sz w:val="24"/>
        </w:rPr>
        <w:t xml:space="preserve">本招标文件包括： </w:t>
      </w:r>
    </w:p>
    <w:p w14:paraId="7E62E72E">
      <w:pPr>
        <w:tabs>
          <w:tab w:val="left" w:pos="525"/>
          <w:tab w:val="left" w:pos="630"/>
        </w:tabs>
        <w:spacing w:line="500" w:lineRule="exact"/>
        <w:ind w:firstLine="480" w:firstLineChars="200"/>
        <w:rPr>
          <w:rFonts w:hint="eastAsia" w:ascii="宋体" w:hAnsi="宋体" w:cs="宋体"/>
          <w:sz w:val="24"/>
        </w:rPr>
      </w:pPr>
      <w:r>
        <w:rPr>
          <w:rFonts w:hint="eastAsia" w:ascii="宋体" w:hAnsi="宋体" w:cs="宋体"/>
          <w:sz w:val="24"/>
        </w:rPr>
        <w:t>（1）招标公告；</w:t>
      </w:r>
    </w:p>
    <w:p w14:paraId="334BC2E0">
      <w:pPr>
        <w:tabs>
          <w:tab w:val="left" w:pos="525"/>
          <w:tab w:val="left" w:pos="630"/>
        </w:tabs>
        <w:spacing w:line="500" w:lineRule="exact"/>
        <w:ind w:firstLine="480" w:firstLineChars="200"/>
        <w:rPr>
          <w:rFonts w:hint="eastAsia" w:ascii="宋体" w:hAnsi="宋体" w:cs="宋体"/>
          <w:sz w:val="24"/>
        </w:rPr>
      </w:pPr>
      <w:r>
        <w:rPr>
          <w:rFonts w:hint="eastAsia" w:ascii="宋体" w:hAnsi="宋体" w:cs="宋体"/>
          <w:sz w:val="24"/>
        </w:rPr>
        <w:t xml:space="preserve">（2）供应商须知； </w:t>
      </w:r>
    </w:p>
    <w:p w14:paraId="7C7FEC41">
      <w:pPr>
        <w:tabs>
          <w:tab w:val="left" w:pos="525"/>
          <w:tab w:val="left" w:pos="630"/>
        </w:tabs>
        <w:spacing w:line="500" w:lineRule="exact"/>
        <w:ind w:firstLine="480" w:firstLineChars="200"/>
        <w:rPr>
          <w:rFonts w:hint="eastAsia" w:ascii="宋体" w:hAnsi="宋体" w:cs="宋体"/>
          <w:sz w:val="24"/>
        </w:rPr>
      </w:pPr>
      <w:r>
        <w:rPr>
          <w:rFonts w:hint="eastAsia" w:ascii="宋体" w:hAnsi="宋体" w:cs="宋体"/>
          <w:sz w:val="24"/>
        </w:rPr>
        <w:t xml:space="preserve">（3）评标办法（综合评分法）； </w:t>
      </w:r>
    </w:p>
    <w:p w14:paraId="5297747F">
      <w:pPr>
        <w:tabs>
          <w:tab w:val="left" w:pos="525"/>
          <w:tab w:val="left" w:pos="630"/>
        </w:tabs>
        <w:spacing w:line="500" w:lineRule="exact"/>
        <w:ind w:firstLine="480" w:firstLineChars="200"/>
        <w:rPr>
          <w:rFonts w:hint="eastAsia" w:ascii="宋体" w:hAnsi="宋体" w:cs="宋体"/>
          <w:sz w:val="24"/>
        </w:rPr>
      </w:pPr>
      <w:r>
        <w:rPr>
          <w:rFonts w:hint="eastAsia" w:ascii="宋体" w:hAnsi="宋体" w:cs="宋体"/>
          <w:sz w:val="24"/>
        </w:rPr>
        <w:t xml:space="preserve">（4）合同条款及格式； </w:t>
      </w:r>
    </w:p>
    <w:p w14:paraId="175D01C8">
      <w:pPr>
        <w:tabs>
          <w:tab w:val="left" w:pos="525"/>
          <w:tab w:val="left" w:pos="630"/>
        </w:tabs>
        <w:spacing w:line="500" w:lineRule="exact"/>
        <w:ind w:firstLine="480" w:firstLineChars="200"/>
        <w:rPr>
          <w:rFonts w:hint="eastAsia" w:ascii="宋体" w:hAnsi="宋体" w:cs="宋体"/>
          <w:sz w:val="24"/>
        </w:rPr>
      </w:pPr>
      <w:r>
        <w:rPr>
          <w:rFonts w:hint="eastAsia" w:ascii="宋体" w:hAnsi="宋体" w:cs="宋体"/>
          <w:sz w:val="24"/>
        </w:rPr>
        <w:t>（5）采购需求及参数；</w:t>
      </w:r>
    </w:p>
    <w:p w14:paraId="661A20BB">
      <w:pPr>
        <w:tabs>
          <w:tab w:val="left" w:pos="525"/>
          <w:tab w:val="left" w:pos="630"/>
        </w:tabs>
        <w:spacing w:line="500" w:lineRule="exact"/>
        <w:ind w:firstLine="480" w:firstLineChars="200"/>
        <w:rPr>
          <w:rFonts w:hint="eastAsia" w:ascii="宋体" w:hAnsi="宋体" w:cs="宋体"/>
          <w:sz w:val="24"/>
        </w:rPr>
      </w:pPr>
      <w:r>
        <w:rPr>
          <w:rFonts w:hint="eastAsia" w:ascii="宋体" w:hAnsi="宋体" w:cs="宋体"/>
          <w:sz w:val="24"/>
        </w:rPr>
        <w:t xml:space="preserve">（6）投标文件格式； </w:t>
      </w:r>
    </w:p>
    <w:p w14:paraId="1366A64A">
      <w:pPr>
        <w:spacing w:line="500" w:lineRule="exact"/>
        <w:ind w:firstLine="480" w:firstLineChars="200"/>
        <w:rPr>
          <w:rFonts w:hint="eastAsia" w:ascii="宋体" w:hAnsi="宋体" w:cs="宋体"/>
          <w:sz w:val="24"/>
        </w:rPr>
      </w:pPr>
      <w:r>
        <w:rPr>
          <w:rFonts w:hint="eastAsia" w:ascii="宋体" w:hAnsi="宋体" w:cs="宋体"/>
          <w:sz w:val="24"/>
        </w:rPr>
        <w:t>根据本章第 1.10 款、第 2.2 款和第2.3款对招标文件所作的澄清、修改，构成招标文件的组成部分。</w:t>
      </w:r>
    </w:p>
    <w:p w14:paraId="64061E20">
      <w:pPr>
        <w:spacing w:line="500" w:lineRule="exact"/>
        <w:ind w:firstLine="482" w:firstLineChars="200"/>
        <w:rPr>
          <w:rFonts w:hint="eastAsia" w:ascii="宋体" w:hAnsi="宋体" w:cs="宋体"/>
          <w:b/>
          <w:bCs/>
          <w:sz w:val="24"/>
        </w:rPr>
      </w:pPr>
      <w:bookmarkStart w:id="68" w:name="_Toc426369493"/>
      <w:bookmarkStart w:id="69" w:name="_Toc403122505"/>
      <w:bookmarkStart w:id="70" w:name="_Toc274249588"/>
      <w:bookmarkStart w:id="71" w:name="_Toc279599784"/>
      <w:r>
        <w:rPr>
          <w:rFonts w:hint="eastAsia" w:ascii="宋体" w:hAnsi="宋体" w:cs="宋体"/>
          <w:b/>
          <w:bCs/>
          <w:sz w:val="24"/>
        </w:rPr>
        <w:t>2.2 招标文件的澄清</w:t>
      </w:r>
      <w:bookmarkEnd w:id="68"/>
      <w:bookmarkEnd w:id="69"/>
      <w:bookmarkEnd w:id="70"/>
      <w:bookmarkEnd w:id="71"/>
    </w:p>
    <w:p w14:paraId="59BEA922">
      <w:pPr>
        <w:spacing w:line="500" w:lineRule="exact"/>
        <w:ind w:firstLine="480" w:firstLineChars="200"/>
        <w:rPr>
          <w:rFonts w:hint="eastAsia" w:ascii="宋体" w:hAnsi="宋体" w:cs="宋体"/>
          <w:sz w:val="24"/>
        </w:rPr>
      </w:pPr>
      <w:r>
        <w:rPr>
          <w:rFonts w:hint="eastAsia" w:ascii="宋体" w:hAnsi="宋体" w:cs="宋体"/>
          <w:sz w:val="24"/>
        </w:rPr>
        <w:t xml:space="preserve">2.2.1 供应商应仔细阅读和检查招标文件的全部内容。如发现缺页或附件不全，应及时向采购人提出，以便补齐。如有疑问，应在供应商须知前附表规定的时间前以书面形式，要求采购人对招标文件予以澄清。 </w:t>
      </w:r>
    </w:p>
    <w:p w14:paraId="026B72B1">
      <w:pPr>
        <w:spacing w:line="500" w:lineRule="exact"/>
        <w:ind w:firstLine="480" w:firstLineChars="200"/>
        <w:rPr>
          <w:rFonts w:hint="eastAsia" w:ascii="宋体" w:hAnsi="宋体" w:cs="宋体"/>
          <w:sz w:val="24"/>
        </w:rPr>
      </w:pPr>
      <w:r>
        <w:rPr>
          <w:rFonts w:hint="eastAsia" w:ascii="宋体" w:hAnsi="宋体" w:cs="宋体"/>
          <w:sz w:val="24"/>
        </w:rPr>
        <w:t xml:space="preserve">2.2.2 招标文件的澄清将在供应商须知前附表规定的投标截止时间15天前以书面形式发给所有购买招标文件的供应商，但不指明澄清问题的来源。如果澄清发出的时间距投标截止时间不足 15 天，相应延长投标截止时间。 </w:t>
      </w:r>
    </w:p>
    <w:p w14:paraId="6F1BB502">
      <w:pPr>
        <w:spacing w:line="500" w:lineRule="exact"/>
        <w:ind w:firstLine="480" w:firstLineChars="200"/>
        <w:rPr>
          <w:rFonts w:hint="eastAsia" w:ascii="宋体" w:hAnsi="宋体" w:cs="宋体"/>
          <w:sz w:val="24"/>
        </w:rPr>
      </w:pPr>
      <w:r>
        <w:rPr>
          <w:rFonts w:hint="eastAsia" w:ascii="宋体" w:hAnsi="宋体" w:cs="宋体"/>
          <w:sz w:val="24"/>
        </w:rPr>
        <w:t xml:space="preserve">2.2.3 供应商在收到澄清后，应在供应商须知前附表规定的时间内以书面形式通知采购人，确认已收到该澄清。 </w:t>
      </w:r>
    </w:p>
    <w:p w14:paraId="14FBFD3A">
      <w:pPr>
        <w:spacing w:line="500" w:lineRule="exact"/>
        <w:ind w:firstLine="482" w:firstLineChars="200"/>
        <w:rPr>
          <w:rFonts w:hint="eastAsia" w:ascii="宋体" w:hAnsi="宋体" w:cs="宋体"/>
          <w:b/>
          <w:bCs/>
          <w:sz w:val="24"/>
        </w:rPr>
      </w:pPr>
      <w:bookmarkStart w:id="72" w:name="_Toc426369494"/>
      <w:bookmarkStart w:id="73" w:name="_Toc279599785"/>
      <w:bookmarkStart w:id="74" w:name="_Toc274249589"/>
      <w:bookmarkStart w:id="75" w:name="_Toc403122506"/>
      <w:r>
        <w:rPr>
          <w:rFonts w:hint="eastAsia" w:ascii="宋体" w:hAnsi="宋体" w:cs="宋体"/>
          <w:b/>
          <w:bCs/>
          <w:sz w:val="24"/>
        </w:rPr>
        <w:t>2.3 招标文件的修改</w:t>
      </w:r>
      <w:bookmarkEnd w:id="72"/>
      <w:bookmarkEnd w:id="73"/>
      <w:bookmarkEnd w:id="74"/>
      <w:bookmarkEnd w:id="75"/>
    </w:p>
    <w:p w14:paraId="222E490D">
      <w:pPr>
        <w:spacing w:line="500" w:lineRule="exact"/>
        <w:ind w:firstLine="480" w:firstLineChars="200"/>
        <w:rPr>
          <w:rFonts w:hint="eastAsia" w:ascii="宋体" w:hAnsi="宋体" w:cs="宋体"/>
          <w:sz w:val="24"/>
        </w:rPr>
      </w:pPr>
      <w:r>
        <w:rPr>
          <w:rFonts w:hint="eastAsia" w:ascii="宋体" w:hAnsi="宋体" w:cs="宋体"/>
          <w:sz w:val="24"/>
        </w:rPr>
        <w:t xml:space="preserve">2.3.1 在投标截止时间 15天前，采购人可以书面形式修改招标文件，并通知所有已购买招标文件的供应商。如果修改招标文件的时间距投标截止时间不足 15 天，相应延长投标截止时间。  </w:t>
      </w:r>
    </w:p>
    <w:p w14:paraId="64B54D4A">
      <w:pPr>
        <w:spacing w:line="500" w:lineRule="exact"/>
        <w:ind w:firstLine="480" w:firstLineChars="200"/>
        <w:rPr>
          <w:rFonts w:hint="eastAsia" w:ascii="宋体" w:hAnsi="宋体" w:cs="宋体"/>
          <w:sz w:val="24"/>
        </w:rPr>
      </w:pPr>
      <w:r>
        <w:rPr>
          <w:rFonts w:hint="eastAsia" w:ascii="宋体" w:hAnsi="宋体" w:cs="宋体"/>
          <w:sz w:val="24"/>
        </w:rPr>
        <w:t xml:space="preserve">2.3.2 供应商收到修改内容后，应在供应商须知前附表规定的时间内以书面形式通知采购人，确认已收到该修改。 </w:t>
      </w:r>
      <w:bookmarkStart w:id="76" w:name="_Toc23265"/>
      <w:bookmarkStart w:id="77" w:name="_Toc426369495"/>
      <w:bookmarkStart w:id="78" w:name="_Toc403122507"/>
    </w:p>
    <w:p w14:paraId="1A62FA5C">
      <w:pPr>
        <w:pStyle w:val="5"/>
        <w:spacing w:before="120" w:after="120" w:line="500" w:lineRule="exact"/>
        <w:ind w:right="-1029" w:rightChars="-490" w:firstLine="482" w:firstLineChars="200"/>
        <w:jc w:val="both"/>
        <w:outlineLvl w:val="1"/>
        <w:rPr>
          <w:rFonts w:hint="eastAsia" w:ascii="宋体" w:hAnsi="宋体" w:eastAsia="宋体" w:cs="宋体"/>
          <w:sz w:val="24"/>
          <w:szCs w:val="24"/>
        </w:rPr>
      </w:pPr>
      <w:bookmarkStart w:id="79" w:name="_Toc13865"/>
      <w:bookmarkStart w:id="80" w:name="_Toc226"/>
      <w:bookmarkStart w:id="81" w:name="_Toc22914"/>
      <w:r>
        <w:rPr>
          <w:rFonts w:hint="eastAsia" w:ascii="宋体" w:hAnsi="宋体" w:eastAsia="宋体" w:cs="宋体"/>
          <w:sz w:val="24"/>
          <w:szCs w:val="24"/>
        </w:rPr>
        <w:t>3. 投标文件</w:t>
      </w:r>
      <w:bookmarkEnd w:id="76"/>
      <w:bookmarkEnd w:id="77"/>
      <w:bookmarkEnd w:id="78"/>
      <w:bookmarkEnd w:id="79"/>
      <w:bookmarkEnd w:id="80"/>
      <w:bookmarkEnd w:id="81"/>
    </w:p>
    <w:p w14:paraId="622B532B">
      <w:pPr>
        <w:spacing w:line="500" w:lineRule="exact"/>
        <w:ind w:firstLine="482" w:firstLineChars="200"/>
        <w:rPr>
          <w:rFonts w:hint="eastAsia" w:ascii="宋体" w:hAnsi="宋体" w:cs="宋体"/>
          <w:b/>
          <w:bCs/>
          <w:sz w:val="24"/>
        </w:rPr>
      </w:pPr>
      <w:bookmarkStart w:id="82" w:name="_Toc274249591"/>
      <w:bookmarkStart w:id="83" w:name="_Toc426369496"/>
      <w:bookmarkStart w:id="84" w:name="_Toc279599787"/>
      <w:bookmarkStart w:id="85" w:name="_Toc403122508"/>
      <w:r>
        <w:rPr>
          <w:rFonts w:hint="eastAsia" w:ascii="宋体" w:hAnsi="宋体" w:cs="宋体"/>
          <w:b/>
          <w:bCs/>
          <w:sz w:val="24"/>
        </w:rPr>
        <w:t>3.1 投标文件的组成</w:t>
      </w:r>
      <w:bookmarkEnd w:id="82"/>
      <w:bookmarkEnd w:id="83"/>
      <w:bookmarkEnd w:id="84"/>
      <w:bookmarkEnd w:id="85"/>
    </w:p>
    <w:p w14:paraId="332277DB">
      <w:pPr>
        <w:spacing w:line="500" w:lineRule="exact"/>
        <w:ind w:firstLine="480" w:firstLineChars="200"/>
        <w:rPr>
          <w:rFonts w:hint="eastAsia" w:ascii="宋体" w:hAnsi="宋体" w:cs="宋体"/>
          <w:sz w:val="24"/>
        </w:rPr>
      </w:pPr>
      <w:r>
        <w:rPr>
          <w:rFonts w:hint="eastAsia" w:ascii="宋体" w:hAnsi="宋体" w:cs="宋体"/>
          <w:sz w:val="24"/>
        </w:rPr>
        <w:t xml:space="preserve">3.1.1 投标文件应包括下列内容： </w:t>
      </w:r>
    </w:p>
    <w:p w14:paraId="4C5CE13A">
      <w:pPr>
        <w:spacing w:line="500" w:lineRule="exact"/>
        <w:ind w:firstLine="480" w:firstLineChars="200"/>
        <w:rPr>
          <w:rFonts w:hint="eastAsia" w:ascii="宋体" w:hAnsi="宋体" w:cs="宋体"/>
          <w:sz w:val="24"/>
        </w:rPr>
      </w:pPr>
      <w:bookmarkStart w:id="86" w:name="_Toc279599788"/>
      <w:bookmarkStart w:id="87" w:name="_Toc274249592"/>
      <w:bookmarkStart w:id="88" w:name="_Toc403122509"/>
      <w:bookmarkStart w:id="89" w:name="_Toc426369497"/>
      <w:r>
        <w:rPr>
          <w:rFonts w:hint="eastAsia" w:ascii="宋体" w:hAnsi="宋体" w:cs="宋体"/>
          <w:sz w:val="24"/>
        </w:rPr>
        <w:t>一、投标函及开标一览表</w:t>
      </w:r>
    </w:p>
    <w:p w14:paraId="223951A7">
      <w:pPr>
        <w:spacing w:line="500" w:lineRule="exact"/>
        <w:ind w:firstLine="480" w:firstLineChars="200"/>
        <w:rPr>
          <w:rFonts w:hint="eastAsia" w:ascii="宋体" w:hAnsi="宋体" w:cs="宋体"/>
          <w:sz w:val="24"/>
        </w:rPr>
      </w:pPr>
      <w:r>
        <w:rPr>
          <w:rFonts w:hint="eastAsia" w:ascii="宋体" w:hAnsi="宋体" w:cs="宋体"/>
          <w:sz w:val="24"/>
        </w:rPr>
        <w:t>（一）投标函</w:t>
      </w:r>
    </w:p>
    <w:p w14:paraId="0BFE3682">
      <w:pPr>
        <w:spacing w:line="500" w:lineRule="exact"/>
        <w:ind w:firstLine="480" w:firstLineChars="200"/>
        <w:rPr>
          <w:rFonts w:hint="eastAsia" w:ascii="宋体" w:hAnsi="宋体" w:cs="宋体"/>
          <w:sz w:val="24"/>
        </w:rPr>
      </w:pPr>
      <w:r>
        <w:rPr>
          <w:rFonts w:hint="eastAsia" w:ascii="宋体" w:hAnsi="宋体" w:cs="宋体"/>
          <w:sz w:val="24"/>
        </w:rPr>
        <w:t>（二）开标一览表</w:t>
      </w:r>
    </w:p>
    <w:p w14:paraId="327DCD9A">
      <w:pPr>
        <w:spacing w:line="500" w:lineRule="exact"/>
        <w:ind w:firstLine="480" w:firstLineChars="200"/>
        <w:rPr>
          <w:rFonts w:hint="eastAsia" w:ascii="宋体" w:hAnsi="宋体" w:cs="宋体"/>
          <w:sz w:val="24"/>
        </w:rPr>
      </w:pPr>
      <w:r>
        <w:rPr>
          <w:rFonts w:hint="eastAsia" w:ascii="宋体" w:hAnsi="宋体" w:cs="宋体"/>
          <w:sz w:val="24"/>
        </w:rPr>
        <w:t>（三）报价明细表</w:t>
      </w:r>
    </w:p>
    <w:p w14:paraId="1F456583">
      <w:pPr>
        <w:spacing w:line="500" w:lineRule="exact"/>
        <w:ind w:firstLine="480" w:firstLineChars="200"/>
        <w:rPr>
          <w:rFonts w:hint="eastAsia" w:ascii="宋体" w:hAnsi="宋体" w:cs="宋体"/>
          <w:sz w:val="24"/>
        </w:rPr>
      </w:pPr>
      <w:r>
        <w:rPr>
          <w:rFonts w:hint="eastAsia" w:ascii="宋体" w:hAnsi="宋体" w:cs="宋体"/>
          <w:sz w:val="24"/>
        </w:rPr>
        <w:t>二、法定代表人身份证明书</w:t>
      </w:r>
    </w:p>
    <w:p w14:paraId="445420E4">
      <w:pPr>
        <w:spacing w:line="500" w:lineRule="exact"/>
        <w:ind w:firstLine="480" w:firstLineChars="200"/>
        <w:rPr>
          <w:rFonts w:hint="eastAsia" w:ascii="宋体" w:hAnsi="宋体" w:cs="宋体"/>
          <w:sz w:val="24"/>
        </w:rPr>
      </w:pPr>
      <w:r>
        <w:rPr>
          <w:rFonts w:hint="eastAsia" w:ascii="宋体" w:hAnsi="宋体" w:cs="宋体"/>
          <w:sz w:val="24"/>
        </w:rPr>
        <w:t>三、授权委托书</w:t>
      </w:r>
    </w:p>
    <w:p w14:paraId="6A7E9D8C">
      <w:pPr>
        <w:spacing w:line="500" w:lineRule="exact"/>
        <w:ind w:firstLine="480" w:firstLineChars="200"/>
        <w:rPr>
          <w:rFonts w:hint="eastAsia" w:ascii="宋体" w:hAnsi="宋体" w:cs="宋体"/>
          <w:sz w:val="24"/>
        </w:rPr>
      </w:pPr>
      <w:r>
        <w:rPr>
          <w:rFonts w:hint="eastAsia" w:ascii="宋体" w:hAnsi="宋体" w:cs="宋体"/>
          <w:sz w:val="24"/>
        </w:rPr>
        <w:t>四、项目实施方案等</w:t>
      </w:r>
    </w:p>
    <w:p w14:paraId="166EF215">
      <w:pPr>
        <w:spacing w:line="500" w:lineRule="exact"/>
        <w:ind w:firstLine="480" w:firstLineChars="200"/>
        <w:rPr>
          <w:rFonts w:hint="eastAsia" w:ascii="宋体" w:hAnsi="宋体" w:cs="宋体"/>
          <w:sz w:val="24"/>
        </w:rPr>
      </w:pPr>
      <w:r>
        <w:rPr>
          <w:rFonts w:hint="eastAsia" w:ascii="宋体" w:hAnsi="宋体" w:cs="宋体"/>
          <w:sz w:val="24"/>
        </w:rPr>
        <w:t>五、资格证明文件；</w:t>
      </w:r>
    </w:p>
    <w:p w14:paraId="3949CA86">
      <w:pPr>
        <w:spacing w:line="500" w:lineRule="exact"/>
        <w:ind w:firstLine="480" w:firstLineChars="200"/>
        <w:rPr>
          <w:rFonts w:hint="eastAsia" w:ascii="宋体" w:hAnsi="宋体" w:cs="宋体"/>
          <w:sz w:val="24"/>
        </w:rPr>
      </w:pPr>
      <w:r>
        <w:rPr>
          <w:rFonts w:hint="eastAsia" w:ascii="宋体" w:hAnsi="宋体" w:cs="宋体"/>
          <w:sz w:val="24"/>
        </w:rPr>
        <w:t>六、供应商服务承诺和优惠承诺</w:t>
      </w:r>
    </w:p>
    <w:p w14:paraId="5EEB47AD">
      <w:pPr>
        <w:spacing w:line="500" w:lineRule="exact"/>
        <w:ind w:firstLine="480" w:firstLineChars="200"/>
        <w:rPr>
          <w:rFonts w:hint="eastAsia" w:ascii="宋体" w:hAnsi="宋体" w:cs="宋体"/>
          <w:sz w:val="24"/>
        </w:rPr>
      </w:pPr>
      <w:r>
        <w:rPr>
          <w:rFonts w:hint="eastAsia" w:ascii="宋体" w:hAnsi="宋体" w:cs="宋体"/>
          <w:sz w:val="24"/>
        </w:rPr>
        <w:t>七、供应商所投产品属于当期政府采购清单规定的节能环保产品的证明材料；</w:t>
      </w:r>
    </w:p>
    <w:p w14:paraId="03299F41">
      <w:pPr>
        <w:spacing w:line="500" w:lineRule="exact"/>
        <w:ind w:firstLine="480" w:firstLineChars="200"/>
        <w:rPr>
          <w:rFonts w:hint="eastAsia" w:ascii="宋体" w:hAnsi="宋体" w:cs="宋体"/>
          <w:sz w:val="24"/>
        </w:rPr>
      </w:pPr>
      <w:r>
        <w:rPr>
          <w:rFonts w:hint="eastAsia" w:ascii="宋体" w:hAnsi="宋体" w:cs="宋体"/>
          <w:sz w:val="24"/>
        </w:rPr>
        <w:t>八、中小企业声明函（如为中小企业）；</w:t>
      </w:r>
    </w:p>
    <w:p w14:paraId="6ECF2733">
      <w:pPr>
        <w:spacing w:line="500" w:lineRule="exact"/>
        <w:ind w:firstLine="480" w:firstLineChars="200"/>
        <w:rPr>
          <w:rFonts w:hint="eastAsia" w:ascii="宋体" w:hAnsi="宋体" w:cs="宋体"/>
          <w:sz w:val="24"/>
        </w:rPr>
      </w:pPr>
      <w:r>
        <w:rPr>
          <w:rFonts w:hint="eastAsia" w:ascii="宋体" w:hAnsi="宋体" w:cs="宋体"/>
          <w:sz w:val="24"/>
        </w:rPr>
        <w:t>九、残疾人福利性单位声明函（如有）；</w:t>
      </w:r>
    </w:p>
    <w:p w14:paraId="1C1FBE47">
      <w:pPr>
        <w:spacing w:line="500" w:lineRule="exact"/>
        <w:ind w:firstLine="480" w:firstLineChars="200"/>
        <w:rPr>
          <w:rFonts w:hint="eastAsia" w:ascii="宋体" w:hAnsi="宋体" w:cs="宋体"/>
          <w:sz w:val="24"/>
          <w:highlight w:val="yellow"/>
        </w:rPr>
      </w:pPr>
      <w:r>
        <w:rPr>
          <w:rFonts w:hint="eastAsia" w:ascii="宋体" w:hAnsi="宋体" w:cs="宋体"/>
          <w:sz w:val="24"/>
        </w:rPr>
        <w:t>十、招标文件要求的或投标人认为需要加以说明的其他内容。</w:t>
      </w:r>
    </w:p>
    <w:p w14:paraId="08D35FD2">
      <w:pPr>
        <w:widowControl/>
        <w:spacing w:line="360" w:lineRule="auto"/>
        <w:ind w:firstLine="482" w:firstLineChars="200"/>
        <w:jc w:val="left"/>
        <w:rPr>
          <w:rFonts w:hint="eastAsia" w:ascii="宋体" w:hAnsi="宋体" w:cs="宋体"/>
          <w:b/>
          <w:bCs/>
          <w:sz w:val="24"/>
        </w:rPr>
      </w:pPr>
      <w:r>
        <w:rPr>
          <w:rFonts w:hint="eastAsia" w:ascii="宋体" w:hAnsi="宋体" w:cs="宋体"/>
          <w:b/>
          <w:bCs/>
          <w:sz w:val="24"/>
        </w:rPr>
        <w:t>注：1、符合《政府采购法》第二十二条规定的资格条件，按照采购文件约定提供资格承诺，不再提供资质资料，主要包括供应商在响应文件中无需再提供营业执照、财务状况报告、依法缴纳税收和社会保障资金、具有履行合同所必须的设备和专业技术能力、参加政府采购活动前三年内再经营活动中没有重大违法记录相关证明材料。</w:t>
      </w:r>
    </w:p>
    <w:p w14:paraId="300FAD58">
      <w:pPr>
        <w:widowControl/>
        <w:spacing w:line="360" w:lineRule="auto"/>
        <w:ind w:firstLine="482" w:firstLineChars="200"/>
        <w:jc w:val="left"/>
        <w:rPr>
          <w:rFonts w:hint="eastAsia" w:ascii="宋体" w:hAnsi="宋体" w:cs="宋体"/>
          <w:b/>
          <w:bCs/>
          <w:sz w:val="24"/>
        </w:rPr>
      </w:pPr>
      <w:r>
        <w:rPr>
          <w:rFonts w:hint="eastAsia" w:ascii="宋体" w:hAnsi="宋体" w:cs="宋体"/>
          <w:b/>
          <w:bCs/>
          <w:sz w:val="24"/>
        </w:rPr>
        <w:t>2、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14:paraId="6479C955">
      <w:pPr>
        <w:spacing w:line="500" w:lineRule="exact"/>
        <w:ind w:firstLine="482" w:firstLineChars="200"/>
        <w:rPr>
          <w:rFonts w:hint="eastAsia" w:ascii="宋体" w:hAnsi="宋体" w:cs="宋体"/>
          <w:b/>
          <w:bCs/>
          <w:sz w:val="24"/>
        </w:rPr>
      </w:pPr>
      <w:r>
        <w:rPr>
          <w:rFonts w:hint="eastAsia" w:ascii="宋体" w:hAnsi="宋体" w:cs="宋体"/>
          <w:b/>
          <w:bCs/>
          <w:sz w:val="24"/>
        </w:rPr>
        <w:t>3.2 投标报价</w:t>
      </w:r>
      <w:bookmarkEnd w:id="86"/>
      <w:bookmarkEnd w:id="87"/>
      <w:bookmarkEnd w:id="88"/>
      <w:bookmarkEnd w:id="89"/>
    </w:p>
    <w:p w14:paraId="2F2D9CD8">
      <w:pPr>
        <w:spacing w:line="500" w:lineRule="exact"/>
        <w:ind w:firstLine="480" w:firstLineChars="200"/>
        <w:rPr>
          <w:rFonts w:hint="eastAsia" w:ascii="宋体" w:hAnsi="宋体" w:cs="宋体"/>
          <w:sz w:val="24"/>
        </w:rPr>
      </w:pPr>
      <w:r>
        <w:rPr>
          <w:rFonts w:hint="eastAsia" w:ascii="宋体" w:hAnsi="宋体" w:cs="宋体"/>
          <w:sz w:val="24"/>
        </w:rPr>
        <w:t>3.2.1投标报价包括：供应商的投标报价应包括货物本身的费用、包装费、运输费、装卸费、运输过程保险费、安装费、质量保证费、相关的伴随服务费、货物本身已支付或将支付的各种税费以及其它交付使用前的所有费用。投标价不是唯一的或不是固定不变的投标文件将被作为非响应性投标而予以拒绝。</w:t>
      </w:r>
    </w:p>
    <w:p w14:paraId="03E6D194">
      <w:pPr>
        <w:spacing w:line="500" w:lineRule="exact"/>
        <w:ind w:firstLine="480" w:firstLineChars="200"/>
        <w:rPr>
          <w:rFonts w:hint="eastAsia" w:ascii="宋体" w:hAnsi="宋体" w:cs="宋体"/>
          <w:sz w:val="24"/>
        </w:rPr>
      </w:pPr>
      <w:r>
        <w:rPr>
          <w:rFonts w:hint="eastAsia" w:ascii="宋体" w:hAnsi="宋体" w:cs="宋体"/>
          <w:sz w:val="24"/>
        </w:rPr>
        <w:t>3.2.2投标报价在中标后不得修改。</w:t>
      </w:r>
    </w:p>
    <w:p w14:paraId="4902DCB4">
      <w:pPr>
        <w:spacing w:line="500" w:lineRule="exact"/>
        <w:ind w:firstLine="480" w:firstLineChars="200"/>
        <w:rPr>
          <w:rFonts w:hint="eastAsia" w:ascii="宋体" w:hAnsi="宋体" w:cs="宋体"/>
          <w:sz w:val="24"/>
        </w:rPr>
      </w:pPr>
      <w:r>
        <w:rPr>
          <w:rFonts w:hint="eastAsia" w:ascii="宋体" w:hAnsi="宋体" w:cs="宋体"/>
          <w:sz w:val="24"/>
        </w:rPr>
        <w:t>3.2.3供应商只能提出一个不变价格，采购人不接受任何选择价。</w:t>
      </w:r>
    </w:p>
    <w:p w14:paraId="0DD9B93D">
      <w:pPr>
        <w:spacing w:line="500" w:lineRule="exact"/>
        <w:ind w:firstLine="480" w:firstLineChars="200"/>
        <w:rPr>
          <w:rFonts w:hint="eastAsia" w:ascii="宋体" w:hAnsi="宋体" w:cs="宋体"/>
          <w:sz w:val="24"/>
        </w:rPr>
      </w:pPr>
      <w:r>
        <w:rPr>
          <w:rFonts w:hint="eastAsia" w:ascii="宋体" w:hAnsi="宋体" w:cs="宋体"/>
          <w:sz w:val="24"/>
        </w:rPr>
        <w:t>3.2.4供应商必须对招标范围内的所有货物投标，不允许只对其中一种或几种货物投标。</w:t>
      </w:r>
    </w:p>
    <w:p w14:paraId="74A41673">
      <w:pPr>
        <w:spacing w:line="500" w:lineRule="exact"/>
        <w:ind w:firstLine="480" w:firstLineChars="200"/>
        <w:rPr>
          <w:rFonts w:hint="eastAsia" w:ascii="宋体" w:hAnsi="宋体" w:cs="宋体"/>
          <w:sz w:val="24"/>
        </w:rPr>
      </w:pPr>
      <w:r>
        <w:rPr>
          <w:rFonts w:hint="eastAsia" w:ascii="宋体" w:hAnsi="宋体" w:cs="宋体"/>
          <w:sz w:val="24"/>
        </w:rPr>
        <w:t>3.2.5全部报价均应以人民币为计量币种，并以人民币进行结算。</w:t>
      </w:r>
    </w:p>
    <w:p w14:paraId="55FE29F2">
      <w:pPr>
        <w:spacing w:line="500" w:lineRule="exact"/>
        <w:ind w:firstLine="480" w:firstLineChars="200"/>
        <w:rPr>
          <w:rFonts w:hint="eastAsia" w:ascii="宋体" w:hAnsi="宋体" w:cs="宋体"/>
          <w:sz w:val="24"/>
        </w:rPr>
      </w:pPr>
      <w:r>
        <w:rPr>
          <w:rFonts w:hint="eastAsia" w:ascii="宋体" w:hAnsi="宋体" w:cs="宋体"/>
          <w:sz w:val="24"/>
        </w:rPr>
        <w:t>3.2.6投标报价原则是各供应商依据自身实力、管理水平，结合企业所在地区的人工工资标准，在确保项目质量，确保项目成本的基础上，自主报价、自负盈亏。</w:t>
      </w:r>
    </w:p>
    <w:p w14:paraId="129BFF9C">
      <w:pPr>
        <w:spacing w:line="500" w:lineRule="exact"/>
        <w:ind w:firstLine="480" w:firstLineChars="200"/>
        <w:rPr>
          <w:rFonts w:hint="eastAsia" w:ascii="宋体" w:hAnsi="宋体" w:cs="宋体"/>
          <w:sz w:val="24"/>
        </w:rPr>
      </w:pPr>
      <w:r>
        <w:rPr>
          <w:rFonts w:hint="eastAsia" w:ascii="宋体" w:hAnsi="宋体" w:cs="宋体"/>
          <w:sz w:val="24"/>
        </w:rPr>
        <w:t>3.2.7投标文件中开标一览表（报价表）内容与投标文件中相应内容不一致的，以开标一览表（报价表）为准；大写金额和小写金额不一致的，以大写金额为准；单价金额小数点或者百分比有明显错位的，以开标一览表的总价为准，并修改单价；总价金额与按单价汇总金额不一致的，以单价金额计算结果为准。</w:t>
      </w:r>
    </w:p>
    <w:p w14:paraId="05A9BD38">
      <w:pPr>
        <w:spacing w:line="500" w:lineRule="exact"/>
        <w:ind w:firstLine="480" w:firstLineChars="200"/>
        <w:rPr>
          <w:rFonts w:hint="eastAsia" w:ascii="宋体" w:hAnsi="宋体" w:cs="宋体"/>
          <w:sz w:val="24"/>
        </w:rPr>
      </w:pPr>
      <w:r>
        <w:rPr>
          <w:rFonts w:hint="eastAsia" w:ascii="宋体" w:hAnsi="宋体" w:cs="宋体"/>
          <w:sz w:val="24"/>
        </w:rPr>
        <w:t>同时出现两种以上不一致的，按照上述规定的顺序修正。评标委员会应当以书面形式要求投标人作出必要的澄清、说明或者补正。投标人的澄清、说明或者补正不得超出投标文件的范围或者改变投标文件的实质性内容。</w:t>
      </w:r>
    </w:p>
    <w:p w14:paraId="5BCCD400">
      <w:pPr>
        <w:widowControl/>
        <w:spacing w:line="500" w:lineRule="exact"/>
        <w:ind w:firstLine="480" w:firstLineChars="200"/>
        <w:jc w:val="left"/>
        <w:rPr>
          <w:rFonts w:hint="eastAsia" w:ascii="宋体" w:hAnsi="宋体" w:cs="宋体"/>
          <w:sz w:val="24"/>
          <w:highlight w:val="red"/>
        </w:rPr>
      </w:pPr>
      <w:r>
        <w:rPr>
          <w:rFonts w:hint="eastAsia" w:ascii="宋体" w:hAnsi="宋体" w:cs="宋体"/>
          <w:sz w:val="24"/>
        </w:rPr>
        <w:t>修正后的报价经投标人</w:t>
      </w:r>
      <w:r>
        <w:rPr>
          <w:rFonts w:hint="eastAsia" w:ascii="宋体" w:hAnsi="宋体" w:cs="宋体"/>
          <w:sz w:val="24"/>
          <w:lang w:val="zh-CN"/>
        </w:rPr>
        <w:t>书面</w:t>
      </w:r>
      <w:r>
        <w:rPr>
          <w:rFonts w:hint="eastAsia" w:ascii="宋体" w:hAnsi="宋体" w:cs="宋体"/>
          <w:sz w:val="24"/>
        </w:rPr>
        <w:t>确认后产生约束力，投标人不确认的，其投标无效。</w:t>
      </w:r>
    </w:p>
    <w:p w14:paraId="5BEDE8DA">
      <w:pPr>
        <w:spacing w:line="500" w:lineRule="exact"/>
        <w:ind w:firstLine="482" w:firstLineChars="200"/>
        <w:rPr>
          <w:rFonts w:hint="eastAsia" w:ascii="宋体" w:hAnsi="宋体" w:cs="宋体"/>
          <w:b/>
          <w:bCs/>
          <w:sz w:val="24"/>
        </w:rPr>
      </w:pPr>
      <w:bookmarkStart w:id="90" w:name="_Toc274249593"/>
      <w:bookmarkStart w:id="91" w:name="_Toc403122510"/>
      <w:bookmarkStart w:id="92" w:name="_Toc279599789"/>
      <w:bookmarkStart w:id="93" w:name="_Toc426369498"/>
      <w:r>
        <w:rPr>
          <w:rFonts w:hint="eastAsia" w:ascii="宋体" w:hAnsi="宋体" w:cs="宋体"/>
          <w:b/>
          <w:bCs/>
          <w:sz w:val="24"/>
        </w:rPr>
        <w:t>3.3 投标有效期</w:t>
      </w:r>
      <w:bookmarkEnd w:id="90"/>
      <w:bookmarkEnd w:id="91"/>
      <w:bookmarkEnd w:id="92"/>
      <w:bookmarkEnd w:id="93"/>
    </w:p>
    <w:p w14:paraId="510ADFC4">
      <w:pPr>
        <w:spacing w:line="500" w:lineRule="exact"/>
        <w:ind w:firstLine="480" w:firstLineChars="200"/>
        <w:rPr>
          <w:rFonts w:hint="eastAsia" w:ascii="宋体" w:hAnsi="宋体" w:cs="宋体"/>
          <w:sz w:val="24"/>
        </w:rPr>
      </w:pPr>
      <w:r>
        <w:rPr>
          <w:rFonts w:hint="eastAsia" w:ascii="宋体" w:hAnsi="宋体" w:cs="宋体"/>
          <w:sz w:val="24"/>
        </w:rPr>
        <w:t xml:space="preserve">3.3.1在供应商须知前附表规定的投标有效期内，供应商不得要求撤销或修改其投标文件。 </w:t>
      </w:r>
    </w:p>
    <w:p w14:paraId="2937439D">
      <w:pPr>
        <w:spacing w:line="500" w:lineRule="exact"/>
        <w:ind w:firstLine="482" w:firstLineChars="200"/>
        <w:rPr>
          <w:rFonts w:hint="eastAsia" w:ascii="宋体" w:hAnsi="宋体" w:cs="宋体"/>
          <w:b/>
          <w:bCs/>
          <w:sz w:val="24"/>
        </w:rPr>
      </w:pPr>
      <w:bookmarkStart w:id="94" w:name="_Toc279599791"/>
      <w:bookmarkStart w:id="95" w:name="_Toc403122512"/>
      <w:bookmarkStart w:id="96" w:name="_Toc274249595"/>
      <w:bookmarkStart w:id="97" w:name="_Toc426369501"/>
      <w:r>
        <w:rPr>
          <w:rFonts w:hint="eastAsia" w:ascii="宋体" w:hAnsi="宋体" w:cs="宋体"/>
          <w:b/>
          <w:bCs/>
          <w:sz w:val="24"/>
        </w:rPr>
        <w:t>3.5 资格审查资料</w:t>
      </w:r>
      <w:bookmarkEnd w:id="94"/>
      <w:bookmarkEnd w:id="95"/>
      <w:bookmarkEnd w:id="96"/>
      <w:bookmarkEnd w:id="97"/>
    </w:p>
    <w:p w14:paraId="4829969B">
      <w:pPr>
        <w:spacing w:line="500" w:lineRule="exact"/>
        <w:ind w:firstLine="480" w:firstLineChars="200"/>
        <w:rPr>
          <w:rFonts w:hint="eastAsia" w:ascii="宋体" w:hAnsi="宋体" w:cs="宋体"/>
          <w:sz w:val="24"/>
        </w:rPr>
      </w:pPr>
      <w:r>
        <w:rPr>
          <w:rFonts w:hint="eastAsia" w:ascii="宋体" w:hAnsi="宋体" w:cs="宋体"/>
          <w:sz w:val="24"/>
        </w:rPr>
        <w:t>3.5.1</w:t>
      </w:r>
      <w:r>
        <w:rPr>
          <w:rFonts w:hint="eastAsia" w:ascii="宋体" w:hAnsi="宋体" w:cs="宋体"/>
          <w:kern w:val="0"/>
          <w:sz w:val="24"/>
        </w:rPr>
        <w:t>依据“投标人须知”中的要求提交相应的资格证明文件，作为投标文件的一部分，以证明其有资格进行投标和有能力履行合同</w:t>
      </w:r>
      <w:r>
        <w:rPr>
          <w:rFonts w:hint="eastAsia" w:ascii="宋体" w:hAnsi="宋体" w:cs="宋体"/>
          <w:sz w:val="24"/>
        </w:rPr>
        <w:t xml:space="preserve">。 </w:t>
      </w:r>
    </w:p>
    <w:p w14:paraId="7E839777">
      <w:pPr>
        <w:spacing w:line="500" w:lineRule="exact"/>
        <w:ind w:firstLine="480" w:firstLineChars="200"/>
        <w:rPr>
          <w:rFonts w:hint="eastAsia" w:ascii="宋体" w:hAnsi="宋体" w:cs="宋体"/>
          <w:sz w:val="24"/>
        </w:rPr>
      </w:pPr>
      <w:r>
        <w:rPr>
          <w:rFonts w:hint="eastAsia" w:ascii="宋体" w:hAnsi="宋体" w:cs="宋体"/>
          <w:sz w:val="24"/>
        </w:rPr>
        <w:t>3.5.2招标文件规定的供应商资格条件。</w:t>
      </w:r>
    </w:p>
    <w:p w14:paraId="1956A44C">
      <w:pPr>
        <w:spacing w:line="500" w:lineRule="exact"/>
        <w:ind w:firstLine="482" w:firstLineChars="200"/>
        <w:rPr>
          <w:rFonts w:hint="eastAsia" w:ascii="宋体" w:hAnsi="宋体" w:cs="宋体"/>
          <w:b/>
          <w:bCs/>
          <w:sz w:val="24"/>
        </w:rPr>
      </w:pPr>
      <w:bookmarkStart w:id="98" w:name="_Toc279599792"/>
      <w:bookmarkStart w:id="99" w:name="_Toc426369502"/>
      <w:bookmarkStart w:id="100" w:name="_Toc274249596"/>
      <w:bookmarkStart w:id="101" w:name="_Toc403122513"/>
      <w:r>
        <w:rPr>
          <w:rFonts w:hint="eastAsia" w:ascii="宋体" w:hAnsi="宋体" w:cs="宋体"/>
          <w:b/>
          <w:bCs/>
          <w:sz w:val="24"/>
        </w:rPr>
        <w:t>3.6 备选投标方案</w:t>
      </w:r>
      <w:bookmarkEnd w:id="98"/>
      <w:bookmarkEnd w:id="99"/>
      <w:bookmarkEnd w:id="100"/>
      <w:bookmarkEnd w:id="101"/>
    </w:p>
    <w:p w14:paraId="2BE9B906">
      <w:pPr>
        <w:tabs>
          <w:tab w:val="left" w:pos="3570"/>
        </w:tabs>
        <w:spacing w:line="500" w:lineRule="exact"/>
        <w:ind w:firstLine="480" w:firstLineChars="200"/>
        <w:rPr>
          <w:rFonts w:hint="eastAsia" w:ascii="宋体" w:hAnsi="宋体" w:cs="宋体"/>
          <w:sz w:val="24"/>
        </w:rPr>
      </w:pPr>
      <w:r>
        <w:rPr>
          <w:rFonts w:hint="eastAsia" w:ascii="宋体" w:hAnsi="宋体" w:cs="宋体"/>
          <w:sz w:val="24"/>
        </w:rPr>
        <w:t xml:space="preserve">供应商不得递交备选投标方案。 </w:t>
      </w:r>
    </w:p>
    <w:p w14:paraId="406BE49C">
      <w:pPr>
        <w:spacing w:line="500" w:lineRule="exact"/>
        <w:ind w:firstLine="482" w:firstLineChars="200"/>
        <w:rPr>
          <w:rFonts w:hint="eastAsia" w:ascii="宋体" w:hAnsi="宋体" w:cs="宋体"/>
          <w:b/>
          <w:bCs/>
          <w:sz w:val="24"/>
        </w:rPr>
      </w:pPr>
      <w:bookmarkStart w:id="102" w:name="_Toc426369503"/>
      <w:bookmarkStart w:id="103" w:name="_Toc403122514"/>
      <w:bookmarkStart w:id="104" w:name="_Toc279599793"/>
      <w:bookmarkStart w:id="105" w:name="_Toc274249597"/>
      <w:r>
        <w:rPr>
          <w:rFonts w:hint="eastAsia" w:ascii="宋体" w:hAnsi="宋体" w:cs="宋体"/>
          <w:b/>
          <w:bCs/>
          <w:sz w:val="24"/>
        </w:rPr>
        <w:t>3.7 投标文件的编制</w:t>
      </w:r>
      <w:bookmarkEnd w:id="102"/>
      <w:bookmarkEnd w:id="103"/>
      <w:bookmarkEnd w:id="104"/>
      <w:bookmarkEnd w:id="105"/>
    </w:p>
    <w:p w14:paraId="062E0ED1">
      <w:pPr>
        <w:spacing w:line="500" w:lineRule="exact"/>
        <w:ind w:firstLine="480" w:firstLineChars="200"/>
        <w:rPr>
          <w:rFonts w:hint="eastAsia" w:ascii="宋体" w:hAnsi="宋体" w:cs="宋体"/>
          <w:sz w:val="24"/>
        </w:rPr>
      </w:pPr>
      <w:r>
        <w:rPr>
          <w:rFonts w:hint="eastAsia" w:ascii="宋体" w:hAnsi="宋体" w:cs="宋体"/>
          <w:sz w:val="24"/>
        </w:rPr>
        <w:t>3.7.1 投标文件应按招标文件中要求</w:t>
      </w:r>
      <w:r>
        <w:rPr>
          <w:rFonts w:hint="eastAsia" w:ascii="宋体" w:hAnsi="宋体" w:cs="宋体"/>
          <w:kern w:val="0"/>
          <w:sz w:val="24"/>
        </w:rPr>
        <w:t>使用焦作市公共资源交易系统投标文件制作专用工具软件编制</w:t>
      </w:r>
      <w:r>
        <w:rPr>
          <w:rFonts w:hint="eastAsia" w:ascii="宋体" w:hAnsi="宋体" w:cs="宋体"/>
          <w:sz w:val="24"/>
        </w:rPr>
        <w:t xml:space="preserve">。 </w:t>
      </w:r>
    </w:p>
    <w:p w14:paraId="2FFB08BF">
      <w:pPr>
        <w:spacing w:line="500" w:lineRule="exact"/>
        <w:ind w:firstLine="480" w:firstLineChars="200"/>
        <w:rPr>
          <w:rFonts w:hint="eastAsia" w:ascii="宋体" w:hAnsi="宋体" w:cs="宋体"/>
          <w:sz w:val="24"/>
        </w:rPr>
      </w:pPr>
      <w:r>
        <w:rPr>
          <w:rFonts w:hint="eastAsia" w:ascii="宋体" w:hAnsi="宋体" w:cs="宋体"/>
          <w:sz w:val="24"/>
        </w:rPr>
        <w:t>3.7.2  投标文件应当对招标文件有关供货及安装期、投标有效期、质量标准、采购要求及服务内容、等实质性内容作出响应。</w:t>
      </w:r>
    </w:p>
    <w:p w14:paraId="4C8B504B">
      <w:pPr>
        <w:autoSpaceDE w:val="0"/>
        <w:autoSpaceDN w:val="0"/>
        <w:adjustRightInd w:val="0"/>
        <w:spacing w:line="500" w:lineRule="exact"/>
        <w:ind w:firstLine="480" w:firstLineChars="200"/>
        <w:jc w:val="left"/>
        <w:rPr>
          <w:rFonts w:hint="eastAsia" w:ascii="宋体" w:hAnsi="宋体" w:cs="宋体"/>
          <w:sz w:val="24"/>
        </w:rPr>
      </w:pPr>
      <w:r>
        <w:rPr>
          <w:rFonts w:hint="eastAsia" w:ascii="宋体" w:hAnsi="宋体" w:cs="宋体"/>
          <w:sz w:val="24"/>
        </w:rPr>
        <w:t xml:space="preserve">3.7.3 </w:t>
      </w:r>
      <w:r>
        <w:rPr>
          <w:rFonts w:hint="eastAsia" w:ascii="宋体" w:hAnsi="宋体" w:cs="宋体"/>
          <w:kern w:val="0"/>
          <w:sz w:val="24"/>
        </w:rPr>
        <w:t>本项目采用电子开评标方式，潜在投标人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按要求解密投标文件。因文件未及时上传导致投标失败的责任由投标人自行承担。</w:t>
      </w:r>
    </w:p>
    <w:p w14:paraId="17941CF9">
      <w:pPr>
        <w:pStyle w:val="5"/>
        <w:spacing w:before="120" w:after="120" w:line="500" w:lineRule="exact"/>
        <w:ind w:right="-1029" w:rightChars="-490" w:firstLine="482" w:firstLineChars="200"/>
        <w:jc w:val="both"/>
        <w:outlineLvl w:val="1"/>
        <w:rPr>
          <w:rFonts w:hint="eastAsia" w:ascii="宋体" w:hAnsi="宋体" w:eastAsia="宋体" w:cs="宋体"/>
          <w:sz w:val="24"/>
          <w:szCs w:val="24"/>
        </w:rPr>
      </w:pPr>
      <w:bookmarkStart w:id="106" w:name="_Toc26998"/>
      <w:bookmarkStart w:id="107" w:name="_Toc31809"/>
      <w:bookmarkStart w:id="108" w:name="_Toc12797"/>
      <w:bookmarkStart w:id="109" w:name="_Toc30100"/>
      <w:bookmarkStart w:id="110" w:name="_Toc403122515"/>
      <w:bookmarkStart w:id="111" w:name="_Toc426369504"/>
      <w:r>
        <w:rPr>
          <w:rFonts w:hint="eastAsia" w:ascii="宋体" w:hAnsi="宋体" w:eastAsia="宋体" w:cs="宋体"/>
          <w:sz w:val="24"/>
          <w:szCs w:val="24"/>
        </w:rPr>
        <w:t>4. 投标</w:t>
      </w:r>
      <w:bookmarkEnd w:id="106"/>
      <w:bookmarkEnd w:id="107"/>
      <w:bookmarkEnd w:id="108"/>
      <w:bookmarkEnd w:id="109"/>
      <w:bookmarkEnd w:id="110"/>
      <w:bookmarkEnd w:id="111"/>
    </w:p>
    <w:p w14:paraId="28283A20">
      <w:pPr>
        <w:spacing w:line="500" w:lineRule="exact"/>
        <w:ind w:firstLine="482" w:firstLineChars="200"/>
        <w:rPr>
          <w:rFonts w:hint="eastAsia" w:ascii="宋体" w:hAnsi="宋体" w:cs="宋体"/>
          <w:b/>
          <w:bCs/>
          <w:sz w:val="24"/>
        </w:rPr>
      </w:pPr>
      <w:bookmarkStart w:id="112" w:name="_Toc274249599"/>
      <w:bookmarkStart w:id="113" w:name="_Toc403122516"/>
      <w:bookmarkStart w:id="114" w:name="_Toc426369505"/>
      <w:bookmarkStart w:id="115" w:name="_Toc279599795"/>
      <w:r>
        <w:rPr>
          <w:rFonts w:hint="eastAsia" w:ascii="宋体" w:hAnsi="宋体" w:cs="宋体"/>
          <w:b/>
          <w:bCs/>
          <w:sz w:val="24"/>
        </w:rPr>
        <w:t>4.1 投标文件的密封和标记</w:t>
      </w:r>
      <w:bookmarkEnd w:id="112"/>
      <w:bookmarkEnd w:id="113"/>
      <w:bookmarkEnd w:id="114"/>
      <w:bookmarkEnd w:id="115"/>
    </w:p>
    <w:p w14:paraId="2A4AA3E9">
      <w:pPr>
        <w:autoSpaceDE w:val="0"/>
        <w:autoSpaceDN w:val="0"/>
        <w:adjustRightInd w:val="0"/>
        <w:spacing w:line="500" w:lineRule="exact"/>
        <w:ind w:firstLine="480" w:firstLineChars="200"/>
        <w:jc w:val="left"/>
        <w:rPr>
          <w:rFonts w:hint="eastAsia" w:ascii="宋体" w:hAnsi="宋体" w:cs="宋体"/>
          <w:sz w:val="24"/>
        </w:rPr>
      </w:pPr>
      <w:r>
        <w:rPr>
          <w:rFonts w:hint="eastAsia" w:ascii="宋体" w:hAnsi="宋体" w:cs="宋体"/>
          <w:kern w:val="0"/>
          <w:sz w:val="24"/>
        </w:rPr>
        <w:t>4.1.1.本项目采用</w:t>
      </w:r>
      <w:r>
        <w:rPr>
          <w:rFonts w:hint="eastAsia" w:ascii="宋体" w:hAnsi="宋体" w:cs="宋体"/>
          <w:kern w:val="0"/>
          <w:sz w:val="24"/>
          <w:lang w:val="zh-CN"/>
        </w:rPr>
        <w:t>网上上传的电子投标文件</w:t>
      </w:r>
      <w:r>
        <w:rPr>
          <w:rFonts w:hint="eastAsia" w:ascii="宋体" w:hAnsi="宋体" w:cs="宋体"/>
          <w:kern w:val="0"/>
          <w:sz w:val="24"/>
        </w:rPr>
        <w:t>,</w:t>
      </w:r>
      <w:r>
        <w:rPr>
          <w:rFonts w:hint="eastAsia" w:ascii="宋体" w:hAnsi="宋体" w:cs="宋体"/>
          <w:kern w:val="0"/>
          <w:sz w:val="24"/>
          <w:lang w:val="zh-CN"/>
        </w:rPr>
        <w:t>应使用数字证书认证并加密。</w:t>
      </w:r>
    </w:p>
    <w:p w14:paraId="0C7EE3A9">
      <w:pPr>
        <w:spacing w:line="500" w:lineRule="exact"/>
        <w:ind w:firstLine="482" w:firstLineChars="200"/>
        <w:rPr>
          <w:rFonts w:hint="eastAsia" w:ascii="宋体" w:hAnsi="宋体" w:cs="宋体"/>
          <w:b/>
          <w:bCs/>
          <w:sz w:val="24"/>
        </w:rPr>
      </w:pPr>
      <w:bookmarkStart w:id="116" w:name="_Toc279599796"/>
      <w:bookmarkStart w:id="117" w:name="_Toc274249600"/>
      <w:bookmarkStart w:id="118" w:name="_Toc426369506"/>
      <w:bookmarkStart w:id="119" w:name="_Toc403122517"/>
      <w:r>
        <w:rPr>
          <w:rFonts w:hint="eastAsia" w:ascii="宋体" w:hAnsi="宋体" w:cs="宋体"/>
          <w:b/>
          <w:bCs/>
          <w:sz w:val="24"/>
        </w:rPr>
        <w:t>4.2 投标文件的递交</w:t>
      </w:r>
      <w:bookmarkEnd w:id="116"/>
      <w:bookmarkEnd w:id="117"/>
      <w:bookmarkEnd w:id="118"/>
      <w:bookmarkEnd w:id="119"/>
    </w:p>
    <w:p w14:paraId="7AF07ED7">
      <w:pPr>
        <w:autoSpaceDE w:val="0"/>
        <w:autoSpaceDN w:val="0"/>
        <w:adjustRightInd w:val="0"/>
        <w:spacing w:line="500" w:lineRule="exact"/>
        <w:ind w:firstLine="480" w:firstLineChars="200"/>
        <w:jc w:val="left"/>
        <w:rPr>
          <w:rFonts w:hint="eastAsia" w:ascii="宋体" w:hAnsi="宋体" w:cs="宋体"/>
          <w:kern w:val="0"/>
          <w:sz w:val="24"/>
          <w:lang w:val="zh-CN"/>
        </w:rPr>
      </w:pPr>
      <w:r>
        <w:rPr>
          <w:rFonts w:hint="eastAsia" w:ascii="宋体" w:hAnsi="宋体" w:cs="宋体"/>
          <w:kern w:val="0"/>
          <w:sz w:val="24"/>
        </w:rPr>
        <w:t>4.2.1</w:t>
      </w:r>
      <w:r>
        <w:rPr>
          <w:rFonts w:hint="eastAsia" w:ascii="宋体" w:hAnsi="宋体" w:cs="宋体"/>
          <w:kern w:val="0"/>
          <w:sz w:val="24"/>
          <w:lang w:val="zh-CN"/>
        </w:rPr>
        <w:t>所有投标文件必须在本招标文件中规定的投标截止时间之前</w:t>
      </w:r>
      <w:r>
        <w:rPr>
          <w:rFonts w:hint="eastAsia" w:ascii="宋体" w:hAnsi="宋体" w:cs="宋体"/>
          <w:kern w:val="0"/>
          <w:sz w:val="24"/>
        </w:rPr>
        <w:t>提前上传，按要求</w:t>
      </w:r>
      <w:r>
        <w:rPr>
          <w:rFonts w:hint="eastAsia" w:ascii="宋体" w:hAnsi="宋体" w:cs="宋体"/>
          <w:sz w:val="24"/>
        </w:rPr>
        <w:t>在线签到、解密文件等，解密时间为投标截止时后30分钟内，</w:t>
      </w:r>
      <w:r>
        <w:rPr>
          <w:rFonts w:hint="eastAsia" w:ascii="宋体" w:hAnsi="宋体" w:cs="宋体"/>
          <w:kern w:val="0"/>
          <w:sz w:val="24"/>
        </w:rPr>
        <w:t>不能按时上传、解密者视为自动放弃投标。</w:t>
      </w:r>
    </w:p>
    <w:p w14:paraId="773F0400">
      <w:pPr>
        <w:autoSpaceDE w:val="0"/>
        <w:autoSpaceDN w:val="0"/>
        <w:adjustRightInd w:val="0"/>
        <w:spacing w:line="500" w:lineRule="exact"/>
        <w:ind w:firstLine="480" w:firstLineChars="200"/>
        <w:jc w:val="left"/>
        <w:rPr>
          <w:rFonts w:hint="eastAsia" w:ascii="宋体" w:hAnsi="宋体" w:cs="宋体"/>
          <w:sz w:val="24"/>
        </w:rPr>
      </w:pPr>
      <w:r>
        <w:rPr>
          <w:rFonts w:hint="eastAsia" w:ascii="宋体" w:hAnsi="宋体" w:cs="宋体"/>
          <w:kern w:val="0"/>
          <w:sz w:val="24"/>
        </w:rPr>
        <w:t>4.2.</w:t>
      </w:r>
      <w:r>
        <w:rPr>
          <w:rFonts w:hint="eastAsia" w:ascii="宋体" w:hAnsi="宋体" w:cs="宋体"/>
          <w:kern w:val="0"/>
          <w:sz w:val="24"/>
          <w:lang w:val="zh-CN"/>
        </w:rPr>
        <w:t>2.采购人拒绝接收在投标文件递交截止时间后上传的投标文件。</w:t>
      </w:r>
      <w:bookmarkStart w:id="120" w:name="_Hlt26954862"/>
      <w:bookmarkEnd w:id="120"/>
      <w:bookmarkStart w:id="121" w:name="_Hlt26954754"/>
      <w:bookmarkEnd w:id="121"/>
    </w:p>
    <w:p w14:paraId="4789649E">
      <w:pPr>
        <w:spacing w:line="500" w:lineRule="exact"/>
        <w:ind w:firstLine="482" w:firstLineChars="200"/>
        <w:rPr>
          <w:rFonts w:hint="eastAsia" w:ascii="宋体" w:hAnsi="宋体" w:cs="宋体"/>
          <w:b/>
          <w:bCs/>
          <w:sz w:val="24"/>
        </w:rPr>
      </w:pPr>
      <w:bookmarkStart w:id="122" w:name="_Toc403122518"/>
      <w:bookmarkStart w:id="123" w:name="_Toc426369507"/>
      <w:bookmarkStart w:id="124" w:name="_Toc279599797"/>
      <w:bookmarkStart w:id="125" w:name="_Toc274249601"/>
      <w:r>
        <w:rPr>
          <w:rFonts w:hint="eastAsia" w:ascii="宋体" w:hAnsi="宋体" w:cs="宋体"/>
          <w:b/>
          <w:bCs/>
          <w:sz w:val="24"/>
        </w:rPr>
        <w:t>4.3 投标文件的修改与撤回</w:t>
      </w:r>
      <w:bookmarkEnd w:id="122"/>
      <w:bookmarkEnd w:id="123"/>
      <w:bookmarkEnd w:id="124"/>
      <w:bookmarkEnd w:id="125"/>
    </w:p>
    <w:p w14:paraId="7CE5DB89">
      <w:pPr>
        <w:spacing w:line="500" w:lineRule="exact"/>
        <w:ind w:firstLine="480" w:firstLineChars="200"/>
        <w:rPr>
          <w:rFonts w:hint="eastAsia" w:ascii="宋体" w:hAnsi="宋体" w:cs="宋体"/>
          <w:sz w:val="24"/>
        </w:rPr>
      </w:pPr>
      <w:r>
        <w:rPr>
          <w:rFonts w:hint="eastAsia" w:ascii="宋体" w:hAnsi="宋体" w:cs="宋体"/>
          <w:sz w:val="24"/>
        </w:rPr>
        <w:t xml:space="preserve">4.3.1在本章第 2.2.2 项规定的投标截止时间前，供应商可以修改或撤回已递交的投标文件。 </w:t>
      </w:r>
    </w:p>
    <w:p w14:paraId="19240451">
      <w:pPr>
        <w:spacing w:line="500" w:lineRule="exact"/>
        <w:ind w:firstLine="480" w:firstLineChars="200"/>
        <w:rPr>
          <w:rFonts w:hint="eastAsia" w:ascii="宋体" w:hAnsi="宋体" w:cs="宋体"/>
          <w:sz w:val="24"/>
        </w:rPr>
      </w:pPr>
      <w:r>
        <w:rPr>
          <w:rFonts w:hint="eastAsia" w:ascii="宋体" w:hAnsi="宋体" w:cs="宋体"/>
          <w:sz w:val="24"/>
        </w:rPr>
        <w:t xml:space="preserve">4.3.2供应商修改或撤回已递交投标文件的书面通知应按照本章第 3.7.3 项的要求签字盖章。 </w:t>
      </w:r>
    </w:p>
    <w:p w14:paraId="15C6607C">
      <w:pPr>
        <w:spacing w:line="500" w:lineRule="exact"/>
        <w:ind w:firstLine="480" w:firstLineChars="200"/>
        <w:rPr>
          <w:rFonts w:hint="eastAsia" w:ascii="宋体" w:hAnsi="宋体" w:cs="宋体"/>
          <w:sz w:val="24"/>
        </w:rPr>
      </w:pPr>
      <w:r>
        <w:rPr>
          <w:rFonts w:hint="eastAsia" w:ascii="宋体" w:hAnsi="宋体" w:cs="宋体"/>
          <w:sz w:val="24"/>
        </w:rPr>
        <w:t xml:space="preserve">4.3.3修改的内容为投标文件的组成部分。修改的投标文件应按照本章第 3 条、第 4 条规定进行编制、密封、标记和递交，并标明“修改”字样。 </w:t>
      </w:r>
    </w:p>
    <w:p w14:paraId="76702C57">
      <w:pPr>
        <w:pStyle w:val="5"/>
        <w:spacing w:before="120" w:after="120" w:line="500" w:lineRule="exact"/>
        <w:ind w:right="-1029" w:rightChars="-490" w:firstLine="482" w:firstLineChars="200"/>
        <w:jc w:val="left"/>
        <w:outlineLvl w:val="1"/>
        <w:rPr>
          <w:rFonts w:hint="eastAsia" w:ascii="宋体" w:hAnsi="宋体" w:eastAsia="宋体" w:cs="宋体"/>
          <w:sz w:val="24"/>
          <w:szCs w:val="24"/>
        </w:rPr>
      </w:pPr>
      <w:bookmarkStart w:id="126" w:name="_Toc5457"/>
      <w:bookmarkStart w:id="127" w:name="_Toc426369508"/>
      <w:bookmarkStart w:id="128" w:name="_Toc403122519"/>
      <w:bookmarkStart w:id="129" w:name="_Toc11336"/>
      <w:bookmarkStart w:id="130" w:name="_Toc32449"/>
      <w:bookmarkStart w:id="131" w:name="_Toc18170"/>
      <w:r>
        <w:rPr>
          <w:rFonts w:hint="eastAsia" w:ascii="宋体" w:hAnsi="宋体" w:eastAsia="宋体" w:cs="宋体"/>
          <w:sz w:val="24"/>
          <w:szCs w:val="24"/>
        </w:rPr>
        <w:t>5. 开标</w:t>
      </w:r>
      <w:bookmarkEnd w:id="126"/>
      <w:bookmarkEnd w:id="127"/>
      <w:bookmarkEnd w:id="128"/>
      <w:bookmarkEnd w:id="129"/>
      <w:bookmarkEnd w:id="130"/>
      <w:bookmarkEnd w:id="131"/>
    </w:p>
    <w:p w14:paraId="486207C1">
      <w:pPr>
        <w:spacing w:line="500" w:lineRule="exact"/>
        <w:ind w:firstLine="480" w:firstLineChars="200"/>
        <w:rPr>
          <w:rFonts w:hint="eastAsia" w:ascii="宋体" w:hAnsi="宋体" w:cs="宋体"/>
          <w:sz w:val="24"/>
        </w:rPr>
      </w:pPr>
      <w:r>
        <w:rPr>
          <w:rFonts w:hint="eastAsia" w:ascii="宋体" w:hAnsi="宋体" w:cs="宋体"/>
          <w:sz w:val="24"/>
        </w:rPr>
        <w:t>5.1.1采购人在规定的投标截止时间（开标时间）和投标人须知前附表规定的地点公开开标。本项目采用“远程不见面”的开标方式,载明远程开标大厅网址（https://ggzy.jiaozuo.gov.cn/BidOpeningHall/bidhall/dqhnjz/login.html ）。投标人无需到现场参加开标会议，无需到达现场提交原件资料。投标人应当在线准时参加开标活动并进行文件解密、答疑澄清等。在规定时间内投标文件未解密的投标人，视为放弃投标。</w:t>
      </w:r>
    </w:p>
    <w:p w14:paraId="73D06495">
      <w:pPr>
        <w:spacing w:line="500" w:lineRule="exact"/>
        <w:ind w:firstLine="480" w:firstLineChars="200"/>
        <w:rPr>
          <w:rFonts w:hint="eastAsia" w:ascii="宋体" w:hAnsi="宋体" w:cs="宋体"/>
          <w:sz w:val="24"/>
        </w:rPr>
      </w:pPr>
      <w:r>
        <w:rPr>
          <w:rFonts w:hint="eastAsia" w:ascii="宋体" w:hAnsi="宋体" w:cs="宋体"/>
          <w:sz w:val="24"/>
        </w:rPr>
        <w:t>所有投标文件必须在本招标文件中规定的投标截止时间之前提前上传投标文件，按要求解密投标文件，不能按时上传、解密者视为自动放弃投标。</w:t>
      </w:r>
    </w:p>
    <w:p w14:paraId="1CAF906E">
      <w:pPr>
        <w:spacing w:line="500" w:lineRule="exact"/>
        <w:ind w:firstLine="480" w:firstLineChars="200"/>
        <w:rPr>
          <w:rFonts w:hint="eastAsia" w:ascii="宋体" w:hAnsi="宋体" w:cs="宋体"/>
          <w:sz w:val="24"/>
        </w:rPr>
      </w:pPr>
      <w:r>
        <w:rPr>
          <w:rFonts w:hint="eastAsia" w:ascii="宋体" w:hAnsi="宋体" w:cs="宋体"/>
          <w:sz w:val="24"/>
        </w:rPr>
        <w:t xml:space="preserve">5.1.2投标人不足3家的，不得开标。  </w:t>
      </w:r>
    </w:p>
    <w:p w14:paraId="16449FCF">
      <w:pPr>
        <w:spacing w:line="500" w:lineRule="exact"/>
        <w:ind w:firstLine="482" w:firstLineChars="200"/>
        <w:rPr>
          <w:rFonts w:hint="eastAsia" w:ascii="宋体" w:hAnsi="宋体" w:cs="宋体"/>
          <w:b/>
          <w:bCs/>
          <w:sz w:val="24"/>
        </w:rPr>
      </w:pPr>
      <w:bookmarkStart w:id="132" w:name="_Toc279599799"/>
      <w:bookmarkStart w:id="133" w:name="_Toc403122520"/>
      <w:bookmarkStart w:id="134" w:name="_Toc274249603"/>
      <w:bookmarkStart w:id="135" w:name="_Toc426369509"/>
      <w:r>
        <w:rPr>
          <w:rFonts w:hint="eastAsia" w:ascii="宋体" w:hAnsi="宋体" w:cs="宋体"/>
          <w:b/>
          <w:bCs/>
          <w:sz w:val="24"/>
        </w:rPr>
        <w:t>5.2 开标时间和地点</w:t>
      </w:r>
      <w:bookmarkEnd w:id="132"/>
      <w:bookmarkEnd w:id="133"/>
      <w:bookmarkEnd w:id="134"/>
      <w:bookmarkEnd w:id="135"/>
    </w:p>
    <w:p w14:paraId="61B3857D">
      <w:pPr>
        <w:spacing w:line="500" w:lineRule="exact"/>
        <w:ind w:firstLine="480" w:firstLineChars="200"/>
        <w:rPr>
          <w:rFonts w:hint="eastAsia" w:ascii="宋体" w:hAnsi="宋体" w:cs="宋体"/>
          <w:sz w:val="24"/>
        </w:rPr>
      </w:pPr>
      <w:r>
        <w:rPr>
          <w:rFonts w:hint="eastAsia" w:ascii="宋体" w:hAnsi="宋体" w:cs="宋体"/>
          <w:sz w:val="24"/>
        </w:rPr>
        <w:t>采购人在本章第 2.2.2 项规定的投标截止时间（开标时间）和供应商须知前附表规定的地点公开开标。</w:t>
      </w:r>
    </w:p>
    <w:p w14:paraId="3F14FC94">
      <w:pPr>
        <w:spacing w:line="500" w:lineRule="exact"/>
        <w:ind w:firstLine="482" w:firstLineChars="200"/>
        <w:rPr>
          <w:rFonts w:hint="eastAsia" w:ascii="宋体" w:hAnsi="宋体" w:cs="宋体"/>
          <w:b/>
          <w:bCs/>
          <w:sz w:val="24"/>
        </w:rPr>
      </w:pPr>
      <w:bookmarkStart w:id="136" w:name="_Toc274249604"/>
      <w:bookmarkStart w:id="137" w:name="_Toc279599800"/>
      <w:bookmarkStart w:id="138" w:name="_Toc426369510"/>
      <w:bookmarkStart w:id="139" w:name="_Toc403122521"/>
      <w:r>
        <w:rPr>
          <w:rFonts w:hint="eastAsia" w:ascii="宋体" w:hAnsi="宋体" w:cs="宋体"/>
          <w:b/>
          <w:bCs/>
          <w:sz w:val="24"/>
        </w:rPr>
        <w:t>5.3开标程序</w:t>
      </w:r>
      <w:bookmarkEnd w:id="136"/>
      <w:bookmarkEnd w:id="137"/>
      <w:bookmarkEnd w:id="138"/>
      <w:bookmarkEnd w:id="139"/>
    </w:p>
    <w:p w14:paraId="232A9063">
      <w:pPr>
        <w:spacing w:line="500" w:lineRule="exact"/>
        <w:ind w:firstLine="480" w:firstLineChars="200"/>
        <w:rPr>
          <w:rFonts w:hint="eastAsia" w:ascii="宋体" w:hAnsi="宋体" w:cs="宋体"/>
          <w:sz w:val="24"/>
          <w:lang w:val="zh-CN"/>
        </w:rPr>
      </w:pPr>
      <w:bookmarkStart w:id="140" w:name="_Toc426369511"/>
      <w:r>
        <w:rPr>
          <w:rFonts w:hint="eastAsia" w:ascii="宋体" w:hAnsi="宋体" w:cs="宋体"/>
          <w:sz w:val="24"/>
        </w:rPr>
        <w:t>5.3</w:t>
      </w:r>
      <w:r>
        <w:rPr>
          <w:rFonts w:hint="eastAsia" w:ascii="宋体" w:hAnsi="宋体" w:cs="宋体"/>
          <w:sz w:val="24"/>
          <w:lang w:val="zh-CN"/>
        </w:rPr>
        <w:t>.1本</w:t>
      </w:r>
      <w:r>
        <w:rPr>
          <w:rFonts w:hint="eastAsia" w:ascii="宋体" w:hAnsi="宋体" w:cs="宋体"/>
          <w:sz w:val="24"/>
        </w:rPr>
        <w:t>项目</w:t>
      </w:r>
      <w:r>
        <w:rPr>
          <w:rFonts w:hint="eastAsia" w:ascii="宋体" w:hAnsi="宋体" w:cs="宋体"/>
          <w:sz w:val="24"/>
          <w:lang w:val="zh-CN"/>
        </w:rPr>
        <w:t>采用电子开标。投标截止时间到达后，各投标人对电子投标文件进行解密。解密完成后各投标人的电子投标文件的实质性内容将自动显示在网页中。投标人在投标截止时间前未上传电子投标文件的将被视为放弃投标。</w:t>
      </w:r>
    </w:p>
    <w:p w14:paraId="32F1D88B">
      <w:pPr>
        <w:spacing w:line="500" w:lineRule="exact"/>
        <w:ind w:firstLine="480" w:firstLineChars="200"/>
        <w:rPr>
          <w:rFonts w:hint="eastAsia" w:ascii="宋体" w:hAnsi="宋体" w:cs="宋体"/>
          <w:sz w:val="24"/>
          <w:lang w:val="zh-CN"/>
        </w:rPr>
      </w:pPr>
      <w:r>
        <w:rPr>
          <w:rFonts w:hint="eastAsia" w:ascii="宋体" w:hAnsi="宋体" w:cs="宋体"/>
          <w:sz w:val="24"/>
          <w:lang w:val="zh-CN"/>
        </w:rPr>
        <w:t>主持人按下列程序进行开标：</w:t>
      </w:r>
    </w:p>
    <w:p w14:paraId="030D1747">
      <w:pPr>
        <w:spacing w:line="500" w:lineRule="exact"/>
        <w:ind w:firstLine="480" w:firstLineChars="200"/>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zh-CN"/>
        </w:rPr>
        <w:t>）公布在投标截止时间前递交响应性文件的供应商名称；</w:t>
      </w:r>
    </w:p>
    <w:p w14:paraId="2842BCE9">
      <w:pPr>
        <w:spacing w:line="500" w:lineRule="exact"/>
        <w:ind w:firstLine="480" w:firstLineChars="200"/>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）供应商通过电子招标投标交易平台对已递交的电子响应性文件在规定</w:t>
      </w:r>
    </w:p>
    <w:p w14:paraId="23560061">
      <w:pPr>
        <w:spacing w:line="500" w:lineRule="exact"/>
        <w:ind w:firstLine="480" w:firstLineChars="200"/>
        <w:rPr>
          <w:rFonts w:hint="eastAsia" w:ascii="宋体" w:hAnsi="宋体" w:cs="宋体"/>
          <w:sz w:val="24"/>
          <w:lang w:val="zh-CN"/>
        </w:rPr>
      </w:pPr>
      <w:r>
        <w:rPr>
          <w:rFonts w:hint="eastAsia" w:ascii="宋体" w:hAnsi="宋体" w:cs="宋体"/>
          <w:sz w:val="24"/>
          <w:lang w:val="zh-CN"/>
        </w:rPr>
        <w:t>时间内进行解密；</w:t>
      </w:r>
    </w:p>
    <w:p w14:paraId="35594987">
      <w:pPr>
        <w:spacing w:line="500" w:lineRule="exact"/>
        <w:ind w:firstLine="480" w:firstLineChars="200"/>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3</w:t>
      </w:r>
      <w:r>
        <w:rPr>
          <w:rFonts w:hint="eastAsia" w:ascii="宋体" w:hAnsi="宋体" w:cs="宋体"/>
          <w:sz w:val="24"/>
          <w:lang w:val="zh-CN"/>
        </w:rPr>
        <w:t>） 批量导入文件；</w:t>
      </w:r>
    </w:p>
    <w:p w14:paraId="234A0EDD">
      <w:pPr>
        <w:spacing w:line="500" w:lineRule="exact"/>
        <w:ind w:firstLine="480" w:firstLineChars="200"/>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4</w:t>
      </w:r>
      <w:r>
        <w:rPr>
          <w:rFonts w:hint="eastAsia" w:ascii="宋体" w:hAnsi="宋体" w:cs="宋体"/>
          <w:sz w:val="24"/>
          <w:lang w:val="zh-CN"/>
        </w:rPr>
        <w:t>）公布采购项目名称、供应商名称、合同履行期限等其他内容，并记录在案；</w:t>
      </w:r>
    </w:p>
    <w:p w14:paraId="6B28F5D8">
      <w:pPr>
        <w:spacing w:line="500" w:lineRule="exact"/>
        <w:ind w:firstLine="480" w:firstLineChars="200"/>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5</w:t>
      </w:r>
      <w:r>
        <w:rPr>
          <w:rFonts w:hint="eastAsia" w:ascii="宋体" w:hAnsi="宋体" w:cs="宋体"/>
          <w:sz w:val="24"/>
          <w:lang w:val="zh-CN"/>
        </w:rPr>
        <w:t>）采购人代表、监督人等有关人员按具体现场系统情况在开标记录上签</w:t>
      </w:r>
    </w:p>
    <w:p w14:paraId="1D6C5D33">
      <w:pPr>
        <w:spacing w:line="500" w:lineRule="exact"/>
        <w:ind w:firstLine="480" w:firstLineChars="200"/>
        <w:rPr>
          <w:rFonts w:hint="eastAsia" w:ascii="宋体" w:hAnsi="宋体" w:cs="宋体"/>
          <w:sz w:val="24"/>
          <w:lang w:val="zh-CN"/>
        </w:rPr>
      </w:pPr>
      <w:r>
        <w:rPr>
          <w:rFonts w:hint="eastAsia" w:ascii="宋体" w:hAnsi="宋体" w:cs="宋体"/>
          <w:sz w:val="24"/>
          <w:lang w:val="zh-CN"/>
        </w:rPr>
        <w:t>字确认；</w:t>
      </w:r>
    </w:p>
    <w:p w14:paraId="61403F92">
      <w:pPr>
        <w:spacing w:line="500" w:lineRule="exact"/>
        <w:ind w:firstLine="480" w:firstLineChars="200"/>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）开标结束。</w:t>
      </w:r>
    </w:p>
    <w:p w14:paraId="78D3C044">
      <w:pPr>
        <w:spacing w:line="440" w:lineRule="exact"/>
        <w:ind w:firstLine="480" w:firstLineChars="200"/>
        <w:rPr>
          <w:rFonts w:hint="eastAsia" w:ascii="宋体" w:hAnsi="宋体" w:cs="宋体"/>
          <w:sz w:val="24"/>
          <w:lang w:val="zh-CN"/>
        </w:rPr>
      </w:pPr>
      <w:r>
        <w:rPr>
          <w:rFonts w:hint="eastAsia" w:ascii="宋体" w:hAnsi="宋体" w:cs="宋体"/>
          <w:sz w:val="24"/>
          <w:lang w:val="zh-CN"/>
        </w:rPr>
        <w:t>5.3.</w:t>
      </w:r>
      <w:r>
        <w:rPr>
          <w:rFonts w:hint="eastAsia" w:ascii="宋体" w:hAnsi="宋体" w:cs="宋体"/>
          <w:sz w:val="24"/>
        </w:rPr>
        <w:t>2</w:t>
      </w:r>
      <w:r>
        <w:rPr>
          <w:rFonts w:hint="eastAsia" w:ascii="宋体" w:hAnsi="宋体" w:cs="宋体"/>
          <w:sz w:val="24"/>
          <w:lang w:val="zh-CN"/>
        </w:rPr>
        <w:t>开标时出现下列情况的，采购人将拒绝其投标文件：</w:t>
      </w:r>
    </w:p>
    <w:p w14:paraId="6E83F70C">
      <w:pPr>
        <w:spacing w:line="440" w:lineRule="exact"/>
        <w:ind w:firstLine="480" w:firstLineChars="200"/>
        <w:rPr>
          <w:rFonts w:hint="eastAsia" w:ascii="宋体" w:hAnsi="宋体" w:cs="宋体"/>
          <w:sz w:val="24"/>
          <w:lang w:val="zh-CN"/>
        </w:rPr>
      </w:pPr>
      <w:r>
        <w:rPr>
          <w:rFonts w:hint="eastAsia" w:ascii="宋体" w:hAnsi="宋体" w:cs="宋体"/>
          <w:sz w:val="24"/>
          <w:lang w:val="zh-CN"/>
        </w:rPr>
        <w:t>（1）经检查数字证书无效的投标文件；</w:t>
      </w:r>
    </w:p>
    <w:p w14:paraId="57A97B6C">
      <w:pPr>
        <w:spacing w:line="440" w:lineRule="exact"/>
        <w:ind w:firstLine="480" w:firstLineChars="200"/>
        <w:rPr>
          <w:rFonts w:hint="eastAsia" w:ascii="宋体" w:hAnsi="宋体" w:cs="宋体"/>
          <w:sz w:val="24"/>
          <w:lang w:val="zh-CN"/>
        </w:rPr>
      </w:pPr>
      <w:r>
        <w:rPr>
          <w:rFonts w:hint="eastAsia" w:ascii="宋体" w:hAnsi="宋体" w:cs="宋体"/>
          <w:sz w:val="24"/>
          <w:lang w:val="zh-CN"/>
        </w:rPr>
        <w:t>（2）投标人未按投标人须知前附表规定的时间内解密投标文件的。</w:t>
      </w:r>
    </w:p>
    <w:p w14:paraId="1BF0C603">
      <w:pPr>
        <w:spacing w:line="440" w:lineRule="exact"/>
        <w:ind w:firstLine="482" w:firstLineChars="200"/>
        <w:rPr>
          <w:rFonts w:hint="eastAsia" w:ascii="宋体" w:hAnsi="宋体" w:cs="宋体"/>
          <w:b/>
          <w:bCs/>
          <w:sz w:val="24"/>
        </w:rPr>
      </w:pPr>
      <w:r>
        <w:rPr>
          <w:rFonts w:hint="eastAsia" w:ascii="宋体" w:hAnsi="宋体" w:cs="宋体"/>
          <w:b/>
          <w:bCs/>
          <w:sz w:val="24"/>
        </w:rPr>
        <w:t>5.4开标异议</w:t>
      </w:r>
      <w:bookmarkEnd w:id="140"/>
    </w:p>
    <w:p w14:paraId="7EE92A84">
      <w:pPr>
        <w:spacing w:line="440" w:lineRule="exact"/>
        <w:ind w:firstLine="480" w:firstLineChars="200"/>
        <w:rPr>
          <w:rFonts w:hint="eastAsia" w:ascii="宋体" w:hAnsi="宋体" w:cs="宋体"/>
          <w:sz w:val="24"/>
          <w:lang w:val="zh-CN"/>
        </w:rPr>
      </w:pPr>
      <w:bookmarkStart w:id="141" w:name="_Toc426369512"/>
      <w:bookmarkStart w:id="142" w:name="_Toc21662"/>
      <w:bookmarkStart w:id="143" w:name="_Toc403122522"/>
      <w:bookmarkStart w:id="144" w:name="_Toc12881"/>
      <w:r>
        <w:rPr>
          <w:rFonts w:hint="eastAsia" w:ascii="宋体" w:hAnsi="宋体" w:cs="宋体"/>
          <w:sz w:val="24"/>
        </w:rPr>
        <w:t>5.4.1</w:t>
      </w:r>
      <w:r>
        <w:rPr>
          <w:rFonts w:hint="eastAsia" w:ascii="宋体" w:hAnsi="宋体" w:cs="宋体"/>
          <w:sz w:val="24"/>
          <w:lang w:val="zh-CN"/>
        </w:rPr>
        <w:t>投标人对开标有异议的，应当在开标现场提出（</w:t>
      </w:r>
      <w:bookmarkStart w:id="145" w:name="_Toc12998"/>
      <w:r>
        <w:rPr>
          <w:rFonts w:hint="eastAsia" w:ascii="宋体" w:hAnsi="宋体" w:cs="宋体"/>
          <w:sz w:val="24"/>
          <w:lang w:val="zh-CN"/>
        </w:rPr>
        <w:t>语音异议</w:t>
      </w:r>
      <w:bookmarkEnd w:id="145"/>
      <w:r>
        <w:rPr>
          <w:rFonts w:hint="eastAsia" w:ascii="宋体" w:hAnsi="宋体" w:cs="宋体"/>
          <w:sz w:val="24"/>
          <w:lang w:val="zh-CN"/>
        </w:rPr>
        <w:t>、</w:t>
      </w:r>
      <w:bookmarkStart w:id="146" w:name="_Toc20745"/>
      <w:r>
        <w:rPr>
          <w:rFonts w:hint="eastAsia" w:ascii="宋体" w:hAnsi="宋体" w:cs="宋体"/>
          <w:sz w:val="24"/>
          <w:lang w:val="zh-CN"/>
        </w:rPr>
        <w:t>文字异议</w:t>
      </w:r>
      <w:bookmarkEnd w:id="146"/>
      <w:r>
        <w:rPr>
          <w:rFonts w:hint="eastAsia" w:ascii="宋体" w:hAnsi="宋体" w:cs="宋体"/>
          <w:sz w:val="24"/>
          <w:lang w:val="zh-CN"/>
        </w:rPr>
        <w:t>），</w:t>
      </w:r>
      <w:r>
        <w:rPr>
          <w:rFonts w:hint="eastAsia" w:ascii="宋体" w:hAnsi="宋体" w:cs="宋体"/>
          <w:sz w:val="24"/>
        </w:rPr>
        <w:t>采购</w:t>
      </w:r>
      <w:r>
        <w:rPr>
          <w:rFonts w:hint="eastAsia" w:ascii="宋体" w:hAnsi="宋体" w:cs="宋体"/>
          <w:sz w:val="24"/>
          <w:lang w:val="zh-CN"/>
        </w:rPr>
        <w:t>人当场作出答复，并制作记录。</w:t>
      </w:r>
    </w:p>
    <w:p w14:paraId="52110A74">
      <w:pPr>
        <w:spacing w:line="440" w:lineRule="exact"/>
        <w:ind w:firstLine="480" w:firstLineChars="200"/>
        <w:rPr>
          <w:rFonts w:hint="eastAsia" w:ascii="宋体" w:hAnsi="宋体" w:cs="宋体"/>
          <w:sz w:val="24"/>
          <w:lang w:val="zh-CN"/>
        </w:rPr>
      </w:pPr>
      <w:r>
        <w:rPr>
          <w:rFonts w:hint="eastAsia" w:ascii="宋体" w:hAnsi="宋体" w:cs="宋体"/>
          <w:sz w:val="24"/>
        </w:rPr>
        <w:t>5.4.2</w:t>
      </w:r>
      <w:r>
        <w:rPr>
          <w:rFonts w:hint="eastAsia" w:ascii="宋体" w:hAnsi="宋体" w:cs="宋体"/>
          <w:sz w:val="24"/>
          <w:lang w:val="zh-CN"/>
        </w:rPr>
        <w:t>开标异常处理</w:t>
      </w:r>
    </w:p>
    <w:p w14:paraId="72CAF1C2">
      <w:pPr>
        <w:spacing w:line="440" w:lineRule="exact"/>
        <w:ind w:firstLine="480" w:firstLineChars="200"/>
        <w:rPr>
          <w:rFonts w:hint="eastAsia" w:ascii="宋体" w:hAnsi="宋体" w:cs="宋体"/>
          <w:sz w:val="24"/>
          <w:lang w:val="zh-CN"/>
        </w:rPr>
      </w:pPr>
      <w:r>
        <w:rPr>
          <w:rFonts w:hint="eastAsia" w:ascii="宋体" w:hAnsi="宋体" w:cs="宋体"/>
          <w:sz w:val="24"/>
          <w:lang w:val="zh-CN"/>
        </w:rPr>
        <w:t>当出现以下情况时，应对未开标的项目中止电子开标，对原有资料及信息作出妥善保密处理，并在恢复正常后及时安排时间开标：</w:t>
      </w:r>
    </w:p>
    <w:p w14:paraId="6EA995B6">
      <w:pPr>
        <w:spacing w:line="440" w:lineRule="exact"/>
        <w:ind w:firstLine="480" w:firstLineChars="200"/>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zh-CN"/>
        </w:rPr>
        <w:t>）系统服务器发生故障，无法访问或无法使用系统；</w:t>
      </w:r>
    </w:p>
    <w:p w14:paraId="7AE1593B">
      <w:pPr>
        <w:spacing w:line="440" w:lineRule="exact"/>
        <w:ind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系统的软件或数据库出现错误，不能进行正常操作；</w:t>
      </w:r>
    </w:p>
    <w:p w14:paraId="32291EDA">
      <w:pPr>
        <w:spacing w:line="440" w:lineRule="exact"/>
        <w:ind w:firstLine="480" w:firstLineChars="200"/>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3</w:t>
      </w:r>
      <w:r>
        <w:rPr>
          <w:rFonts w:hint="eastAsia" w:ascii="宋体" w:hAnsi="宋体" w:cs="宋体"/>
          <w:sz w:val="24"/>
          <w:lang w:val="zh-CN"/>
        </w:rPr>
        <w:t>）系统发现有安全漏洞，有潜在的泄密危险；</w:t>
      </w:r>
    </w:p>
    <w:p w14:paraId="6E9152C1">
      <w:pPr>
        <w:spacing w:line="440" w:lineRule="exact"/>
        <w:ind w:firstLine="480" w:firstLineChars="200"/>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4</w:t>
      </w:r>
      <w:r>
        <w:rPr>
          <w:rFonts w:hint="eastAsia" w:ascii="宋体" w:hAnsi="宋体" w:cs="宋体"/>
          <w:sz w:val="24"/>
          <w:lang w:val="zh-CN"/>
        </w:rPr>
        <w:t>）出现断电事故且短时间内无法恢复供电；</w:t>
      </w:r>
    </w:p>
    <w:p w14:paraId="5820B3D8">
      <w:pPr>
        <w:spacing w:line="440" w:lineRule="exact"/>
        <w:ind w:firstLine="480" w:firstLineChars="200"/>
        <w:rPr>
          <w:rFonts w:hint="eastAsia" w:ascii="宋体" w:hAnsi="宋体" w:cs="宋体"/>
          <w:sz w:val="24"/>
          <w:lang w:val="zh-CN"/>
        </w:rPr>
      </w:pPr>
      <w:r>
        <w:rPr>
          <w:rFonts w:hint="eastAsia" w:ascii="宋体" w:hAnsi="宋体" w:cs="宋体"/>
          <w:sz w:val="24"/>
        </w:rPr>
        <w:t>（5）</w:t>
      </w:r>
      <w:r>
        <w:rPr>
          <w:rFonts w:hint="eastAsia" w:ascii="宋体" w:hAnsi="宋体" w:cs="宋体"/>
          <w:sz w:val="24"/>
          <w:lang w:val="zh-CN"/>
        </w:rPr>
        <w:t>其他无法保证招投标过程正常进行的情形。</w:t>
      </w:r>
    </w:p>
    <w:p w14:paraId="79A03783">
      <w:pPr>
        <w:spacing w:line="440" w:lineRule="exact"/>
        <w:ind w:firstLine="482" w:firstLineChars="200"/>
        <w:rPr>
          <w:rFonts w:hint="eastAsia" w:ascii="宋体" w:hAnsi="宋体" w:cs="宋体"/>
          <w:b/>
          <w:bCs/>
          <w:sz w:val="24"/>
        </w:rPr>
      </w:pPr>
      <w:r>
        <w:rPr>
          <w:rFonts w:hint="eastAsia" w:ascii="宋体" w:hAnsi="宋体" w:cs="宋体"/>
          <w:b/>
          <w:bCs/>
          <w:sz w:val="24"/>
        </w:rPr>
        <w:t>5.</w:t>
      </w:r>
      <w:bookmarkStart w:id="147" w:name="_Toc9927"/>
      <w:bookmarkStart w:id="148" w:name="_Toc13445"/>
      <w:r>
        <w:rPr>
          <w:rFonts w:hint="eastAsia" w:ascii="宋体" w:hAnsi="宋体" w:cs="宋体"/>
          <w:b/>
          <w:bCs/>
          <w:sz w:val="24"/>
        </w:rPr>
        <w:t>5 资格审查工作</w:t>
      </w:r>
      <w:bookmarkEnd w:id="147"/>
      <w:bookmarkEnd w:id="148"/>
    </w:p>
    <w:p w14:paraId="127E98D3">
      <w:pPr>
        <w:spacing w:line="440" w:lineRule="exact"/>
        <w:ind w:firstLine="480" w:firstLineChars="200"/>
        <w:rPr>
          <w:rFonts w:hint="eastAsia" w:ascii="宋体" w:hAnsi="宋体" w:cs="宋体"/>
          <w:sz w:val="24"/>
        </w:rPr>
      </w:pPr>
      <w:bookmarkStart w:id="149" w:name="_Toc18803"/>
      <w:bookmarkStart w:id="150" w:name="_Toc25275"/>
      <w:bookmarkStart w:id="151" w:name="_Toc22488"/>
      <w:bookmarkStart w:id="152" w:name="_Toc15919"/>
      <w:bookmarkStart w:id="153" w:name="_Toc18888"/>
      <w:bookmarkStart w:id="154" w:name="_Toc18806"/>
      <w:bookmarkStart w:id="155" w:name="_Toc25448"/>
      <w:r>
        <w:rPr>
          <w:rFonts w:hint="eastAsia" w:ascii="宋体" w:hAnsi="宋体" w:cs="宋体"/>
          <w:sz w:val="24"/>
          <w:lang w:val="zh-CN"/>
        </w:rPr>
        <w:t>采购人或代理机构根据有关法律法规和招标文件的规定，对供应商的资格进行审查，审查每个供应商提交的资格证明材料是否齐全、完整、合法、有效。资格性审查通过不足3家的，将不再进行下一步评审。</w:t>
      </w:r>
      <w:bookmarkEnd w:id="149"/>
      <w:bookmarkEnd w:id="150"/>
      <w:bookmarkEnd w:id="151"/>
      <w:bookmarkEnd w:id="152"/>
      <w:bookmarkEnd w:id="153"/>
      <w:bookmarkEnd w:id="154"/>
      <w:bookmarkEnd w:id="155"/>
    </w:p>
    <w:p w14:paraId="1DB9906D">
      <w:pPr>
        <w:pStyle w:val="5"/>
        <w:spacing w:before="120" w:after="120" w:line="440" w:lineRule="exact"/>
        <w:ind w:right="-1029" w:rightChars="-490" w:firstLine="482" w:firstLineChars="200"/>
        <w:jc w:val="both"/>
        <w:outlineLvl w:val="1"/>
        <w:rPr>
          <w:rFonts w:hint="eastAsia" w:ascii="宋体" w:hAnsi="宋体" w:eastAsia="宋体" w:cs="宋体"/>
          <w:sz w:val="24"/>
          <w:szCs w:val="24"/>
        </w:rPr>
      </w:pPr>
      <w:bookmarkStart w:id="156" w:name="_Toc31294"/>
      <w:bookmarkStart w:id="157" w:name="_Toc6889"/>
      <w:r>
        <w:rPr>
          <w:rFonts w:hint="eastAsia" w:ascii="宋体" w:hAnsi="宋体" w:eastAsia="宋体" w:cs="宋体"/>
          <w:sz w:val="24"/>
          <w:szCs w:val="24"/>
        </w:rPr>
        <w:t>6.评标</w:t>
      </w:r>
      <w:bookmarkEnd w:id="141"/>
      <w:bookmarkEnd w:id="142"/>
      <w:bookmarkEnd w:id="143"/>
      <w:bookmarkEnd w:id="144"/>
      <w:bookmarkEnd w:id="156"/>
      <w:bookmarkEnd w:id="157"/>
    </w:p>
    <w:p w14:paraId="72E65ACB">
      <w:pPr>
        <w:spacing w:line="440" w:lineRule="exact"/>
        <w:ind w:firstLine="482" w:firstLineChars="200"/>
        <w:rPr>
          <w:rFonts w:hint="eastAsia" w:ascii="宋体" w:hAnsi="宋体" w:cs="宋体"/>
          <w:b/>
          <w:bCs/>
          <w:sz w:val="24"/>
        </w:rPr>
      </w:pPr>
      <w:bookmarkStart w:id="158" w:name="_Toc279599802"/>
      <w:bookmarkStart w:id="159" w:name="_Toc426369513"/>
      <w:bookmarkStart w:id="160" w:name="_Toc274249606"/>
      <w:bookmarkStart w:id="161" w:name="_Toc403122523"/>
      <w:r>
        <w:rPr>
          <w:rFonts w:hint="eastAsia" w:ascii="宋体" w:hAnsi="宋体" w:cs="宋体"/>
          <w:b/>
          <w:bCs/>
          <w:sz w:val="24"/>
        </w:rPr>
        <w:t>6.1 评标委员会</w:t>
      </w:r>
      <w:bookmarkEnd w:id="158"/>
      <w:bookmarkEnd w:id="159"/>
      <w:bookmarkEnd w:id="160"/>
      <w:bookmarkEnd w:id="161"/>
    </w:p>
    <w:p w14:paraId="0A361C9A">
      <w:pPr>
        <w:spacing w:line="440" w:lineRule="exact"/>
        <w:ind w:firstLine="480" w:firstLineChars="200"/>
        <w:rPr>
          <w:rFonts w:hint="eastAsia" w:ascii="宋体" w:hAnsi="宋体" w:cs="宋体"/>
          <w:sz w:val="24"/>
        </w:rPr>
      </w:pPr>
      <w:r>
        <w:rPr>
          <w:rFonts w:hint="eastAsia" w:ascii="宋体" w:hAnsi="宋体" w:cs="宋体"/>
          <w:sz w:val="24"/>
        </w:rPr>
        <w:t>6.1.1  评标由采购人依法组建的评标委员会负责。评标委员会由采购人代表和评审专家组成。评标委员会成员人数以及评审专家的确定方式见供应商须知前附表。</w:t>
      </w:r>
    </w:p>
    <w:p w14:paraId="58F4075A">
      <w:pPr>
        <w:spacing w:line="440" w:lineRule="exact"/>
        <w:ind w:firstLine="480" w:firstLineChars="200"/>
        <w:rPr>
          <w:rFonts w:hint="eastAsia" w:ascii="宋体" w:hAnsi="宋体" w:cs="宋体"/>
          <w:sz w:val="24"/>
        </w:rPr>
      </w:pPr>
      <w:r>
        <w:rPr>
          <w:rFonts w:hint="eastAsia" w:ascii="宋体" w:hAnsi="宋体" w:cs="宋体"/>
          <w:sz w:val="24"/>
        </w:rPr>
        <w:t xml:space="preserve">6.1.2  评标委员会成员有下列情形之一的，应当回避： </w:t>
      </w:r>
    </w:p>
    <w:p w14:paraId="24CAE582">
      <w:pPr>
        <w:spacing w:line="440" w:lineRule="exact"/>
        <w:ind w:firstLine="480" w:firstLineChars="200"/>
        <w:rPr>
          <w:rFonts w:hint="eastAsia" w:ascii="宋体" w:hAnsi="宋体" w:cs="宋体"/>
          <w:sz w:val="24"/>
        </w:rPr>
      </w:pPr>
      <w:r>
        <w:rPr>
          <w:rFonts w:hint="eastAsia" w:ascii="宋体" w:hAnsi="宋体" w:cs="宋体"/>
          <w:sz w:val="24"/>
        </w:rPr>
        <w:t xml:space="preserve">（1）供应商或供应商的主要负责人的近亲属； </w:t>
      </w:r>
    </w:p>
    <w:p w14:paraId="16D36F97">
      <w:pPr>
        <w:spacing w:line="440" w:lineRule="exact"/>
        <w:ind w:firstLine="480" w:firstLineChars="200"/>
        <w:rPr>
          <w:rFonts w:hint="eastAsia" w:ascii="宋体" w:hAnsi="宋体" w:cs="宋体"/>
          <w:sz w:val="24"/>
        </w:rPr>
      </w:pPr>
      <w:r>
        <w:rPr>
          <w:rFonts w:hint="eastAsia" w:ascii="宋体" w:hAnsi="宋体" w:cs="宋体"/>
          <w:sz w:val="24"/>
        </w:rPr>
        <w:t xml:space="preserve">（2）项目主管部门或者行政监督部门的人员； </w:t>
      </w:r>
    </w:p>
    <w:p w14:paraId="486CB2A5">
      <w:pPr>
        <w:spacing w:line="440" w:lineRule="exact"/>
        <w:ind w:firstLine="480" w:firstLineChars="200"/>
        <w:rPr>
          <w:rFonts w:hint="eastAsia" w:ascii="宋体" w:hAnsi="宋体" w:cs="宋体"/>
          <w:sz w:val="24"/>
        </w:rPr>
      </w:pPr>
      <w:r>
        <w:rPr>
          <w:rFonts w:hint="eastAsia" w:ascii="宋体" w:hAnsi="宋体" w:cs="宋体"/>
          <w:sz w:val="24"/>
        </w:rPr>
        <w:t xml:space="preserve">（3）与供应商有经济利益关系，可能影响对投标公正评审的； </w:t>
      </w:r>
    </w:p>
    <w:p w14:paraId="0D0E4607">
      <w:pPr>
        <w:spacing w:line="440" w:lineRule="exact"/>
        <w:ind w:firstLine="480" w:firstLineChars="200"/>
        <w:rPr>
          <w:rFonts w:hint="eastAsia" w:ascii="宋体" w:hAnsi="宋体" w:cs="宋体"/>
          <w:sz w:val="24"/>
        </w:rPr>
      </w:pPr>
      <w:r>
        <w:rPr>
          <w:rFonts w:hint="eastAsia" w:ascii="宋体" w:hAnsi="宋体" w:cs="宋体"/>
          <w:sz w:val="24"/>
        </w:rPr>
        <w:t xml:space="preserve">（4）曾因在招标、评标以及其他与招标投标有关活动中从事违法行为而受过行政处罚或刑事处罚的。 </w:t>
      </w:r>
    </w:p>
    <w:p w14:paraId="77A12519">
      <w:pPr>
        <w:spacing w:line="440" w:lineRule="exact"/>
        <w:ind w:firstLine="482" w:firstLineChars="200"/>
        <w:rPr>
          <w:rFonts w:hint="eastAsia" w:ascii="宋体" w:hAnsi="宋体" w:cs="宋体"/>
          <w:b/>
          <w:bCs/>
          <w:sz w:val="24"/>
        </w:rPr>
      </w:pPr>
      <w:bookmarkStart w:id="162" w:name="_Toc426369514"/>
      <w:bookmarkStart w:id="163" w:name="_Toc274249607"/>
      <w:bookmarkStart w:id="164" w:name="_Toc403122524"/>
      <w:bookmarkStart w:id="165" w:name="_Toc279599803"/>
      <w:r>
        <w:rPr>
          <w:rFonts w:hint="eastAsia" w:ascii="宋体" w:hAnsi="宋体" w:cs="宋体"/>
          <w:b/>
          <w:bCs/>
          <w:sz w:val="24"/>
        </w:rPr>
        <w:t>6.2 评标原则</w:t>
      </w:r>
      <w:bookmarkEnd w:id="162"/>
      <w:bookmarkEnd w:id="163"/>
      <w:bookmarkEnd w:id="164"/>
      <w:bookmarkEnd w:id="165"/>
    </w:p>
    <w:p w14:paraId="7C1936E0">
      <w:pPr>
        <w:spacing w:line="440" w:lineRule="exact"/>
        <w:ind w:firstLine="480" w:firstLineChars="200"/>
        <w:rPr>
          <w:rFonts w:hint="eastAsia" w:ascii="宋体" w:hAnsi="宋体" w:cs="宋体"/>
          <w:sz w:val="24"/>
        </w:rPr>
      </w:pPr>
      <w:r>
        <w:rPr>
          <w:rFonts w:hint="eastAsia" w:ascii="宋体" w:hAnsi="宋体" w:cs="宋体"/>
          <w:sz w:val="24"/>
        </w:rPr>
        <w:t xml:space="preserve">评标活动遵循公平、公正、科学和择优的原则。 </w:t>
      </w:r>
    </w:p>
    <w:p w14:paraId="6E5B26E2">
      <w:pPr>
        <w:spacing w:line="440" w:lineRule="exact"/>
        <w:ind w:firstLine="482" w:firstLineChars="200"/>
        <w:rPr>
          <w:rFonts w:hint="eastAsia" w:ascii="宋体" w:hAnsi="宋体" w:cs="宋体"/>
          <w:sz w:val="24"/>
        </w:rPr>
      </w:pPr>
      <w:bookmarkStart w:id="166" w:name="_Toc274249608"/>
      <w:bookmarkStart w:id="167" w:name="_Toc279599804"/>
      <w:bookmarkStart w:id="168" w:name="_Toc426369515"/>
      <w:bookmarkStart w:id="169" w:name="_Toc403122525"/>
      <w:r>
        <w:rPr>
          <w:rFonts w:hint="eastAsia" w:ascii="宋体" w:hAnsi="宋体" w:cs="宋体"/>
          <w:b/>
          <w:bCs/>
          <w:sz w:val="24"/>
        </w:rPr>
        <w:t>6.3 评标</w:t>
      </w:r>
      <w:bookmarkEnd w:id="166"/>
      <w:bookmarkEnd w:id="167"/>
      <w:bookmarkEnd w:id="168"/>
      <w:bookmarkEnd w:id="169"/>
    </w:p>
    <w:p w14:paraId="39EFA184">
      <w:pPr>
        <w:spacing w:line="440" w:lineRule="exact"/>
        <w:ind w:firstLine="480" w:firstLineChars="200"/>
        <w:rPr>
          <w:rFonts w:hint="eastAsia" w:ascii="宋体" w:hAnsi="宋体" w:cs="宋体"/>
          <w:sz w:val="24"/>
        </w:rPr>
      </w:pPr>
      <w:r>
        <w:rPr>
          <w:rFonts w:hint="eastAsia" w:ascii="宋体" w:hAnsi="宋体" w:cs="宋体"/>
          <w:sz w:val="24"/>
        </w:rPr>
        <w:t>6.3.1在评审过程中，评标委员会发现投标人有下列情形之一的，视为投标人相互串通投标，按照无效投标处理并依据法律、法规追究其相关责任。具体表现形式如下：</w:t>
      </w:r>
    </w:p>
    <w:p w14:paraId="391410B5">
      <w:pPr>
        <w:spacing w:line="440" w:lineRule="exact"/>
        <w:ind w:firstLine="480" w:firstLineChars="200"/>
        <w:rPr>
          <w:rFonts w:hint="eastAsia" w:ascii="宋体" w:hAnsi="宋体" w:cs="宋体"/>
          <w:sz w:val="24"/>
        </w:rPr>
      </w:pPr>
      <w:r>
        <w:rPr>
          <w:rFonts w:hint="eastAsia" w:ascii="宋体" w:hAnsi="宋体" w:cs="宋体"/>
          <w:sz w:val="24"/>
        </w:rPr>
        <w:t>（1）不同投标人的投标文件由同一单位或者个人编制；</w:t>
      </w:r>
    </w:p>
    <w:p w14:paraId="51D1BBBB">
      <w:pPr>
        <w:spacing w:line="440" w:lineRule="exact"/>
        <w:ind w:firstLine="480" w:firstLineChars="200"/>
        <w:rPr>
          <w:rFonts w:hint="eastAsia" w:ascii="宋体" w:hAnsi="宋体" w:cs="宋体"/>
          <w:sz w:val="24"/>
        </w:rPr>
      </w:pPr>
      <w:r>
        <w:rPr>
          <w:rFonts w:hint="eastAsia" w:ascii="宋体" w:hAnsi="宋体" w:cs="宋体"/>
          <w:sz w:val="24"/>
        </w:rPr>
        <w:t>（2）不同投标人委托同一单位或者个人办理投标事宜；</w:t>
      </w:r>
    </w:p>
    <w:p w14:paraId="761BD5D0">
      <w:pPr>
        <w:spacing w:line="440" w:lineRule="exact"/>
        <w:ind w:firstLine="480" w:firstLineChars="200"/>
        <w:rPr>
          <w:rFonts w:hint="eastAsia" w:ascii="宋体" w:hAnsi="宋体" w:cs="宋体"/>
          <w:sz w:val="24"/>
        </w:rPr>
      </w:pPr>
      <w:r>
        <w:rPr>
          <w:rFonts w:hint="eastAsia" w:ascii="宋体" w:hAnsi="宋体" w:cs="宋体"/>
          <w:sz w:val="24"/>
        </w:rPr>
        <w:t>（3）不同投标人的投标文件载明的项目管理成员或者联系人员为同一人；</w:t>
      </w:r>
    </w:p>
    <w:p w14:paraId="24E68772">
      <w:pPr>
        <w:spacing w:line="440" w:lineRule="exact"/>
        <w:ind w:firstLine="480" w:firstLineChars="200"/>
        <w:rPr>
          <w:rFonts w:hint="eastAsia" w:ascii="宋体" w:hAnsi="宋体" w:cs="宋体"/>
          <w:sz w:val="24"/>
        </w:rPr>
      </w:pPr>
      <w:r>
        <w:rPr>
          <w:rFonts w:hint="eastAsia" w:ascii="宋体" w:hAnsi="宋体" w:cs="宋体"/>
          <w:sz w:val="24"/>
        </w:rPr>
        <w:t>（4）不同投标人的投标文件异常一致或者投标报价呈规律性差异；</w:t>
      </w:r>
    </w:p>
    <w:p w14:paraId="3AE6F60F">
      <w:pPr>
        <w:spacing w:line="440" w:lineRule="exact"/>
        <w:ind w:firstLine="480" w:firstLineChars="200"/>
        <w:rPr>
          <w:rFonts w:hint="eastAsia" w:ascii="宋体" w:hAnsi="宋体" w:cs="宋体"/>
          <w:sz w:val="24"/>
        </w:rPr>
      </w:pPr>
      <w:r>
        <w:rPr>
          <w:rFonts w:hint="eastAsia" w:ascii="宋体" w:hAnsi="宋体" w:cs="宋体"/>
          <w:sz w:val="24"/>
        </w:rPr>
        <w:t>（5）不同投标人的投标文件相互混装；</w:t>
      </w:r>
    </w:p>
    <w:p w14:paraId="497A6887">
      <w:pPr>
        <w:spacing w:line="440" w:lineRule="exact"/>
        <w:ind w:firstLine="480" w:firstLineChars="200"/>
        <w:rPr>
          <w:rFonts w:hint="eastAsia" w:ascii="宋体" w:hAnsi="宋体" w:cs="宋体"/>
          <w:sz w:val="24"/>
        </w:rPr>
      </w:pPr>
      <w:r>
        <w:rPr>
          <w:rFonts w:hint="eastAsia" w:ascii="宋体" w:hAnsi="宋体" w:cs="宋体"/>
          <w:sz w:val="24"/>
        </w:rPr>
        <w:t>（6）有证据证明投标人与采购人、采购代理机构或者其他投标人串通的其他情形；</w:t>
      </w:r>
    </w:p>
    <w:p w14:paraId="7808DD07">
      <w:pPr>
        <w:spacing w:line="440" w:lineRule="exact"/>
        <w:ind w:firstLine="480" w:firstLineChars="200"/>
        <w:rPr>
          <w:rFonts w:hint="eastAsia" w:ascii="宋体" w:hAnsi="宋体" w:cs="宋体"/>
          <w:sz w:val="24"/>
        </w:rPr>
      </w:pPr>
      <w:r>
        <w:rPr>
          <w:rFonts w:hint="eastAsia" w:ascii="宋体" w:hAnsi="宋体" w:cs="宋体"/>
          <w:sz w:val="24"/>
        </w:rPr>
        <w:t>6.3.2评标委员会应当按照招标文件中规定的评标方法和标准，对符合性审查合格的投标文件进行商务和技术评估，综合比较与评价。招标文件没有规定的评标方法、评审因素和标准，不作为评标依据。</w:t>
      </w:r>
    </w:p>
    <w:p w14:paraId="07145B85">
      <w:pPr>
        <w:spacing w:line="440" w:lineRule="exact"/>
        <w:ind w:firstLine="480" w:firstLineChars="200"/>
        <w:rPr>
          <w:rFonts w:hint="eastAsia" w:ascii="宋体" w:hAnsi="宋体" w:cs="宋体"/>
          <w:sz w:val="24"/>
        </w:rPr>
      </w:pPr>
      <w:r>
        <w:rPr>
          <w:rFonts w:hint="eastAsia" w:ascii="宋体" w:hAnsi="宋体" w:cs="宋体"/>
          <w:sz w:val="24"/>
        </w:rPr>
        <w:t>6.3.3评标时，评标委员会各成员应当独立对每个投标人的投标文件进行评价，并汇总每个投标人的得分。</w:t>
      </w:r>
    </w:p>
    <w:p w14:paraId="3307A81A">
      <w:pPr>
        <w:spacing w:line="440" w:lineRule="exact"/>
        <w:ind w:firstLine="480" w:firstLineChars="200"/>
        <w:rPr>
          <w:rFonts w:hint="eastAsia" w:ascii="宋体" w:hAnsi="宋体" w:cs="宋体"/>
          <w:sz w:val="24"/>
        </w:rPr>
      </w:pPr>
      <w:r>
        <w:rPr>
          <w:rFonts w:hint="eastAsia" w:ascii="宋体" w:hAnsi="宋体" w:cs="宋体"/>
          <w:sz w:val="24"/>
        </w:rPr>
        <w:t>评标完成后，评标委员会应当向采购人提交书面评标报告和中标候选人名单。评标委员会推荐中标候选人的人数见投标人须知前附表。</w:t>
      </w:r>
    </w:p>
    <w:p w14:paraId="47C8BC6B">
      <w:pPr>
        <w:spacing w:line="440" w:lineRule="exact"/>
        <w:ind w:firstLine="480" w:firstLineChars="200"/>
        <w:rPr>
          <w:rFonts w:hint="eastAsia" w:ascii="宋体" w:hAnsi="宋体" w:cs="宋体"/>
          <w:sz w:val="24"/>
        </w:rPr>
      </w:pPr>
      <w:r>
        <w:rPr>
          <w:rFonts w:hint="eastAsia" w:ascii="宋体" w:hAnsi="宋体" w:cs="宋体"/>
          <w:sz w:val="24"/>
        </w:rPr>
        <w:t>6.3.4 评标委员会负责具体评标事务，并独立履行下列职责：</w:t>
      </w:r>
    </w:p>
    <w:p w14:paraId="7AF13FF1">
      <w:pPr>
        <w:spacing w:line="440" w:lineRule="exact"/>
        <w:ind w:firstLine="480" w:firstLineChars="200"/>
        <w:rPr>
          <w:rFonts w:hint="eastAsia" w:ascii="宋体" w:hAnsi="宋体" w:cs="宋体"/>
          <w:sz w:val="24"/>
        </w:rPr>
      </w:pPr>
      <w:r>
        <w:rPr>
          <w:rFonts w:hint="eastAsia" w:ascii="宋体" w:hAnsi="宋体" w:cs="宋体"/>
          <w:sz w:val="24"/>
        </w:rPr>
        <w:t>（1）审查、评价投标文件是否符合招标文件的实质性要求；</w:t>
      </w:r>
    </w:p>
    <w:p w14:paraId="142EF00C">
      <w:pPr>
        <w:spacing w:line="440" w:lineRule="exact"/>
        <w:ind w:firstLine="480" w:firstLineChars="200"/>
        <w:rPr>
          <w:rFonts w:hint="eastAsia" w:ascii="宋体" w:hAnsi="宋体" w:cs="宋体"/>
          <w:sz w:val="24"/>
        </w:rPr>
      </w:pPr>
      <w:r>
        <w:rPr>
          <w:rFonts w:hint="eastAsia" w:ascii="宋体" w:hAnsi="宋体" w:cs="宋体"/>
          <w:sz w:val="24"/>
        </w:rPr>
        <w:t>（2）要求投标人对投标文件有关事项作出澄清或者说明；</w:t>
      </w:r>
    </w:p>
    <w:p w14:paraId="67BBBA9F">
      <w:pPr>
        <w:spacing w:line="440" w:lineRule="exact"/>
        <w:ind w:firstLine="480" w:firstLineChars="200"/>
        <w:rPr>
          <w:rFonts w:hint="eastAsia" w:ascii="宋体" w:hAnsi="宋体" w:cs="宋体"/>
          <w:sz w:val="24"/>
        </w:rPr>
      </w:pPr>
      <w:r>
        <w:rPr>
          <w:rFonts w:hint="eastAsia" w:ascii="宋体" w:hAnsi="宋体" w:cs="宋体"/>
          <w:sz w:val="24"/>
        </w:rPr>
        <w:t>（3）对投标文件进行比较和评价；</w:t>
      </w:r>
    </w:p>
    <w:p w14:paraId="27F363CB">
      <w:pPr>
        <w:spacing w:line="440" w:lineRule="exact"/>
        <w:ind w:firstLine="480" w:firstLineChars="200"/>
        <w:rPr>
          <w:rFonts w:hint="eastAsia" w:ascii="宋体" w:hAnsi="宋体" w:cs="宋体"/>
          <w:sz w:val="24"/>
        </w:rPr>
      </w:pPr>
      <w:r>
        <w:rPr>
          <w:rFonts w:hint="eastAsia" w:ascii="宋体" w:hAnsi="宋体" w:cs="宋体"/>
          <w:sz w:val="24"/>
        </w:rPr>
        <w:t>（4）确定中标候选人名单；</w:t>
      </w:r>
    </w:p>
    <w:p w14:paraId="3F482A27">
      <w:pPr>
        <w:spacing w:line="440" w:lineRule="exact"/>
        <w:ind w:firstLine="480" w:firstLineChars="200"/>
        <w:rPr>
          <w:rFonts w:hint="eastAsia" w:ascii="宋体" w:hAnsi="宋体" w:cs="宋体"/>
          <w:sz w:val="24"/>
        </w:rPr>
      </w:pPr>
      <w:r>
        <w:rPr>
          <w:rFonts w:hint="eastAsia" w:ascii="宋体" w:hAnsi="宋体" w:cs="宋体"/>
          <w:sz w:val="24"/>
        </w:rPr>
        <w:t>（5）向采购人、采购代理机构或者有关部门报告评标中发现的违法行为。</w:t>
      </w:r>
    </w:p>
    <w:p w14:paraId="4E85F7FA">
      <w:pPr>
        <w:autoSpaceDE w:val="0"/>
        <w:autoSpaceDN w:val="0"/>
        <w:adjustRightInd w:val="0"/>
        <w:spacing w:line="440" w:lineRule="exact"/>
        <w:ind w:left="237" w:right="-20"/>
        <w:jc w:val="left"/>
        <w:rPr>
          <w:rFonts w:hint="eastAsia" w:ascii="宋体" w:hAnsi="宋体" w:cs="宋体"/>
          <w:b/>
          <w:bCs/>
          <w:spacing w:val="1"/>
          <w:kern w:val="0"/>
          <w:sz w:val="24"/>
        </w:rPr>
      </w:pPr>
      <w:r>
        <w:rPr>
          <w:rFonts w:hint="eastAsia" w:ascii="宋体" w:hAnsi="宋体" w:cs="宋体"/>
          <w:b/>
          <w:bCs/>
          <w:spacing w:val="1"/>
          <w:kern w:val="0"/>
          <w:sz w:val="24"/>
        </w:rPr>
        <w:t>6.4 废标</w:t>
      </w:r>
    </w:p>
    <w:p w14:paraId="04871B8C">
      <w:pPr>
        <w:spacing w:line="440" w:lineRule="exact"/>
        <w:ind w:firstLine="480" w:firstLineChars="200"/>
        <w:rPr>
          <w:rFonts w:hint="eastAsia" w:ascii="宋体" w:hAnsi="宋体" w:cs="宋体"/>
          <w:sz w:val="24"/>
        </w:rPr>
      </w:pPr>
      <w:r>
        <w:rPr>
          <w:rFonts w:hint="eastAsia" w:ascii="宋体" w:hAnsi="宋体" w:cs="宋体"/>
          <w:sz w:val="24"/>
        </w:rPr>
        <w:t>招标采购中，出现下列情形之一的，应予废标：</w:t>
      </w:r>
    </w:p>
    <w:p w14:paraId="4E3888A6">
      <w:pPr>
        <w:spacing w:line="440" w:lineRule="exact"/>
        <w:ind w:firstLine="480" w:firstLineChars="200"/>
        <w:rPr>
          <w:rFonts w:hint="eastAsia" w:ascii="宋体" w:hAnsi="宋体" w:cs="宋体"/>
          <w:sz w:val="24"/>
        </w:rPr>
      </w:pPr>
      <w:r>
        <w:rPr>
          <w:rFonts w:hint="eastAsia" w:ascii="宋体" w:hAnsi="宋体" w:cs="宋体"/>
          <w:sz w:val="24"/>
        </w:rPr>
        <w:t>（1）符合专业条件的投标人或者对招标文件作实质响应的投标人不足三家的；</w:t>
      </w:r>
    </w:p>
    <w:p w14:paraId="69DF2A62">
      <w:pPr>
        <w:spacing w:line="440" w:lineRule="exact"/>
        <w:ind w:firstLine="480" w:firstLineChars="200"/>
        <w:rPr>
          <w:rFonts w:hint="eastAsia" w:ascii="宋体" w:hAnsi="宋体" w:cs="宋体"/>
          <w:sz w:val="24"/>
        </w:rPr>
      </w:pPr>
      <w:r>
        <w:rPr>
          <w:rFonts w:hint="eastAsia" w:ascii="宋体" w:hAnsi="宋体" w:cs="宋体"/>
          <w:sz w:val="24"/>
        </w:rPr>
        <w:t>（2）出现影响采购公正的违法、违规行为的；</w:t>
      </w:r>
    </w:p>
    <w:p w14:paraId="3169E8E3">
      <w:pPr>
        <w:spacing w:line="440" w:lineRule="exact"/>
        <w:ind w:firstLine="480" w:firstLineChars="200"/>
        <w:rPr>
          <w:rFonts w:hint="eastAsia" w:ascii="宋体" w:hAnsi="宋体" w:cs="宋体"/>
          <w:sz w:val="24"/>
        </w:rPr>
      </w:pPr>
      <w:r>
        <w:rPr>
          <w:rFonts w:hint="eastAsia" w:ascii="宋体" w:hAnsi="宋体" w:cs="宋体"/>
          <w:sz w:val="24"/>
        </w:rPr>
        <w:t>（3）投标人的报价均超过了采购预算，采购人不能支付的；</w:t>
      </w:r>
    </w:p>
    <w:p w14:paraId="47182CE6">
      <w:pPr>
        <w:spacing w:line="440" w:lineRule="exact"/>
        <w:ind w:firstLine="480" w:firstLineChars="200"/>
        <w:rPr>
          <w:rFonts w:hint="eastAsia" w:ascii="宋体" w:hAnsi="宋体" w:cs="宋体"/>
          <w:sz w:val="24"/>
        </w:rPr>
      </w:pPr>
      <w:r>
        <w:rPr>
          <w:rFonts w:hint="eastAsia" w:ascii="宋体" w:hAnsi="宋体" w:cs="宋体"/>
          <w:sz w:val="24"/>
        </w:rPr>
        <w:t>（4）因重大变故，采购任务取消的。废标后，采购人应当将废标理由通知所有投标人。</w:t>
      </w:r>
    </w:p>
    <w:p w14:paraId="057F44A2">
      <w:pPr>
        <w:pStyle w:val="5"/>
        <w:spacing w:before="120" w:after="120" w:line="440" w:lineRule="exact"/>
        <w:ind w:right="-1029" w:rightChars="-490" w:firstLine="482" w:firstLineChars="200"/>
        <w:jc w:val="both"/>
        <w:outlineLvl w:val="1"/>
        <w:rPr>
          <w:rFonts w:hint="eastAsia" w:ascii="宋体" w:hAnsi="宋体" w:eastAsia="宋体" w:cs="宋体"/>
          <w:sz w:val="24"/>
          <w:szCs w:val="24"/>
        </w:rPr>
      </w:pPr>
      <w:bookmarkStart w:id="170" w:name="_Toc26823"/>
      <w:bookmarkStart w:id="171" w:name="_Toc17811"/>
      <w:bookmarkStart w:id="172" w:name="_Toc22968"/>
      <w:bookmarkStart w:id="173" w:name="_Toc426369516"/>
      <w:bookmarkStart w:id="174" w:name="_Toc26569"/>
      <w:bookmarkStart w:id="175" w:name="_Toc403122526"/>
      <w:r>
        <w:rPr>
          <w:rFonts w:hint="eastAsia" w:ascii="宋体" w:hAnsi="宋体" w:eastAsia="宋体" w:cs="宋体"/>
          <w:sz w:val="24"/>
          <w:szCs w:val="24"/>
        </w:rPr>
        <w:t>7. 合同授予</w:t>
      </w:r>
      <w:bookmarkEnd w:id="170"/>
      <w:bookmarkEnd w:id="171"/>
      <w:bookmarkEnd w:id="172"/>
      <w:bookmarkEnd w:id="173"/>
      <w:bookmarkEnd w:id="174"/>
      <w:bookmarkEnd w:id="175"/>
    </w:p>
    <w:p w14:paraId="7E789C7E">
      <w:pPr>
        <w:spacing w:line="440" w:lineRule="exact"/>
        <w:ind w:firstLine="482" w:firstLineChars="200"/>
        <w:rPr>
          <w:rFonts w:hint="eastAsia" w:ascii="宋体" w:hAnsi="宋体" w:cs="宋体"/>
          <w:b/>
          <w:bCs/>
          <w:sz w:val="24"/>
        </w:rPr>
      </w:pPr>
      <w:bookmarkStart w:id="176" w:name="_Toc403122527"/>
      <w:bookmarkStart w:id="177" w:name="_Toc426369517"/>
      <w:bookmarkStart w:id="178" w:name="_Toc279599806"/>
      <w:bookmarkStart w:id="179" w:name="_Toc274249610"/>
      <w:r>
        <w:rPr>
          <w:rFonts w:hint="eastAsia" w:ascii="宋体" w:hAnsi="宋体" w:cs="宋体"/>
          <w:b/>
          <w:bCs/>
          <w:sz w:val="24"/>
        </w:rPr>
        <w:t>7.1 定标方式</w:t>
      </w:r>
      <w:bookmarkEnd w:id="176"/>
      <w:bookmarkEnd w:id="177"/>
      <w:bookmarkEnd w:id="178"/>
      <w:bookmarkEnd w:id="179"/>
    </w:p>
    <w:p w14:paraId="74187CF7">
      <w:pPr>
        <w:spacing w:line="440" w:lineRule="exact"/>
        <w:ind w:firstLine="480" w:firstLineChars="200"/>
        <w:rPr>
          <w:rFonts w:hint="eastAsia" w:ascii="宋体" w:hAnsi="宋体" w:cs="宋体"/>
          <w:sz w:val="24"/>
        </w:rPr>
      </w:pPr>
      <w:r>
        <w:rPr>
          <w:rFonts w:hint="eastAsia" w:ascii="宋体" w:hAnsi="宋体" w:cs="宋体"/>
          <w:sz w:val="24"/>
        </w:rPr>
        <w:t>7.1.1采购人依据评标委员会推荐的中标候选人确定中标人，评标委员会推荐中标人候选人的人数见供应商须知前附表。</w:t>
      </w:r>
    </w:p>
    <w:p w14:paraId="6A7EFED9">
      <w:pPr>
        <w:spacing w:line="440" w:lineRule="exact"/>
        <w:ind w:firstLine="480" w:firstLineChars="200"/>
        <w:rPr>
          <w:rFonts w:hint="eastAsia" w:ascii="宋体" w:hAnsi="宋体" w:cs="宋体"/>
          <w:sz w:val="24"/>
        </w:rPr>
      </w:pPr>
      <w:r>
        <w:rPr>
          <w:rFonts w:hint="eastAsia" w:ascii="宋体" w:hAnsi="宋体" w:cs="宋体"/>
          <w:sz w:val="24"/>
        </w:rPr>
        <w:t>7.1.2 中标或者成交投标人拒绝与采购人签订合同的，采购人可以按照评标报告推荐的中标或者成交候选人名单排序，确定下一候选人为中标或者成交投标人，也可以重新开展政府采购活动。</w:t>
      </w:r>
    </w:p>
    <w:p w14:paraId="2503B30F">
      <w:pPr>
        <w:spacing w:line="440" w:lineRule="exact"/>
        <w:ind w:firstLine="482" w:firstLineChars="200"/>
        <w:rPr>
          <w:rFonts w:hint="eastAsia" w:ascii="宋体" w:hAnsi="宋体" w:cs="宋体"/>
          <w:b/>
          <w:bCs/>
          <w:sz w:val="24"/>
        </w:rPr>
      </w:pPr>
      <w:bookmarkStart w:id="180" w:name="_Toc274249611"/>
      <w:bookmarkStart w:id="181" w:name="_Toc279599807"/>
      <w:bookmarkStart w:id="182" w:name="_Toc426369518"/>
      <w:bookmarkStart w:id="183" w:name="_Toc403122528"/>
      <w:r>
        <w:rPr>
          <w:rFonts w:hint="eastAsia" w:ascii="宋体" w:hAnsi="宋体" w:cs="宋体"/>
          <w:b/>
          <w:bCs/>
          <w:sz w:val="24"/>
        </w:rPr>
        <w:t>7.2 中标通知</w:t>
      </w:r>
      <w:bookmarkEnd w:id="180"/>
      <w:bookmarkEnd w:id="181"/>
      <w:bookmarkEnd w:id="182"/>
      <w:bookmarkEnd w:id="183"/>
    </w:p>
    <w:p w14:paraId="19F91354">
      <w:pPr>
        <w:spacing w:line="440" w:lineRule="exact"/>
        <w:ind w:firstLine="480" w:firstLineChars="200"/>
        <w:rPr>
          <w:rFonts w:hint="eastAsia" w:ascii="宋体" w:hAnsi="宋体" w:cs="宋体"/>
          <w:sz w:val="24"/>
        </w:rPr>
      </w:pPr>
      <w:r>
        <w:rPr>
          <w:rFonts w:hint="eastAsia" w:ascii="宋体" w:hAnsi="宋体" w:cs="宋体"/>
          <w:sz w:val="24"/>
        </w:rPr>
        <w:t xml:space="preserve">7.2.1 在本章第3.3款规定的投标有效期内，采购人以书面形式向中标人发出中标通知书，同时将中标结果通知未中标的投标人。 </w:t>
      </w:r>
    </w:p>
    <w:p w14:paraId="03673EEF">
      <w:pPr>
        <w:spacing w:line="440" w:lineRule="exact"/>
        <w:ind w:firstLine="480" w:firstLineChars="200"/>
        <w:rPr>
          <w:rFonts w:hint="eastAsia" w:ascii="宋体" w:hAnsi="宋体" w:cs="宋体"/>
          <w:sz w:val="24"/>
        </w:rPr>
      </w:pPr>
      <w:r>
        <w:rPr>
          <w:rFonts w:hint="eastAsia" w:ascii="宋体" w:hAnsi="宋体" w:cs="宋体"/>
          <w:sz w:val="24"/>
        </w:rPr>
        <w:t>7.2.2中标人在领取中标通知书后应及时到相关部门办理中标后的备案手续。</w:t>
      </w:r>
    </w:p>
    <w:p w14:paraId="2AE5F9E4">
      <w:pPr>
        <w:spacing w:line="440" w:lineRule="exact"/>
        <w:ind w:firstLine="482" w:firstLineChars="200"/>
        <w:rPr>
          <w:rFonts w:hint="eastAsia" w:ascii="宋体" w:hAnsi="宋体" w:cs="宋体"/>
          <w:b/>
          <w:bCs/>
          <w:sz w:val="24"/>
        </w:rPr>
      </w:pPr>
      <w:bookmarkStart w:id="184" w:name="_Toc311550376"/>
      <w:bookmarkStart w:id="185" w:name="_Toc279599808"/>
      <w:bookmarkStart w:id="186" w:name="_Toc274249612"/>
      <w:bookmarkStart w:id="187" w:name="_Toc426369519"/>
      <w:bookmarkStart w:id="188" w:name="_Toc403122529"/>
      <w:r>
        <w:rPr>
          <w:rFonts w:hint="eastAsia" w:ascii="宋体" w:hAnsi="宋体" w:cs="宋体"/>
          <w:b/>
          <w:bCs/>
          <w:sz w:val="24"/>
        </w:rPr>
        <w:t>7.3履约</w:t>
      </w:r>
      <w:bookmarkEnd w:id="184"/>
      <w:bookmarkEnd w:id="185"/>
      <w:bookmarkEnd w:id="186"/>
      <w:r>
        <w:rPr>
          <w:rFonts w:hint="eastAsia" w:ascii="宋体" w:hAnsi="宋体" w:cs="宋体"/>
          <w:b/>
          <w:bCs/>
          <w:sz w:val="24"/>
        </w:rPr>
        <w:t>保证金</w:t>
      </w:r>
      <w:bookmarkEnd w:id="187"/>
      <w:bookmarkEnd w:id="188"/>
    </w:p>
    <w:p w14:paraId="53B079F7">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7.3.1履约保证金：无</w:t>
      </w:r>
    </w:p>
    <w:p w14:paraId="3443E647">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7.3.2投标保证金：无</w:t>
      </w:r>
    </w:p>
    <w:p w14:paraId="77B7683F">
      <w:pPr>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7.3.3质量保证金：无</w:t>
      </w:r>
    </w:p>
    <w:p w14:paraId="2BE5FAB3">
      <w:pPr>
        <w:spacing w:line="440" w:lineRule="exact"/>
        <w:ind w:firstLine="482" w:firstLineChars="200"/>
        <w:rPr>
          <w:rFonts w:hint="eastAsia" w:ascii="宋体" w:hAnsi="宋体" w:cs="宋体"/>
          <w:b/>
          <w:bCs/>
          <w:sz w:val="24"/>
        </w:rPr>
      </w:pPr>
      <w:bookmarkStart w:id="189" w:name="_Toc274249613"/>
      <w:bookmarkStart w:id="190" w:name="_Toc403122530"/>
      <w:bookmarkStart w:id="191" w:name="_Toc279599809"/>
      <w:bookmarkStart w:id="192" w:name="_Toc426369520"/>
      <w:r>
        <w:rPr>
          <w:rFonts w:hint="eastAsia" w:ascii="宋体" w:hAnsi="宋体" w:cs="宋体"/>
          <w:b/>
          <w:bCs/>
          <w:sz w:val="24"/>
        </w:rPr>
        <w:t>7.4 签订合同</w:t>
      </w:r>
      <w:bookmarkEnd w:id="189"/>
      <w:bookmarkEnd w:id="190"/>
      <w:bookmarkEnd w:id="191"/>
      <w:bookmarkEnd w:id="192"/>
    </w:p>
    <w:p w14:paraId="30CF74C1">
      <w:pPr>
        <w:spacing w:line="440" w:lineRule="exact"/>
        <w:ind w:firstLine="480" w:firstLineChars="200"/>
        <w:rPr>
          <w:rFonts w:hint="eastAsia" w:ascii="宋体" w:hAnsi="宋体" w:cs="宋体"/>
          <w:sz w:val="24"/>
        </w:rPr>
      </w:pPr>
      <w:r>
        <w:rPr>
          <w:rFonts w:hint="eastAsia" w:ascii="宋体" w:hAnsi="宋体" w:cs="宋体"/>
          <w:sz w:val="24"/>
        </w:rPr>
        <w:t>7.4.1 中标人的投标报价为中标价，中标价即为合同价</w:t>
      </w:r>
      <w:r>
        <w:rPr>
          <w:rFonts w:hint="eastAsia" w:ascii="宋体" w:hAnsi="宋体" w:cs="宋体"/>
          <w:b/>
          <w:bCs/>
          <w:color w:val="000000" w:themeColor="text1"/>
          <w:sz w:val="24"/>
          <w14:textFill>
            <w14:solidFill>
              <w14:schemeClr w14:val="tx1"/>
            </w14:solidFill>
          </w14:textFill>
        </w:rPr>
        <w:t>（当中标人的投标报价高于控制价的95%时，该中标人的中标价按控制价的95%执行）</w:t>
      </w:r>
      <w:r>
        <w:rPr>
          <w:rFonts w:hint="eastAsia" w:ascii="宋体" w:hAnsi="宋体" w:cs="宋体"/>
          <w:sz w:val="24"/>
        </w:rPr>
        <w:t>。采购人和中标人应当自中标通知书发出之日起15日内，根据招标文件和中标人的投标文件订立书面合同。非因不可抗力因素放弃中标的，或排名第一的中标候选人未按规定期限与采购人签订合同的，应赔偿采购人由此造成的损失，损失费的计算方法为该中标候选人的投标价与重新确定的中标人中标价的差额，并处以采购金额千分之五以上千分之十以下罚款，将其列入不良行为记录名单，在1至3年内禁止参加政府采购活动，并予以通报。</w:t>
      </w:r>
    </w:p>
    <w:p w14:paraId="21BECDC8">
      <w:pPr>
        <w:spacing w:line="440" w:lineRule="exact"/>
        <w:ind w:firstLine="480" w:firstLineChars="200"/>
        <w:rPr>
          <w:rFonts w:hint="eastAsia" w:ascii="宋体" w:hAnsi="宋体" w:cs="宋体"/>
          <w:sz w:val="24"/>
        </w:rPr>
      </w:pPr>
      <w:r>
        <w:rPr>
          <w:rFonts w:hint="eastAsia" w:ascii="宋体" w:hAnsi="宋体" w:cs="宋体"/>
          <w:sz w:val="24"/>
        </w:rPr>
        <w:t>7.4.2 发出中标通知书后，采购人无正当理由拒签合同的，给中标人造成损失的，还应当赔偿损失。</w:t>
      </w:r>
    </w:p>
    <w:p w14:paraId="2FE937F1">
      <w:pPr>
        <w:pStyle w:val="5"/>
        <w:spacing w:before="120" w:after="120" w:line="400" w:lineRule="exact"/>
        <w:ind w:right="-1029" w:rightChars="-490" w:firstLine="482" w:firstLineChars="200"/>
        <w:jc w:val="both"/>
        <w:outlineLvl w:val="1"/>
        <w:rPr>
          <w:rFonts w:hint="eastAsia" w:ascii="宋体" w:hAnsi="宋体" w:eastAsia="宋体" w:cs="宋体"/>
          <w:sz w:val="24"/>
          <w:szCs w:val="24"/>
        </w:rPr>
      </w:pPr>
      <w:bookmarkStart w:id="193" w:name="_Toc403122531"/>
      <w:bookmarkStart w:id="194" w:name="_Toc10012"/>
      <w:bookmarkStart w:id="195" w:name="_Toc10541"/>
      <w:bookmarkStart w:id="196" w:name="_Toc10417"/>
      <w:bookmarkStart w:id="197" w:name="_Toc30009"/>
      <w:bookmarkStart w:id="198" w:name="_Toc426369521"/>
      <w:r>
        <w:rPr>
          <w:rFonts w:hint="eastAsia" w:ascii="宋体" w:hAnsi="宋体" w:eastAsia="宋体" w:cs="宋体"/>
          <w:sz w:val="24"/>
          <w:szCs w:val="24"/>
        </w:rPr>
        <w:t>8. 重新招标</w:t>
      </w:r>
      <w:bookmarkEnd w:id="193"/>
      <w:bookmarkEnd w:id="194"/>
      <w:bookmarkEnd w:id="195"/>
      <w:bookmarkEnd w:id="196"/>
      <w:bookmarkEnd w:id="197"/>
      <w:bookmarkEnd w:id="198"/>
    </w:p>
    <w:p w14:paraId="2113DA91">
      <w:pPr>
        <w:spacing w:line="400" w:lineRule="exact"/>
        <w:ind w:firstLine="482" w:firstLineChars="200"/>
        <w:rPr>
          <w:rFonts w:hint="eastAsia" w:ascii="宋体" w:hAnsi="宋体" w:cs="宋体"/>
          <w:b/>
          <w:bCs/>
          <w:sz w:val="24"/>
        </w:rPr>
      </w:pPr>
      <w:bookmarkStart w:id="199" w:name="_Toc426369522"/>
      <w:bookmarkStart w:id="200" w:name="_Toc279599811"/>
      <w:bookmarkStart w:id="201" w:name="_Toc274249615"/>
      <w:bookmarkStart w:id="202" w:name="_Toc403122532"/>
      <w:r>
        <w:rPr>
          <w:rFonts w:hint="eastAsia" w:ascii="宋体" w:hAnsi="宋体" w:cs="宋体"/>
          <w:b/>
          <w:bCs/>
          <w:sz w:val="24"/>
        </w:rPr>
        <w:t>8.1 重新招标</w:t>
      </w:r>
      <w:bookmarkEnd w:id="199"/>
      <w:bookmarkEnd w:id="200"/>
      <w:bookmarkEnd w:id="201"/>
      <w:bookmarkEnd w:id="202"/>
    </w:p>
    <w:p w14:paraId="11B4A121">
      <w:pPr>
        <w:spacing w:line="400" w:lineRule="exact"/>
        <w:ind w:firstLine="480" w:firstLineChars="200"/>
        <w:rPr>
          <w:rFonts w:hint="eastAsia" w:ascii="宋体" w:hAnsi="宋体" w:cs="宋体"/>
          <w:sz w:val="24"/>
        </w:rPr>
      </w:pPr>
      <w:r>
        <w:rPr>
          <w:rFonts w:hint="eastAsia" w:ascii="宋体" w:hAnsi="宋体" w:cs="宋体"/>
          <w:sz w:val="24"/>
        </w:rPr>
        <w:t xml:space="preserve">有下列情形之一的，采购人将重新招标： </w:t>
      </w:r>
    </w:p>
    <w:p w14:paraId="59962828">
      <w:pPr>
        <w:spacing w:line="400" w:lineRule="exact"/>
        <w:ind w:firstLine="480" w:firstLineChars="200"/>
        <w:rPr>
          <w:rFonts w:hint="eastAsia" w:ascii="宋体" w:hAnsi="宋体" w:cs="宋体"/>
          <w:sz w:val="24"/>
        </w:rPr>
      </w:pPr>
      <w:r>
        <w:rPr>
          <w:rFonts w:hint="eastAsia" w:ascii="宋体" w:hAnsi="宋体" w:cs="宋体"/>
          <w:sz w:val="24"/>
        </w:rPr>
        <w:t xml:space="preserve">（1）投标截止时间止，供应商少于3个的； </w:t>
      </w:r>
    </w:p>
    <w:p w14:paraId="708F7712">
      <w:pPr>
        <w:spacing w:line="400" w:lineRule="exact"/>
        <w:ind w:firstLine="480" w:firstLineChars="200"/>
        <w:rPr>
          <w:rFonts w:hint="eastAsia" w:ascii="宋体" w:hAnsi="宋体" w:cs="宋体"/>
          <w:sz w:val="24"/>
        </w:rPr>
      </w:pPr>
      <w:r>
        <w:rPr>
          <w:rFonts w:hint="eastAsia" w:ascii="宋体" w:hAnsi="宋体" w:cs="宋体"/>
          <w:sz w:val="24"/>
        </w:rPr>
        <w:t xml:space="preserve">（2）经评标委员会评审后否决所有投标的。 </w:t>
      </w:r>
    </w:p>
    <w:p w14:paraId="4AD7E6FF">
      <w:pPr>
        <w:pStyle w:val="5"/>
        <w:spacing w:before="120" w:after="120" w:line="400" w:lineRule="exact"/>
        <w:ind w:right="-1029" w:rightChars="-490" w:firstLine="482" w:firstLineChars="200"/>
        <w:jc w:val="both"/>
        <w:outlineLvl w:val="1"/>
        <w:rPr>
          <w:rFonts w:hint="eastAsia" w:ascii="宋体" w:hAnsi="宋体" w:eastAsia="宋体" w:cs="宋体"/>
          <w:sz w:val="24"/>
          <w:szCs w:val="24"/>
        </w:rPr>
      </w:pPr>
      <w:bookmarkStart w:id="203" w:name="_Toc27398"/>
      <w:bookmarkStart w:id="204" w:name="_Toc426369523"/>
      <w:bookmarkStart w:id="205" w:name="_Toc3760"/>
      <w:bookmarkStart w:id="206" w:name="_Toc10372"/>
      <w:bookmarkStart w:id="207" w:name="_Toc21696"/>
      <w:bookmarkStart w:id="208" w:name="_Toc403122533"/>
      <w:r>
        <w:rPr>
          <w:rFonts w:hint="eastAsia" w:ascii="宋体" w:hAnsi="宋体" w:eastAsia="宋体" w:cs="宋体"/>
          <w:sz w:val="24"/>
          <w:szCs w:val="24"/>
        </w:rPr>
        <w:t>9. 纪律和监督</w:t>
      </w:r>
      <w:bookmarkEnd w:id="203"/>
      <w:bookmarkEnd w:id="204"/>
      <w:bookmarkEnd w:id="205"/>
      <w:bookmarkEnd w:id="206"/>
      <w:bookmarkEnd w:id="207"/>
      <w:bookmarkEnd w:id="208"/>
    </w:p>
    <w:p w14:paraId="57C5AF69">
      <w:pPr>
        <w:spacing w:line="400" w:lineRule="exact"/>
        <w:ind w:firstLine="482" w:firstLineChars="200"/>
        <w:rPr>
          <w:rFonts w:hint="eastAsia" w:ascii="宋体" w:hAnsi="宋体" w:cs="宋体"/>
          <w:b/>
          <w:bCs/>
          <w:sz w:val="24"/>
        </w:rPr>
      </w:pPr>
      <w:bookmarkStart w:id="209" w:name="_Toc403122534"/>
      <w:bookmarkStart w:id="210" w:name="_Toc274249618"/>
      <w:bookmarkStart w:id="211" w:name="_Toc426369524"/>
      <w:bookmarkStart w:id="212" w:name="_Toc279599814"/>
      <w:r>
        <w:rPr>
          <w:rFonts w:hint="eastAsia" w:ascii="宋体" w:hAnsi="宋体" w:cs="宋体"/>
          <w:b/>
          <w:bCs/>
          <w:sz w:val="24"/>
        </w:rPr>
        <w:t>9.1 对采购人的纪律要求</w:t>
      </w:r>
      <w:bookmarkEnd w:id="209"/>
      <w:bookmarkEnd w:id="210"/>
      <w:bookmarkEnd w:id="211"/>
      <w:bookmarkEnd w:id="212"/>
    </w:p>
    <w:p w14:paraId="55E722C3">
      <w:pPr>
        <w:spacing w:line="400" w:lineRule="exact"/>
        <w:ind w:firstLine="480" w:firstLineChars="200"/>
        <w:rPr>
          <w:rFonts w:hint="eastAsia" w:ascii="宋体" w:hAnsi="宋体" w:cs="宋体"/>
          <w:sz w:val="24"/>
        </w:rPr>
      </w:pPr>
      <w:r>
        <w:rPr>
          <w:rFonts w:hint="eastAsia" w:ascii="宋体" w:hAnsi="宋体" w:cs="宋体"/>
          <w:sz w:val="24"/>
        </w:rPr>
        <w:t xml:space="preserve">采购人不得泄漏招标投标活动中应当保密的情况和资料，不得与供应商串通损害国家利益、社会公共利益或者他人合法权益。 </w:t>
      </w:r>
    </w:p>
    <w:p w14:paraId="1F2D87F5">
      <w:pPr>
        <w:spacing w:line="400" w:lineRule="exact"/>
        <w:ind w:firstLine="482" w:firstLineChars="200"/>
        <w:rPr>
          <w:rFonts w:hint="eastAsia" w:ascii="宋体" w:hAnsi="宋体" w:cs="宋体"/>
          <w:b/>
          <w:bCs/>
          <w:sz w:val="24"/>
        </w:rPr>
      </w:pPr>
      <w:bookmarkStart w:id="213" w:name="_Toc279599815"/>
      <w:bookmarkStart w:id="214" w:name="_Toc426369525"/>
      <w:bookmarkStart w:id="215" w:name="_Toc274249619"/>
      <w:bookmarkStart w:id="216" w:name="_Toc403122535"/>
      <w:r>
        <w:rPr>
          <w:rFonts w:hint="eastAsia" w:ascii="宋体" w:hAnsi="宋体" w:cs="宋体"/>
          <w:b/>
          <w:bCs/>
          <w:sz w:val="24"/>
        </w:rPr>
        <w:t>9.2 对投标人的纪律要求</w:t>
      </w:r>
      <w:bookmarkEnd w:id="213"/>
      <w:bookmarkEnd w:id="214"/>
      <w:bookmarkEnd w:id="215"/>
      <w:bookmarkEnd w:id="216"/>
    </w:p>
    <w:p w14:paraId="30C571CF">
      <w:pPr>
        <w:spacing w:line="400" w:lineRule="exact"/>
        <w:ind w:firstLine="480" w:firstLineChars="200"/>
        <w:rPr>
          <w:rFonts w:hint="eastAsia" w:ascii="宋体" w:hAnsi="宋体" w:cs="宋体"/>
          <w:sz w:val="24"/>
        </w:rPr>
      </w:pPr>
      <w:r>
        <w:rPr>
          <w:rFonts w:hint="eastAsia" w:ascii="宋体" w:hAnsi="宋体" w:cs="宋体"/>
          <w:sz w:val="24"/>
        </w:rPr>
        <w:t>供应商不得相互串通投标或者与采购人串通投标，不得向采购人或者评标委员会成员行贿谋取中标，不得以他人名义投标或者以其他方式弄虚作假骗取中标；供应商不得以任何方式干扰、影响评标工作。</w:t>
      </w:r>
    </w:p>
    <w:p w14:paraId="21ABE7B2">
      <w:pPr>
        <w:spacing w:line="400" w:lineRule="exact"/>
        <w:ind w:firstLine="482" w:firstLineChars="200"/>
        <w:rPr>
          <w:rFonts w:hint="eastAsia" w:ascii="宋体" w:hAnsi="宋体" w:cs="宋体"/>
          <w:b/>
          <w:bCs/>
          <w:sz w:val="24"/>
        </w:rPr>
      </w:pPr>
      <w:bookmarkStart w:id="217" w:name="_Toc403122536"/>
      <w:bookmarkStart w:id="218" w:name="_Toc279599816"/>
      <w:bookmarkStart w:id="219" w:name="_Toc274249620"/>
      <w:bookmarkStart w:id="220" w:name="_Toc426369526"/>
      <w:r>
        <w:rPr>
          <w:rFonts w:hint="eastAsia" w:ascii="宋体" w:hAnsi="宋体" w:cs="宋体"/>
          <w:b/>
          <w:bCs/>
          <w:sz w:val="24"/>
        </w:rPr>
        <w:t>9.3 对评标委员会成员的纪律要求</w:t>
      </w:r>
      <w:bookmarkEnd w:id="217"/>
      <w:bookmarkEnd w:id="218"/>
      <w:bookmarkEnd w:id="219"/>
      <w:bookmarkEnd w:id="220"/>
    </w:p>
    <w:p w14:paraId="5AE454CE">
      <w:pPr>
        <w:spacing w:line="400" w:lineRule="exact"/>
        <w:ind w:firstLine="480" w:firstLineChars="200"/>
        <w:rPr>
          <w:rFonts w:hint="eastAsia" w:ascii="宋体" w:hAnsi="宋体" w:cs="宋体"/>
          <w:sz w:val="24"/>
        </w:rPr>
      </w:pPr>
      <w:r>
        <w:rPr>
          <w:rFonts w:hint="eastAsia" w:ascii="宋体" w:hAnsi="宋体" w:cs="宋体"/>
          <w:sz w:val="24"/>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14:paraId="04964512">
      <w:pPr>
        <w:spacing w:line="400" w:lineRule="exact"/>
        <w:ind w:firstLine="482" w:firstLineChars="200"/>
        <w:rPr>
          <w:rFonts w:hint="eastAsia" w:ascii="宋体" w:hAnsi="宋体" w:cs="宋体"/>
          <w:b/>
          <w:bCs/>
          <w:sz w:val="24"/>
        </w:rPr>
      </w:pPr>
      <w:bookmarkStart w:id="221" w:name="_Toc403122537"/>
      <w:bookmarkStart w:id="222" w:name="_Toc279599817"/>
      <w:bookmarkStart w:id="223" w:name="_Toc426369527"/>
      <w:bookmarkStart w:id="224" w:name="_Toc274249621"/>
      <w:r>
        <w:rPr>
          <w:rFonts w:hint="eastAsia" w:ascii="宋体" w:hAnsi="宋体" w:cs="宋体"/>
          <w:b/>
          <w:bCs/>
          <w:sz w:val="24"/>
        </w:rPr>
        <w:t>9.4 对与评标活动有关的工作人员的纪律要求</w:t>
      </w:r>
      <w:bookmarkEnd w:id="221"/>
      <w:bookmarkEnd w:id="222"/>
      <w:bookmarkEnd w:id="223"/>
      <w:bookmarkEnd w:id="224"/>
    </w:p>
    <w:p w14:paraId="13E47C0A">
      <w:pPr>
        <w:spacing w:line="400" w:lineRule="exact"/>
        <w:ind w:firstLine="480" w:firstLineChars="200"/>
        <w:rPr>
          <w:rFonts w:hint="eastAsia" w:ascii="宋体" w:hAnsi="宋体" w:cs="宋体"/>
          <w:sz w:val="24"/>
        </w:rPr>
      </w:pPr>
      <w:r>
        <w:rPr>
          <w:rFonts w:hint="eastAsia" w:ascii="宋体" w:hAnsi="宋体" w:cs="宋体"/>
          <w:sz w:val="24"/>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14:paraId="3F773D76">
      <w:pPr>
        <w:spacing w:line="400" w:lineRule="exact"/>
        <w:ind w:firstLine="482" w:firstLineChars="200"/>
        <w:rPr>
          <w:rFonts w:hint="eastAsia" w:ascii="宋体" w:hAnsi="宋体" w:cs="宋体"/>
          <w:b/>
          <w:bCs/>
          <w:sz w:val="24"/>
        </w:rPr>
      </w:pPr>
      <w:bookmarkStart w:id="225" w:name="_Toc279599818"/>
      <w:bookmarkStart w:id="226" w:name="_Toc274249622"/>
      <w:bookmarkStart w:id="227" w:name="_Toc426369528"/>
      <w:bookmarkStart w:id="228" w:name="_Toc403122538"/>
      <w:r>
        <w:rPr>
          <w:rFonts w:hint="eastAsia" w:ascii="宋体" w:hAnsi="宋体" w:cs="宋体"/>
          <w:b/>
          <w:bCs/>
          <w:sz w:val="24"/>
        </w:rPr>
        <w:t>9.5 投诉</w:t>
      </w:r>
      <w:bookmarkEnd w:id="225"/>
      <w:bookmarkEnd w:id="226"/>
      <w:bookmarkEnd w:id="227"/>
      <w:bookmarkEnd w:id="228"/>
    </w:p>
    <w:p w14:paraId="5C7DA9B0">
      <w:pPr>
        <w:spacing w:line="400" w:lineRule="exact"/>
        <w:ind w:firstLine="480" w:firstLineChars="200"/>
        <w:rPr>
          <w:rFonts w:hint="eastAsia" w:ascii="宋体" w:hAnsi="宋体" w:cs="宋体"/>
          <w:sz w:val="24"/>
        </w:rPr>
      </w:pPr>
      <w:r>
        <w:rPr>
          <w:rFonts w:hint="eastAsia" w:ascii="宋体" w:hAnsi="宋体" w:cs="宋体"/>
          <w:sz w:val="24"/>
        </w:rPr>
        <w:t xml:space="preserve">供应商和其他利害关系人认为本次招标活动违反法律、法规和规章规定的，有权向有关行政监督部门投诉。 </w:t>
      </w:r>
    </w:p>
    <w:p w14:paraId="5BE3AC43">
      <w:pPr>
        <w:pStyle w:val="5"/>
        <w:spacing w:before="120" w:after="120" w:line="400" w:lineRule="exact"/>
        <w:ind w:right="-1029" w:rightChars="-490" w:firstLine="482" w:firstLineChars="200"/>
        <w:jc w:val="both"/>
        <w:outlineLvl w:val="1"/>
        <w:rPr>
          <w:rFonts w:hint="eastAsia" w:ascii="宋体" w:hAnsi="宋体" w:eastAsia="宋体" w:cs="宋体"/>
          <w:sz w:val="24"/>
          <w:szCs w:val="24"/>
        </w:rPr>
      </w:pPr>
      <w:bookmarkStart w:id="229" w:name="_Toc25080"/>
      <w:bookmarkStart w:id="230" w:name="_Toc16026"/>
      <w:bookmarkStart w:id="231" w:name="_Toc13281"/>
      <w:bookmarkStart w:id="232" w:name="_Toc10880"/>
      <w:bookmarkStart w:id="233" w:name="_Toc403122539"/>
      <w:bookmarkStart w:id="234" w:name="_Toc426369529"/>
      <w:r>
        <w:rPr>
          <w:rFonts w:hint="eastAsia" w:ascii="宋体" w:hAnsi="宋体" w:eastAsia="宋体" w:cs="宋体"/>
          <w:sz w:val="24"/>
          <w:szCs w:val="24"/>
        </w:rPr>
        <w:t>10. 需要补充的其他内容</w:t>
      </w:r>
      <w:bookmarkEnd w:id="229"/>
      <w:bookmarkEnd w:id="230"/>
      <w:bookmarkEnd w:id="231"/>
      <w:bookmarkEnd w:id="232"/>
      <w:bookmarkEnd w:id="233"/>
      <w:bookmarkEnd w:id="234"/>
    </w:p>
    <w:p w14:paraId="485472B0">
      <w:pPr>
        <w:autoSpaceDE w:val="0"/>
        <w:autoSpaceDN w:val="0"/>
        <w:adjustRightInd w:val="0"/>
        <w:spacing w:line="400" w:lineRule="exact"/>
        <w:ind w:firstLine="482" w:firstLineChars="200"/>
        <w:rPr>
          <w:rFonts w:hint="eastAsia" w:ascii="宋体" w:hAnsi="宋体" w:cs="宋体"/>
          <w:kern w:val="0"/>
          <w:sz w:val="24"/>
        </w:rPr>
      </w:pPr>
      <w:r>
        <w:rPr>
          <w:rFonts w:hint="eastAsia" w:ascii="宋体" w:hAnsi="宋体" w:cs="宋体"/>
          <w:b/>
          <w:kern w:val="0"/>
          <w:sz w:val="24"/>
        </w:rPr>
        <w:t>10.1 费用承担</w:t>
      </w:r>
    </w:p>
    <w:p w14:paraId="6AC09670">
      <w:pPr>
        <w:autoSpaceDE w:val="0"/>
        <w:autoSpaceDN w:val="0"/>
        <w:adjustRightInd w:val="0"/>
        <w:spacing w:line="400" w:lineRule="exact"/>
        <w:ind w:left="17" w:leftChars="8" w:firstLine="480" w:firstLineChars="200"/>
        <w:jc w:val="left"/>
        <w:rPr>
          <w:rFonts w:hint="eastAsia" w:ascii="宋体" w:hAnsi="宋体" w:cs="宋体"/>
          <w:sz w:val="24"/>
        </w:rPr>
      </w:pPr>
      <w:r>
        <w:rPr>
          <w:rFonts w:hint="eastAsia" w:ascii="宋体" w:hAnsi="宋体" w:cs="宋体"/>
          <w:sz w:val="24"/>
        </w:rPr>
        <w:t>（1）无论投标结果如何，投标人应自行承担所有参与投标的全部费用，采购人和采购代理机构在任何情况下均无义务和责任承担上述费用。</w:t>
      </w:r>
    </w:p>
    <w:p w14:paraId="795831FB">
      <w:pPr>
        <w:autoSpaceDE w:val="0"/>
        <w:autoSpaceDN w:val="0"/>
        <w:adjustRightInd w:val="0"/>
        <w:spacing w:line="400" w:lineRule="exact"/>
        <w:ind w:firstLine="420"/>
        <w:jc w:val="left"/>
        <w:rPr>
          <w:rFonts w:hint="eastAsia" w:ascii="宋体" w:hAnsi="宋体" w:cs="宋体"/>
          <w:sz w:val="24"/>
        </w:rPr>
      </w:pPr>
      <w:r>
        <w:rPr>
          <w:rFonts w:hint="eastAsia" w:ascii="宋体" w:hAnsi="宋体" w:cs="宋体"/>
          <w:sz w:val="24"/>
        </w:rPr>
        <w:t>（2）招标代理服务费由中标人支付。</w:t>
      </w:r>
    </w:p>
    <w:p w14:paraId="47826E95">
      <w:pPr>
        <w:autoSpaceDE w:val="0"/>
        <w:autoSpaceDN w:val="0"/>
        <w:adjustRightInd w:val="0"/>
        <w:spacing w:line="400" w:lineRule="exact"/>
        <w:ind w:firstLine="420"/>
        <w:jc w:val="left"/>
        <w:rPr>
          <w:rFonts w:hint="eastAsia" w:ascii="宋体" w:hAnsi="宋体" w:cs="宋体"/>
          <w:sz w:val="24"/>
        </w:rPr>
      </w:pPr>
      <w:r>
        <w:rPr>
          <w:rFonts w:hint="eastAsia" w:ascii="宋体" w:hAnsi="宋体" w:cs="宋体"/>
          <w:sz w:val="24"/>
        </w:rPr>
        <w:t>（3）供应商与采购人签订合同后，将合同报采购代理机构备案。</w:t>
      </w:r>
    </w:p>
    <w:p w14:paraId="71D92277">
      <w:pPr>
        <w:pStyle w:val="38"/>
        <w:spacing w:line="400" w:lineRule="exact"/>
        <w:ind w:firstLine="482" w:firstLineChars="200"/>
        <w:rPr>
          <w:rFonts w:hint="eastAsia" w:ascii="宋体" w:hAnsi="宋体" w:cs="宋体"/>
          <w:b/>
          <w:bCs/>
          <w:kern w:val="2"/>
          <w:sz w:val="24"/>
        </w:rPr>
      </w:pPr>
      <w:r>
        <w:rPr>
          <w:rFonts w:hint="eastAsia" w:ascii="宋体" w:hAnsi="宋体" w:cs="宋体"/>
          <w:b/>
          <w:bCs/>
          <w:kern w:val="2"/>
          <w:sz w:val="24"/>
        </w:rPr>
        <w:t>10.2本招标文件未尽事宜，按《中华人民共和国政府采购法》等法律法规的有关规定执行。</w:t>
      </w:r>
    </w:p>
    <w:p w14:paraId="320C355A">
      <w:pPr>
        <w:pStyle w:val="4"/>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14:paraId="19679CEF">
      <w:pPr>
        <w:pStyle w:val="9"/>
        <w:spacing w:line="500" w:lineRule="exact"/>
        <w:rPr>
          <w:sz w:val="32"/>
          <w:szCs w:val="32"/>
        </w:rPr>
      </w:pPr>
      <w:bookmarkStart w:id="235" w:name="_Toc28433"/>
      <w:bookmarkStart w:id="236" w:name="_Toc426369530"/>
      <w:bookmarkStart w:id="237" w:name="_Toc403122540"/>
      <w:bookmarkStart w:id="238" w:name="_Toc8251"/>
      <w:bookmarkStart w:id="239" w:name="_Toc25260"/>
      <w:r>
        <w:rPr>
          <w:sz w:val="32"/>
          <w:szCs w:val="32"/>
        </w:rPr>
        <w:t>第三章</w:t>
      </w:r>
      <w:r>
        <w:rPr>
          <w:rFonts w:hint="eastAsia"/>
          <w:sz w:val="32"/>
          <w:szCs w:val="32"/>
        </w:rPr>
        <w:t>评标办法</w:t>
      </w:r>
      <w:bookmarkEnd w:id="235"/>
      <w:bookmarkEnd w:id="236"/>
      <w:bookmarkEnd w:id="237"/>
      <w:r>
        <w:rPr>
          <w:rFonts w:hint="eastAsia"/>
          <w:sz w:val="32"/>
          <w:szCs w:val="32"/>
        </w:rPr>
        <w:t>（综合评分法）</w:t>
      </w:r>
      <w:bookmarkEnd w:id="238"/>
      <w:bookmarkEnd w:id="239"/>
    </w:p>
    <w:p w14:paraId="36FC2B21">
      <w:pPr>
        <w:pStyle w:val="46"/>
        <w:spacing w:line="500" w:lineRule="exact"/>
        <w:jc w:val="center"/>
        <w:outlineLvl w:val="1"/>
        <w:rPr>
          <w:rFonts w:hint="eastAsia" w:asciiTheme="minorEastAsia" w:hAnsiTheme="minorEastAsia" w:eastAsiaTheme="minorEastAsia" w:cstheme="minorEastAsia"/>
          <w:b/>
          <w:bCs/>
          <w:sz w:val="28"/>
          <w:szCs w:val="28"/>
        </w:rPr>
      </w:pPr>
      <w:bookmarkStart w:id="240" w:name="_Toc17859"/>
      <w:bookmarkStart w:id="241" w:name="_Toc30933"/>
      <w:bookmarkStart w:id="242" w:name="_Toc29947"/>
      <w:bookmarkStart w:id="243" w:name="_Toc9561"/>
      <w:bookmarkStart w:id="244" w:name="_Toc21885"/>
      <w:bookmarkStart w:id="245" w:name="_Toc16529"/>
      <w:bookmarkStart w:id="246" w:name="_Toc2761070"/>
      <w:r>
        <w:rPr>
          <w:rFonts w:hint="eastAsia" w:asciiTheme="minorEastAsia" w:hAnsiTheme="minorEastAsia" w:eastAsiaTheme="minorEastAsia" w:cstheme="minorEastAsia"/>
          <w:b/>
          <w:bCs/>
          <w:sz w:val="28"/>
          <w:szCs w:val="28"/>
        </w:rPr>
        <w:t>评分办法前附表</w:t>
      </w:r>
      <w:bookmarkEnd w:id="240"/>
      <w:bookmarkEnd w:id="241"/>
      <w:bookmarkEnd w:id="242"/>
      <w:bookmarkEnd w:id="243"/>
      <w:bookmarkEnd w:id="244"/>
    </w:p>
    <w:bookmarkEnd w:id="245"/>
    <w:tbl>
      <w:tblPr>
        <w:tblStyle w:val="30"/>
        <w:tblpPr w:leftFromText="180" w:rightFromText="180" w:vertAnchor="text" w:horzAnchor="page" w:tblpX="1063" w:tblpY="363"/>
        <w:tblOverlap w:val="never"/>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38"/>
        <w:gridCol w:w="2833"/>
        <w:gridCol w:w="4910"/>
      </w:tblGrid>
      <w:tr w14:paraId="1A6CC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Align w:val="center"/>
          </w:tcPr>
          <w:p w14:paraId="030F7492">
            <w:pPr>
              <w:spacing w:line="440" w:lineRule="exact"/>
              <w:jc w:val="center"/>
              <w:rPr>
                <w:rFonts w:hint="eastAsia" w:ascii="宋体" w:hAnsi="宋体" w:cs="宋体"/>
                <w:b/>
                <w:sz w:val="24"/>
              </w:rPr>
            </w:pPr>
            <w:bookmarkStart w:id="247" w:name="_Toc426369531"/>
            <w:bookmarkStart w:id="248" w:name="_Toc403122541"/>
            <w:bookmarkStart w:id="249" w:name="_Toc31084"/>
            <w:r>
              <w:rPr>
                <w:rFonts w:hint="eastAsia" w:ascii="宋体" w:hAnsi="宋体" w:cs="宋体"/>
                <w:b/>
                <w:bCs/>
                <w:sz w:val="24"/>
              </w:rPr>
              <w:t>审查主体</w:t>
            </w:r>
          </w:p>
        </w:tc>
        <w:tc>
          <w:tcPr>
            <w:tcW w:w="3871" w:type="dxa"/>
            <w:gridSpan w:val="2"/>
            <w:vAlign w:val="center"/>
          </w:tcPr>
          <w:p w14:paraId="02F7C7E1">
            <w:pPr>
              <w:spacing w:line="440" w:lineRule="exact"/>
              <w:ind w:firstLine="562"/>
              <w:jc w:val="center"/>
              <w:rPr>
                <w:rFonts w:hint="eastAsia" w:ascii="宋体" w:hAnsi="宋体" w:cs="宋体"/>
                <w:b/>
                <w:sz w:val="24"/>
              </w:rPr>
            </w:pPr>
            <w:r>
              <w:rPr>
                <w:rFonts w:hint="eastAsia" w:ascii="宋体" w:hAnsi="宋体" w:cs="宋体"/>
                <w:b/>
                <w:sz w:val="24"/>
              </w:rPr>
              <w:t>评审因素</w:t>
            </w:r>
          </w:p>
        </w:tc>
        <w:tc>
          <w:tcPr>
            <w:tcW w:w="4910" w:type="dxa"/>
            <w:vAlign w:val="center"/>
          </w:tcPr>
          <w:p w14:paraId="76BBB71D">
            <w:pPr>
              <w:tabs>
                <w:tab w:val="left" w:pos="417"/>
                <w:tab w:val="center" w:pos="2999"/>
              </w:tabs>
              <w:spacing w:line="440" w:lineRule="exact"/>
              <w:ind w:firstLine="562"/>
              <w:jc w:val="center"/>
              <w:rPr>
                <w:rFonts w:hint="eastAsia" w:ascii="宋体" w:hAnsi="宋体" w:cs="宋体"/>
                <w:b/>
                <w:sz w:val="24"/>
              </w:rPr>
            </w:pPr>
            <w:r>
              <w:rPr>
                <w:rFonts w:hint="eastAsia" w:ascii="宋体" w:hAnsi="宋体" w:cs="宋体"/>
                <w:b/>
                <w:sz w:val="24"/>
              </w:rPr>
              <w:t>评审标准</w:t>
            </w:r>
          </w:p>
        </w:tc>
      </w:tr>
      <w:tr w14:paraId="7F41E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restart"/>
            <w:vAlign w:val="center"/>
          </w:tcPr>
          <w:p w14:paraId="59857A1C">
            <w:pPr>
              <w:spacing w:line="440" w:lineRule="exact"/>
              <w:jc w:val="center"/>
              <w:rPr>
                <w:rFonts w:hint="eastAsia" w:ascii="宋体" w:hAnsi="宋体" w:cs="宋体"/>
                <w:sz w:val="24"/>
              </w:rPr>
            </w:pPr>
            <w:r>
              <w:rPr>
                <w:rFonts w:hint="eastAsia" w:ascii="宋体" w:hAnsi="宋体" w:cs="宋体"/>
                <w:sz w:val="24"/>
              </w:rPr>
              <w:t>资格审查小组</w:t>
            </w:r>
          </w:p>
        </w:tc>
        <w:tc>
          <w:tcPr>
            <w:tcW w:w="1038" w:type="dxa"/>
            <w:vMerge w:val="restart"/>
            <w:vAlign w:val="center"/>
          </w:tcPr>
          <w:p w14:paraId="70AA70D1">
            <w:pPr>
              <w:spacing w:line="440" w:lineRule="exact"/>
              <w:jc w:val="center"/>
              <w:rPr>
                <w:rFonts w:hint="eastAsia" w:ascii="宋体" w:hAnsi="宋体" w:cs="宋体"/>
                <w:sz w:val="24"/>
              </w:rPr>
            </w:pPr>
            <w:r>
              <w:rPr>
                <w:rFonts w:hint="eastAsia" w:ascii="宋体" w:hAnsi="宋体" w:cs="宋体"/>
                <w:sz w:val="24"/>
              </w:rPr>
              <w:t>一、资格评审标准</w:t>
            </w:r>
          </w:p>
        </w:tc>
        <w:tc>
          <w:tcPr>
            <w:tcW w:w="2833" w:type="dxa"/>
            <w:vAlign w:val="center"/>
          </w:tcPr>
          <w:p w14:paraId="55B6EA4D">
            <w:pPr>
              <w:spacing w:line="440" w:lineRule="exact"/>
              <w:rPr>
                <w:rFonts w:hint="eastAsia" w:ascii="宋体" w:hAnsi="宋体" w:cs="宋体"/>
                <w:sz w:val="24"/>
              </w:rPr>
            </w:pPr>
            <w:r>
              <w:rPr>
                <w:rFonts w:hint="eastAsia" w:ascii="宋体" w:hAnsi="宋体" w:cs="宋体"/>
                <w:sz w:val="24"/>
              </w:rPr>
              <w:t>营业执照</w:t>
            </w:r>
          </w:p>
        </w:tc>
        <w:tc>
          <w:tcPr>
            <w:tcW w:w="4910" w:type="dxa"/>
            <w:vAlign w:val="center"/>
          </w:tcPr>
          <w:p w14:paraId="654766DC">
            <w:pPr>
              <w:spacing w:line="440" w:lineRule="exact"/>
              <w:rPr>
                <w:rFonts w:hint="eastAsia" w:ascii="宋体" w:hAnsi="宋体" w:cs="宋体"/>
                <w:sz w:val="24"/>
              </w:rPr>
            </w:pPr>
            <w:r>
              <w:rPr>
                <w:rFonts w:hint="eastAsia" w:ascii="宋体" w:hAnsi="宋体" w:cs="宋体"/>
                <w:sz w:val="24"/>
              </w:rPr>
              <w:t>提供政府采购供应商资格信用承诺函</w:t>
            </w:r>
          </w:p>
        </w:tc>
      </w:tr>
      <w:tr w14:paraId="76098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1187" w:type="dxa"/>
            <w:vMerge w:val="continue"/>
            <w:vAlign w:val="center"/>
          </w:tcPr>
          <w:p w14:paraId="1F17D7A8">
            <w:pPr>
              <w:spacing w:line="440" w:lineRule="exact"/>
              <w:jc w:val="center"/>
              <w:rPr>
                <w:rFonts w:hint="eastAsia" w:ascii="宋体" w:hAnsi="宋体" w:cs="宋体"/>
                <w:sz w:val="24"/>
              </w:rPr>
            </w:pPr>
          </w:p>
        </w:tc>
        <w:tc>
          <w:tcPr>
            <w:tcW w:w="1038" w:type="dxa"/>
            <w:vMerge w:val="continue"/>
            <w:vAlign w:val="center"/>
          </w:tcPr>
          <w:p w14:paraId="70B91B93">
            <w:pPr>
              <w:spacing w:line="440" w:lineRule="exact"/>
              <w:jc w:val="center"/>
              <w:rPr>
                <w:rFonts w:hint="eastAsia" w:ascii="宋体" w:hAnsi="宋体" w:cs="宋体"/>
                <w:sz w:val="24"/>
              </w:rPr>
            </w:pPr>
          </w:p>
        </w:tc>
        <w:tc>
          <w:tcPr>
            <w:tcW w:w="2833" w:type="dxa"/>
            <w:vAlign w:val="center"/>
          </w:tcPr>
          <w:p w14:paraId="0863C48D">
            <w:pPr>
              <w:spacing w:line="440" w:lineRule="exact"/>
              <w:rPr>
                <w:rFonts w:hint="eastAsia" w:ascii="宋体" w:hAnsi="宋体" w:cs="宋体"/>
                <w:sz w:val="24"/>
              </w:rPr>
            </w:pPr>
            <w:r>
              <w:rPr>
                <w:rFonts w:hint="eastAsia" w:ascii="宋体" w:hAnsi="宋体" w:cs="宋体"/>
                <w:sz w:val="24"/>
              </w:rPr>
              <w:t>《中华人民共和国政府采购法》第二十二条规定》</w:t>
            </w:r>
          </w:p>
        </w:tc>
        <w:tc>
          <w:tcPr>
            <w:tcW w:w="4910" w:type="dxa"/>
            <w:vAlign w:val="center"/>
          </w:tcPr>
          <w:p w14:paraId="7678094B">
            <w:pPr>
              <w:spacing w:line="440" w:lineRule="exact"/>
              <w:rPr>
                <w:rFonts w:hint="eastAsia" w:ascii="宋体" w:hAnsi="宋体" w:cs="宋体"/>
                <w:sz w:val="24"/>
              </w:rPr>
            </w:pPr>
            <w:r>
              <w:rPr>
                <w:rFonts w:hint="eastAsia" w:ascii="宋体" w:hAnsi="宋体" w:cs="宋体"/>
                <w:sz w:val="24"/>
              </w:rPr>
              <w:t>提供政府采购供应商资格信用承诺函</w:t>
            </w:r>
          </w:p>
        </w:tc>
      </w:tr>
      <w:tr w14:paraId="56D0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vAlign w:val="center"/>
          </w:tcPr>
          <w:p w14:paraId="673FD7B1">
            <w:pPr>
              <w:spacing w:line="440" w:lineRule="exact"/>
              <w:jc w:val="center"/>
              <w:rPr>
                <w:rFonts w:hint="eastAsia" w:ascii="宋体" w:hAnsi="宋体" w:cs="宋体"/>
                <w:sz w:val="24"/>
              </w:rPr>
            </w:pPr>
          </w:p>
        </w:tc>
        <w:tc>
          <w:tcPr>
            <w:tcW w:w="1038" w:type="dxa"/>
            <w:vMerge w:val="continue"/>
            <w:vAlign w:val="center"/>
          </w:tcPr>
          <w:p w14:paraId="1742808A">
            <w:pPr>
              <w:spacing w:line="440" w:lineRule="exact"/>
              <w:jc w:val="center"/>
              <w:rPr>
                <w:rFonts w:hint="eastAsia" w:ascii="宋体" w:hAnsi="宋体" w:cs="宋体"/>
                <w:sz w:val="24"/>
              </w:rPr>
            </w:pPr>
          </w:p>
        </w:tc>
        <w:tc>
          <w:tcPr>
            <w:tcW w:w="2833" w:type="dxa"/>
            <w:vAlign w:val="center"/>
          </w:tcPr>
          <w:p w14:paraId="6D49DC70">
            <w:pPr>
              <w:spacing w:line="440" w:lineRule="exact"/>
              <w:jc w:val="center"/>
              <w:rPr>
                <w:rFonts w:hint="eastAsia" w:ascii="宋体" w:hAnsi="宋体" w:cs="宋体"/>
                <w:sz w:val="24"/>
              </w:rPr>
            </w:pPr>
            <w:r>
              <w:rPr>
                <w:rFonts w:hint="eastAsia" w:ascii="宋体" w:hAnsi="宋体" w:cs="宋体"/>
                <w:sz w:val="24"/>
              </w:rPr>
              <w:t>法定代表人证明或法定代表人授权委托书</w:t>
            </w:r>
          </w:p>
        </w:tc>
        <w:tc>
          <w:tcPr>
            <w:tcW w:w="4910" w:type="dxa"/>
            <w:vAlign w:val="center"/>
          </w:tcPr>
          <w:p w14:paraId="459A9844">
            <w:pPr>
              <w:spacing w:line="440" w:lineRule="exact"/>
              <w:rPr>
                <w:rFonts w:hint="eastAsia" w:ascii="宋体" w:hAnsi="宋体" w:cs="宋体"/>
                <w:sz w:val="24"/>
              </w:rPr>
            </w:pPr>
            <w:r>
              <w:rPr>
                <w:rFonts w:hint="eastAsia" w:ascii="宋体" w:hAnsi="宋体" w:cs="宋体"/>
                <w:sz w:val="24"/>
              </w:rPr>
              <w:t>法定代表人（负责人）证明或法定代表人授权委托书</w:t>
            </w:r>
          </w:p>
        </w:tc>
      </w:tr>
      <w:tr w14:paraId="74CB7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vAlign w:val="center"/>
          </w:tcPr>
          <w:p w14:paraId="10E5C588">
            <w:pPr>
              <w:spacing w:line="440" w:lineRule="exact"/>
              <w:ind w:firstLine="560"/>
              <w:jc w:val="center"/>
              <w:rPr>
                <w:rFonts w:hint="eastAsia" w:ascii="宋体" w:hAnsi="宋体" w:cs="宋体"/>
                <w:sz w:val="24"/>
              </w:rPr>
            </w:pPr>
          </w:p>
        </w:tc>
        <w:tc>
          <w:tcPr>
            <w:tcW w:w="1038" w:type="dxa"/>
            <w:vMerge w:val="continue"/>
            <w:vAlign w:val="center"/>
          </w:tcPr>
          <w:p w14:paraId="59D7A07C">
            <w:pPr>
              <w:spacing w:line="440" w:lineRule="exact"/>
              <w:ind w:firstLine="560"/>
              <w:jc w:val="center"/>
              <w:rPr>
                <w:rFonts w:hint="eastAsia" w:ascii="宋体" w:hAnsi="宋体" w:cs="宋体"/>
                <w:sz w:val="24"/>
              </w:rPr>
            </w:pPr>
          </w:p>
        </w:tc>
        <w:tc>
          <w:tcPr>
            <w:tcW w:w="2833" w:type="dxa"/>
            <w:vAlign w:val="center"/>
          </w:tcPr>
          <w:p w14:paraId="4034AA16">
            <w:pPr>
              <w:spacing w:line="440" w:lineRule="exact"/>
              <w:jc w:val="center"/>
              <w:rPr>
                <w:rFonts w:hint="eastAsia" w:ascii="宋体" w:hAnsi="宋体" w:cs="宋体"/>
                <w:sz w:val="24"/>
              </w:rPr>
            </w:pPr>
            <w:r>
              <w:rPr>
                <w:rFonts w:hint="eastAsia" w:ascii="宋体" w:hAnsi="宋体" w:cs="宋体"/>
                <w:sz w:val="24"/>
              </w:rPr>
              <w:t>信誉要求</w:t>
            </w:r>
          </w:p>
        </w:tc>
        <w:tc>
          <w:tcPr>
            <w:tcW w:w="4910" w:type="dxa"/>
            <w:vAlign w:val="center"/>
          </w:tcPr>
          <w:p w14:paraId="3F6DDD31">
            <w:pPr>
              <w:spacing w:line="440" w:lineRule="exact"/>
              <w:jc w:val="left"/>
              <w:rPr>
                <w:rFonts w:hint="eastAsia" w:ascii="宋体" w:hAnsi="宋体" w:cs="宋体"/>
                <w:sz w:val="24"/>
              </w:rPr>
            </w:pPr>
            <w:r>
              <w:rPr>
                <w:rFonts w:hint="eastAsia" w:ascii="宋体" w:hAnsi="宋体" w:cs="宋体"/>
                <w:sz w:val="24"/>
              </w:rPr>
              <w:t>符合第二章“供应商须知”第1.4.1项规定</w:t>
            </w:r>
          </w:p>
        </w:tc>
      </w:tr>
      <w:tr w14:paraId="155E7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tcBorders>
              <w:bottom w:val="single" w:color="auto" w:sz="4" w:space="0"/>
            </w:tcBorders>
            <w:vAlign w:val="center"/>
          </w:tcPr>
          <w:p w14:paraId="3D2417A3">
            <w:pPr>
              <w:spacing w:line="440" w:lineRule="exact"/>
              <w:ind w:firstLine="560"/>
              <w:jc w:val="center"/>
              <w:rPr>
                <w:rFonts w:hint="eastAsia" w:ascii="宋体" w:hAnsi="宋体" w:cs="宋体"/>
                <w:sz w:val="24"/>
              </w:rPr>
            </w:pPr>
          </w:p>
        </w:tc>
        <w:tc>
          <w:tcPr>
            <w:tcW w:w="1038" w:type="dxa"/>
            <w:vMerge w:val="continue"/>
            <w:tcBorders>
              <w:bottom w:val="single" w:color="auto" w:sz="4" w:space="0"/>
            </w:tcBorders>
            <w:vAlign w:val="center"/>
          </w:tcPr>
          <w:p w14:paraId="2CABAE0B">
            <w:pPr>
              <w:spacing w:line="440" w:lineRule="exact"/>
              <w:ind w:firstLine="560"/>
              <w:jc w:val="center"/>
              <w:rPr>
                <w:rFonts w:hint="eastAsia" w:ascii="宋体" w:hAnsi="宋体" w:cs="宋体"/>
                <w:sz w:val="24"/>
              </w:rPr>
            </w:pPr>
          </w:p>
        </w:tc>
        <w:tc>
          <w:tcPr>
            <w:tcW w:w="2833" w:type="dxa"/>
            <w:tcBorders>
              <w:bottom w:val="single" w:color="auto" w:sz="4" w:space="0"/>
            </w:tcBorders>
            <w:vAlign w:val="center"/>
          </w:tcPr>
          <w:p w14:paraId="5140B011">
            <w:pPr>
              <w:spacing w:line="440" w:lineRule="exact"/>
              <w:jc w:val="center"/>
              <w:rPr>
                <w:rFonts w:hint="eastAsia" w:ascii="宋体" w:hAnsi="宋体" w:cs="宋体"/>
                <w:sz w:val="24"/>
              </w:rPr>
            </w:pPr>
            <w:r>
              <w:rPr>
                <w:rFonts w:hint="eastAsia" w:ascii="宋体" w:hAnsi="宋体" w:cs="宋体"/>
                <w:sz w:val="24"/>
              </w:rPr>
              <w:t>其他要求</w:t>
            </w:r>
          </w:p>
        </w:tc>
        <w:tc>
          <w:tcPr>
            <w:tcW w:w="4910" w:type="dxa"/>
            <w:tcBorders>
              <w:bottom w:val="single" w:color="auto" w:sz="4" w:space="0"/>
            </w:tcBorders>
            <w:vAlign w:val="center"/>
          </w:tcPr>
          <w:p w14:paraId="39AF4E5F">
            <w:pPr>
              <w:spacing w:line="440" w:lineRule="exact"/>
              <w:jc w:val="left"/>
              <w:rPr>
                <w:rFonts w:hint="eastAsia" w:ascii="宋体" w:hAnsi="宋体" w:cs="宋体"/>
                <w:sz w:val="24"/>
              </w:rPr>
            </w:pPr>
            <w:r>
              <w:rPr>
                <w:rFonts w:hint="eastAsia" w:ascii="宋体" w:hAnsi="宋体" w:cs="宋体"/>
                <w:sz w:val="24"/>
              </w:rPr>
              <w:t>符合第二章“供应商须知”第1.4.1 项规定</w:t>
            </w:r>
          </w:p>
        </w:tc>
      </w:tr>
      <w:tr w14:paraId="19A51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restart"/>
            <w:tcBorders>
              <w:top w:val="single" w:color="auto" w:sz="4" w:space="0"/>
              <w:left w:val="single" w:color="auto" w:sz="4" w:space="0"/>
              <w:bottom w:val="single" w:color="auto" w:sz="4" w:space="0"/>
              <w:right w:val="single" w:color="auto" w:sz="4" w:space="0"/>
            </w:tcBorders>
            <w:vAlign w:val="center"/>
          </w:tcPr>
          <w:p w14:paraId="63EDD92A">
            <w:pPr>
              <w:spacing w:line="440" w:lineRule="exact"/>
              <w:jc w:val="center"/>
              <w:rPr>
                <w:rFonts w:hint="eastAsia" w:ascii="宋体" w:hAnsi="宋体" w:cs="宋体"/>
                <w:sz w:val="24"/>
              </w:rPr>
            </w:pPr>
            <w:r>
              <w:rPr>
                <w:rFonts w:hint="eastAsia" w:ascii="宋体" w:hAnsi="宋体" w:cs="宋体"/>
                <w:sz w:val="24"/>
              </w:rPr>
              <w:t>评标委员会</w:t>
            </w:r>
          </w:p>
        </w:tc>
        <w:tc>
          <w:tcPr>
            <w:tcW w:w="1038" w:type="dxa"/>
            <w:vMerge w:val="restart"/>
            <w:tcBorders>
              <w:top w:val="single" w:color="auto" w:sz="4" w:space="0"/>
              <w:left w:val="single" w:color="auto" w:sz="4" w:space="0"/>
              <w:bottom w:val="single" w:color="auto" w:sz="4" w:space="0"/>
              <w:right w:val="single" w:color="auto" w:sz="4" w:space="0"/>
            </w:tcBorders>
            <w:vAlign w:val="center"/>
          </w:tcPr>
          <w:p w14:paraId="36B114FF">
            <w:pPr>
              <w:spacing w:line="440" w:lineRule="exact"/>
              <w:jc w:val="center"/>
              <w:rPr>
                <w:rFonts w:hint="eastAsia" w:ascii="宋体" w:hAnsi="宋体" w:cs="宋体"/>
                <w:sz w:val="24"/>
              </w:rPr>
            </w:pPr>
            <w:r>
              <w:rPr>
                <w:rFonts w:hint="eastAsia" w:ascii="宋体" w:hAnsi="宋体" w:cs="宋体"/>
                <w:sz w:val="24"/>
              </w:rPr>
              <w:t>二、形式评审标准</w:t>
            </w:r>
          </w:p>
        </w:tc>
        <w:tc>
          <w:tcPr>
            <w:tcW w:w="2833" w:type="dxa"/>
            <w:tcBorders>
              <w:top w:val="single" w:color="auto" w:sz="4" w:space="0"/>
              <w:left w:val="single" w:color="auto" w:sz="4" w:space="0"/>
              <w:bottom w:val="single" w:color="auto" w:sz="4" w:space="0"/>
              <w:right w:val="single" w:color="auto" w:sz="4" w:space="0"/>
            </w:tcBorders>
            <w:vAlign w:val="center"/>
          </w:tcPr>
          <w:p w14:paraId="427F5453">
            <w:pPr>
              <w:spacing w:line="440" w:lineRule="exact"/>
              <w:jc w:val="center"/>
              <w:rPr>
                <w:rFonts w:hint="eastAsia" w:ascii="宋体" w:hAnsi="宋体" w:cs="宋体"/>
                <w:sz w:val="24"/>
              </w:rPr>
            </w:pPr>
            <w:r>
              <w:rPr>
                <w:rFonts w:hint="eastAsia" w:ascii="宋体" w:hAnsi="宋体" w:cs="宋体"/>
                <w:sz w:val="24"/>
              </w:rPr>
              <w:t>供应商名称</w:t>
            </w:r>
          </w:p>
        </w:tc>
        <w:tc>
          <w:tcPr>
            <w:tcW w:w="4910" w:type="dxa"/>
            <w:tcBorders>
              <w:top w:val="single" w:color="auto" w:sz="4" w:space="0"/>
              <w:left w:val="single" w:color="auto" w:sz="4" w:space="0"/>
              <w:bottom w:val="single" w:color="auto" w:sz="4" w:space="0"/>
              <w:right w:val="single" w:color="auto" w:sz="4" w:space="0"/>
            </w:tcBorders>
            <w:vAlign w:val="center"/>
          </w:tcPr>
          <w:p w14:paraId="29D2DE41">
            <w:pPr>
              <w:spacing w:line="440" w:lineRule="exact"/>
              <w:rPr>
                <w:rFonts w:hint="eastAsia" w:ascii="宋体" w:hAnsi="宋体" w:cs="宋体"/>
                <w:sz w:val="24"/>
              </w:rPr>
            </w:pPr>
            <w:r>
              <w:rPr>
                <w:rFonts w:hint="eastAsia" w:ascii="宋体" w:hAnsi="宋体" w:cs="宋体"/>
                <w:sz w:val="24"/>
              </w:rPr>
              <w:t>营业执照等证件一致</w:t>
            </w:r>
          </w:p>
        </w:tc>
      </w:tr>
      <w:tr w14:paraId="389AD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187" w:type="dxa"/>
            <w:vMerge w:val="continue"/>
            <w:tcBorders>
              <w:top w:val="single" w:color="auto" w:sz="4" w:space="0"/>
              <w:left w:val="single" w:color="auto" w:sz="4" w:space="0"/>
              <w:bottom w:val="single" w:color="auto" w:sz="4" w:space="0"/>
              <w:right w:val="single" w:color="auto" w:sz="4" w:space="0"/>
            </w:tcBorders>
            <w:vAlign w:val="center"/>
          </w:tcPr>
          <w:p w14:paraId="6E9E9193">
            <w:pPr>
              <w:spacing w:line="440" w:lineRule="exact"/>
              <w:ind w:firstLine="560"/>
              <w:jc w:val="center"/>
              <w:rPr>
                <w:rFonts w:hint="eastAsia" w:ascii="宋体" w:hAnsi="宋体" w:cs="宋体"/>
                <w:sz w:val="24"/>
              </w:rPr>
            </w:pPr>
          </w:p>
        </w:tc>
        <w:tc>
          <w:tcPr>
            <w:tcW w:w="1038" w:type="dxa"/>
            <w:vMerge w:val="continue"/>
            <w:tcBorders>
              <w:top w:val="single" w:color="auto" w:sz="4" w:space="0"/>
              <w:left w:val="single" w:color="auto" w:sz="4" w:space="0"/>
              <w:bottom w:val="single" w:color="auto" w:sz="4" w:space="0"/>
              <w:right w:val="single" w:color="auto" w:sz="4" w:space="0"/>
            </w:tcBorders>
            <w:vAlign w:val="center"/>
          </w:tcPr>
          <w:p w14:paraId="5443AD8F">
            <w:pPr>
              <w:spacing w:line="440" w:lineRule="exact"/>
              <w:ind w:firstLine="560"/>
              <w:jc w:val="center"/>
              <w:rPr>
                <w:rFonts w:hint="eastAsia" w:ascii="宋体" w:hAnsi="宋体" w:cs="宋体"/>
                <w:sz w:val="24"/>
              </w:rPr>
            </w:pPr>
          </w:p>
        </w:tc>
        <w:tc>
          <w:tcPr>
            <w:tcW w:w="2833" w:type="dxa"/>
            <w:tcBorders>
              <w:top w:val="single" w:color="auto" w:sz="4" w:space="0"/>
              <w:left w:val="single" w:color="auto" w:sz="4" w:space="0"/>
              <w:bottom w:val="single" w:color="auto" w:sz="4" w:space="0"/>
              <w:right w:val="single" w:color="auto" w:sz="4" w:space="0"/>
            </w:tcBorders>
            <w:vAlign w:val="center"/>
          </w:tcPr>
          <w:p w14:paraId="43663C36">
            <w:pPr>
              <w:spacing w:line="440" w:lineRule="exact"/>
              <w:jc w:val="center"/>
              <w:rPr>
                <w:rFonts w:hint="eastAsia" w:ascii="宋体" w:hAnsi="宋体" w:cs="宋体"/>
                <w:sz w:val="24"/>
              </w:rPr>
            </w:pPr>
            <w:r>
              <w:rPr>
                <w:rFonts w:hint="eastAsia" w:ascii="宋体" w:hAnsi="宋体" w:cs="宋体"/>
                <w:sz w:val="24"/>
              </w:rPr>
              <w:t>投标函签字盖章</w:t>
            </w:r>
          </w:p>
        </w:tc>
        <w:tc>
          <w:tcPr>
            <w:tcW w:w="4910" w:type="dxa"/>
            <w:tcBorders>
              <w:top w:val="single" w:color="auto" w:sz="4" w:space="0"/>
              <w:left w:val="single" w:color="auto" w:sz="4" w:space="0"/>
              <w:bottom w:val="single" w:color="auto" w:sz="4" w:space="0"/>
              <w:right w:val="single" w:color="auto" w:sz="4" w:space="0"/>
            </w:tcBorders>
            <w:vAlign w:val="center"/>
          </w:tcPr>
          <w:p w14:paraId="4420C7B9">
            <w:pPr>
              <w:spacing w:line="440" w:lineRule="exact"/>
              <w:rPr>
                <w:rFonts w:hint="eastAsia" w:ascii="宋体" w:hAnsi="宋体" w:cs="宋体"/>
                <w:sz w:val="24"/>
              </w:rPr>
            </w:pPr>
            <w:r>
              <w:rPr>
                <w:rFonts w:hint="eastAsia" w:ascii="宋体" w:hAnsi="宋体" w:cs="宋体"/>
                <w:sz w:val="24"/>
              </w:rPr>
              <w:t>加盖单位公章并有法定代表人或其委托代理人签字或盖章</w:t>
            </w:r>
          </w:p>
        </w:tc>
      </w:tr>
      <w:tr w14:paraId="74D86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187" w:type="dxa"/>
            <w:vMerge w:val="continue"/>
            <w:tcBorders>
              <w:top w:val="single" w:color="auto" w:sz="4" w:space="0"/>
              <w:left w:val="single" w:color="auto" w:sz="4" w:space="0"/>
              <w:bottom w:val="single" w:color="auto" w:sz="4" w:space="0"/>
              <w:right w:val="single" w:color="auto" w:sz="4" w:space="0"/>
            </w:tcBorders>
            <w:vAlign w:val="center"/>
          </w:tcPr>
          <w:p w14:paraId="266259C3">
            <w:pPr>
              <w:spacing w:line="440" w:lineRule="exact"/>
              <w:ind w:firstLine="560"/>
              <w:jc w:val="center"/>
              <w:rPr>
                <w:rFonts w:hint="eastAsia" w:ascii="宋体" w:hAnsi="宋体" w:cs="宋体"/>
                <w:sz w:val="24"/>
              </w:rPr>
            </w:pPr>
          </w:p>
        </w:tc>
        <w:tc>
          <w:tcPr>
            <w:tcW w:w="1038" w:type="dxa"/>
            <w:vMerge w:val="continue"/>
            <w:tcBorders>
              <w:top w:val="single" w:color="auto" w:sz="4" w:space="0"/>
              <w:left w:val="single" w:color="auto" w:sz="4" w:space="0"/>
              <w:bottom w:val="single" w:color="auto" w:sz="4" w:space="0"/>
              <w:right w:val="single" w:color="auto" w:sz="4" w:space="0"/>
            </w:tcBorders>
            <w:vAlign w:val="center"/>
          </w:tcPr>
          <w:p w14:paraId="261A42AB">
            <w:pPr>
              <w:spacing w:line="440" w:lineRule="exact"/>
              <w:ind w:firstLine="560"/>
              <w:jc w:val="center"/>
              <w:rPr>
                <w:rFonts w:hint="eastAsia" w:ascii="宋体" w:hAnsi="宋体" w:cs="宋体"/>
                <w:sz w:val="24"/>
              </w:rPr>
            </w:pPr>
          </w:p>
        </w:tc>
        <w:tc>
          <w:tcPr>
            <w:tcW w:w="2833" w:type="dxa"/>
            <w:tcBorders>
              <w:top w:val="single" w:color="auto" w:sz="4" w:space="0"/>
              <w:left w:val="single" w:color="auto" w:sz="4" w:space="0"/>
              <w:bottom w:val="single" w:color="auto" w:sz="4" w:space="0"/>
              <w:right w:val="single" w:color="auto" w:sz="4" w:space="0"/>
            </w:tcBorders>
            <w:vAlign w:val="center"/>
          </w:tcPr>
          <w:p w14:paraId="587C4FC5">
            <w:pPr>
              <w:spacing w:line="440" w:lineRule="exact"/>
              <w:jc w:val="center"/>
              <w:rPr>
                <w:rFonts w:hint="eastAsia" w:ascii="宋体" w:hAnsi="宋体" w:cs="宋体"/>
                <w:sz w:val="24"/>
              </w:rPr>
            </w:pPr>
            <w:r>
              <w:rPr>
                <w:rFonts w:hint="eastAsia" w:ascii="宋体" w:hAnsi="宋体" w:cs="宋体"/>
                <w:sz w:val="24"/>
              </w:rPr>
              <w:t>投标文件格式</w:t>
            </w:r>
          </w:p>
        </w:tc>
        <w:tc>
          <w:tcPr>
            <w:tcW w:w="4910" w:type="dxa"/>
            <w:tcBorders>
              <w:top w:val="single" w:color="auto" w:sz="4" w:space="0"/>
              <w:left w:val="single" w:color="auto" w:sz="4" w:space="0"/>
              <w:bottom w:val="single" w:color="auto" w:sz="4" w:space="0"/>
              <w:right w:val="single" w:color="auto" w:sz="4" w:space="0"/>
            </w:tcBorders>
            <w:vAlign w:val="center"/>
          </w:tcPr>
          <w:p w14:paraId="340D1481">
            <w:pPr>
              <w:spacing w:line="440" w:lineRule="exact"/>
              <w:rPr>
                <w:rFonts w:hint="eastAsia" w:ascii="宋体" w:hAnsi="宋体" w:cs="宋体"/>
                <w:sz w:val="24"/>
              </w:rPr>
            </w:pPr>
            <w:r>
              <w:rPr>
                <w:rFonts w:hint="eastAsia" w:ascii="宋体" w:hAnsi="宋体" w:cs="宋体"/>
                <w:sz w:val="24"/>
              </w:rPr>
              <w:t>符合招标文件格式要求</w:t>
            </w:r>
          </w:p>
        </w:tc>
      </w:tr>
      <w:tr w14:paraId="49A7A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87" w:type="dxa"/>
            <w:vMerge w:val="continue"/>
            <w:tcBorders>
              <w:top w:val="single" w:color="auto" w:sz="4" w:space="0"/>
              <w:left w:val="single" w:color="auto" w:sz="4" w:space="0"/>
              <w:bottom w:val="single" w:color="auto" w:sz="4" w:space="0"/>
              <w:right w:val="single" w:color="auto" w:sz="4" w:space="0"/>
            </w:tcBorders>
            <w:vAlign w:val="center"/>
          </w:tcPr>
          <w:p w14:paraId="2DFA5D78">
            <w:pPr>
              <w:spacing w:line="440" w:lineRule="exact"/>
              <w:ind w:firstLine="560"/>
              <w:jc w:val="center"/>
              <w:rPr>
                <w:rFonts w:hint="eastAsia" w:ascii="宋体" w:hAnsi="宋体" w:cs="宋体"/>
                <w:sz w:val="24"/>
              </w:rPr>
            </w:pPr>
          </w:p>
        </w:tc>
        <w:tc>
          <w:tcPr>
            <w:tcW w:w="1038" w:type="dxa"/>
            <w:vMerge w:val="continue"/>
            <w:tcBorders>
              <w:top w:val="single" w:color="auto" w:sz="4" w:space="0"/>
              <w:left w:val="single" w:color="auto" w:sz="4" w:space="0"/>
              <w:bottom w:val="single" w:color="auto" w:sz="4" w:space="0"/>
              <w:right w:val="single" w:color="auto" w:sz="4" w:space="0"/>
            </w:tcBorders>
            <w:vAlign w:val="center"/>
          </w:tcPr>
          <w:p w14:paraId="78E09D61">
            <w:pPr>
              <w:spacing w:line="440" w:lineRule="exact"/>
              <w:ind w:firstLine="560"/>
              <w:jc w:val="center"/>
              <w:rPr>
                <w:rFonts w:hint="eastAsia" w:ascii="宋体" w:hAnsi="宋体" w:cs="宋体"/>
                <w:sz w:val="24"/>
              </w:rPr>
            </w:pPr>
          </w:p>
        </w:tc>
        <w:tc>
          <w:tcPr>
            <w:tcW w:w="2833" w:type="dxa"/>
            <w:tcBorders>
              <w:top w:val="single" w:color="auto" w:sz="4" w:space="0"/>
              <w:left w:val="single" w:color="auto" w:sz="4" w:space="0"/>
              <w:bottom w:val="single" w:color="auto" w:sz="4" w:space="0"/>
              <w:right w:val="single" w:color="auto" w:sz="4" w:space="0"/>
            </w:tcBorders>
            <w:vAlign w:val="center"/>
          </w:tcPr>
          <w:p w14:paraId="5C029BCE">
            <w:pPr>
              <w:spacing w:line="440" w:lineRule="exact"/>
              <w:jc w:val="center"/>
              <w:rPr>
                <w:rFonts w:hint="eastAsia" w:ascii="宋体" w:hAnsi="宋体" w:cs="宋体"/>
                <w:sz w:val="24"/>
              </w:rPr>
            </w:pPr>
            <w:r>
              <w:rPr>
                <w:rFonts w:hint="eastAsia" w:ascii="宋体" w:hAnsi="宋体" w:cs="宋体"/>
                <w:sz w:val="24"/>
              </w:rPr>
              <w:t>报价唯一</w:t>
            </w:r>
          </w:p>
        </w:tc>
        <w:tc>
          <w:tcPr>
            <w:tcW w:w="4910" w:type="dxa"/>
            <w:tcBorders>
              <w:top w:val="single" w:color="auto" w:sz="4" w:space="0"/>
              <w:left w:val="single" w:color="auto" w:sz="4" w:space="0"/>
              <w:bottom w:val="single" w:color="auto" w:sz="4" w:space="0"/>
              <w:right w:val="single" w:color="auto" w:sz="4" w:space="0"/>
            </w:tcBorders>
            <w:vAlign w:val="center"/>
          </w:tcPr>
          <w:p w14:paraId="6B201A8E">
            <w:pPr>
              <w:spacing w:line="440" w:lineRule="exact"/>
              <w:rPr>
                <w:rFonts w:hint="eastAsia" w:ascii="宋体" w:hAnsi="宋体" w:cs="宋体"/>
                <w:sz w:val="24"/>
              </w:rPr>
            </w:pPr>
            <w:r>
              <w:rPr>
                <w:rFonts w:hint="eastAsia" w:ascii="宋体" w:hAnsi="宋体" w:cs="宋体"/>
                <w:sz w:val="24"/>
              </w:rPr>
              <w:t>只能有一个有效报价</w:t>
            </w:r>
          </w:p>
        </w:tc>
      </w:tr>
      <w:tr w14:paraId="05A9F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87" w:type="dxa"/>
            <w:vMerge w:val="continue"/>
            <w:tcBorders>
              <w:top w:val="single" w:color="auto" w:sz="4" w:space="0"/>
              <w:left w:val="single" w:color="auto" w:sz="4" w:space="0"/>
              <w:bottom w:val="single" w:color="auto" w:sz="4" w:space="0"/>
              <w:right w:val="single" w:color="auto" w:sz="4" w:space="0"/>
            </w:tcBorders>
          </w:tcPr>
          <w:p w14:paraId="4008894E">
            <w:pPr>
              <w:spacing w:line="440" w:lineRule="exact"/>
              <w:ind w:firstLine="560"/>
              <w:rPr>
                <w:rFonts w:hint="eastAsia" w:ascii="宋体" w:hAnsi="宋体" w:cs="宋体"/>
                <w:sz w:val="24"/>
              </w:rPr>
            </w:pPr>
          </w:p>
        </w:tc>
        <w:tc>
          <w:tcPr>
            <w:tcW w:w="1038" w:type="dxa"/>
            <w:vMerge w:val="continue"/>
            <w:tcBorders>
              <w:top w:val="single" w:color="auto" w:sz="4" w:space="0"/>
              <w:left w:val="single" w:color="auto" w:sz="4" w:space="0"/>
              <w:bottom w:val="single" w:color="auto" w:sz="4" w:space="0"/>
              <w:right w:val="single" w:color="auto" w:sz="4" w:space="0"/>
            </w:tcBorders>
          </w:tcPr>
          <w:p w14:paraId="22883CD2">
            <w:pPr>
              <w:spacing w:line="440" w:lineRule="exact"/>
              <w:ind w:firstLine="560"/>
              <w:rPr>
                <w:rFonts w:hint="eastAsia" w:ascii="宋体" w:hAnsi="宋体" w:cs="宋体"/>
                <w:sz w:val="24"/>
              </w:rPr>
            </w:pPr>
          </w:p>
        </w:tc>
        <w:tc>
          <w:tcPr>
            <w:tcW w:w="2833" w:type="dxa"/>
            <w:tcBorders>
              <w:top w:val="single" w:color="auto" w:sz="4" w:space="0"/>
              <w:left w:val="single" w:color="auto" w:sz="4" w:space="0"/>
              <w:bottom w:val="single" w:color="auto" w:sz="4" w:space="0"/>
              <w:right w:val="single" w:color="auto" w:sz="4" w:space="0"/>
            </w:tcBorders>
            <w:vAlign w:val="center"/>
          </w:tcPr>
          <w:p w14:paraId="5F9202B4">
            <w:pPr>
              <w:spacing w:line="440" w:lineRule="exact"/>
              <w:jc w:val="center"/>
              <w:rPr>
                <w:rFonts w:hint="eastAsia" w:ascii="宋体" w:hAnsi="宋体" w:cs="宋体"/>
                <w:sz w:val="24"/>
              </w:rPr>
            </w:pPr>
            <w:r>
              <w:rPr>
                <w:rFonts w:hint="eastAsia" w:ascii="宋体" w:hAnsi="宋体" w:cs="宋体"/>
                <w:sz w:val="24"/>
              </w:rPr>
              <w:t>合同履行期限</w:t>
            </w:r>
          </w:p>
          <w:p w14:paraId="7F7E98FD">
            <w:pPr>
              <w:spacing w:line="440" w:lineRule="exact"/>
              <w:jc w:val="center"/>
              <w:rPr>
                <w:rFonts w:hint="eastAsia" w:ascii="宋体" w:hAnsi="宋体" w:cs="宋体"/>
                <w:sz w:val="24"/>
              </w:rPr>
            </w:pPr>
            <w:r>
              <w:rPr>
                <w:rFonts w:hint="eastAsia" w:ascii="宋体" w:hAnsi="宋体" w:cs="宋体"/>
                <w:sz w:val="24"/>
              </w:rPr>
              <w:t>（供货及安装期）</w:t>
            </w:r>
          </w:p>
        </w:tc>
        <w:tc>
          <w:tcPr>
            <w:tcW w:w="4910" w:type="dxa"/>
            <w:tcBorders>
              <w:top w:val="single" w:color="auto" w:sz="4" w:space="0"/>
              <w:left w:val="single" w:color="auto" w:sz="4" w:space="0"/>
              <w:bottom w:val="single" w:color="auto" w:sz="4" w:space="0"/>
              <w:right w:val="single" w:color="auto" w:sz="4" w:space="0"/>
            </w:tcBorders>
            <w:vAlign w:val="center"/>
          </w:tcPr>
          <w:p w14:paraId="36C02DCD">
            <w:pPr>
              <w:spacing w:line="440" w:lineRule="exact"/>
              <w:jc w:val="left"/>
              <w:rPr>
                <w:rFonts w:hint="eastAsia" w:ascii="宋体" w:hAnsi="宋体" w:cs="宋体"/>
                <w:sz w:val="24"/>
              </w:rPr>
            </w:pPr>
            <w:r>
              <w:rPr>
                <w:rFonts w:hint="eastAsia" w:ascii="宋体" w:hAnsi="宋体" w:cs="宋体"/>
                <w:sz w:val="24"/>
              </w:rPr>
              <w:t>符合第二章“供应商须知”第 1.3.2 项规定</w:t>
            </w:r>
          </w:p>
        </w:tc>
      </w:tr>
      <w:tr w14:paraId="3E6A4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7" w:type="dxa"/>
            <w:vMerge w:val="continue"/>
            <w:tcBorders>
              <w:top w:val="single" w:color="auto" w:sz="4" w:space="0"/>
              <w:left w:val="single" w:color="auto" w:sz="4" w:space="0"/>
              <w:bottom w:val="single" w:color="auto" w:sz="4" w:space="0"/>
              <w:right w:val="single" w:color="auto" w:sz="4" w:space="0"/>
            </w:tcBorders>
          </w:tcPr>
          <w:p w14:paraId="636D2575">
            <w:pPr>
              <w:spacing w:line="440" w:lineRule="exact"/>
              <w:ind w:firstLine="560"/>
              <w:rPr>
                <w:rFonts w:hint="eastAsia" w:ascii="宋体" w:hAnsi="宋体" w:cs="宋体"/>
                <w:sz w:val="24"/>
              </w:rPr>
            </w:pPr>
          </w:p>
        </w:tc>
        <w:tc>
          <w:tcPr>
            <w:tcW w:w="1038" w:type="dxa"/>
            <w:vMerge w:val="continue"/>
            <w:tcBorders>
              <w:top w:val="single" w:color="auto" w:sz="4" w:space="0"/>
              <w:left w:val="single" w:color="auto" w:sz="4" w:space="0"/>
              <w:bottom w:val="single" w:color="auto" w:sz="4" w:space="0"/>
              <w:right w:val="single" w:color="auto" w:sz="4" w:space="0"/>
            </w:tcBorders>
          </w:tcPr>
          <w:p w14:paraId="6D42D7B0">
            <w:pPr>
              <w:spacing w:line="440" w:lineRule="exact"/>
              <w:ind w:firstLine="560"/>
              <w:rPr>
                <w:rFonts w:hint="eastAsia" w:ascii="宋体" w:hAnsi="宋体" w:cs="宋体"/>
                <w:sz w:val="24"/>
              </w:rPr>
            </w:pPr>
          </w:p>
        </w:tc>
        <w:tc>
          <w:tcPr>
            <w:tcW w:w="2833" w:type="dxa"/>
            <w:tcBorders>
              <w:top w:val="single" w:color="auto" w:sz="4" w:space="0"/>
              <w:left w:val="single" w:color="auto" w:sz="4" w:space="0"/>
              <w:bottom w:val="single" w:color="auto" w:sz="4" w:space="0"/>
              <w:right w:val="single" w:color="auto" w:sz="4" w:space="0"/>
            </w:tcBorders>
            <w:vAlign w:val="center"/>
          </w:tcPr>
          <w:p w14:paraId="38596124">
            <w:pPr>
              <w:spacing w:line="440" w:lineRule="exact"/>
              <w:jc w:val="center"/>
              <w:rPr>
                <w:rFonts w:hint="eastAsia" w:ascii="宋体" w:hAnsi="宋体" w:cs="宋体"/>
                <w:sz w:val="24"/>
              </w:rPr>
            </w:pPr>
            <w:r>
              <w:rPr>
                <w:rFonts w:hint="eastAsia" w:ascii="宋体" w:hAnsi="宋体" w:cs="宋体"/>
                <w:sz w:val="24"/>
              </w:rPr>
              <w:t>质量标准</w:t>
            </w:r>
          </w:p>
        </w:tc>
        <w:tc>
          <w:tcPr>
            <w:tcW w:w="4910" w:type="dxa"/>
            <w:tcBorders>
              <w:top w:val="single" w:color="auto" w:sz="4" w:space="0"/>
              <w:left w:val="single" w:color="auto" w:sz="4" w:space="0"/>
              <w:bottom w:val="single" w:color="auto" w:sz="4" w:space="0"/>
              <w:right w:val="single" w:color="auto" w:sz="4" w:space="0"/>
            </w:tcBorders>
            <w:vAlign w:val="center"/>
          </w:tcPr>
          <w:p w14:paraId="57F072A0">
            <w:pPr>
              <w:spacing w:line="440" w:lineRule="exact"/>
              <w:jc w:val="left"/>
              <w:rPr>
                <w:rFonts w:hint="eastAsia" w:ascii="宋体" w:hAnsi="宋体" w:cs="宋体"/>
                <w:sz w:val="24"/>
              </w:rPr>
            </w:pPr>
            <w:r>
              <w:rPr>
                <w:rFonts w:hint="eastAsia" w:ascii="宋体" w:hAnsi="宋体" w:cs="宋体"/>
                <w:sz w:val="24"/>
              </w:rPr>
              <w:t>符合第二章“供应商须知”第 1.3.3 项规定</w:t>
            </w:r>
          </w:p>
        </w:tc>
      </w:tr>
      <w:tr w14:paraId="2E0AD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187" w:type="dxa"/>
            <w:vMerge w:val="continue"/>
            <w:tcBorders>
              <w:top w:val="single" w:color="auto" w:sz="4" w:space="0"/>
              <w:left w:val="single" w:color="auto" w:sz="4" w:space="0"/>
              <w:bottom w:val="single" w:color="auto" w:sz="4" w:space="0"/>
              <w:right w:val="single" w:color="auto" w:sz="4" w:space="0"/>
            </w:tcBorders>
          </w:tcPr>
          <w:p w14:paraId="0E5C0CF2">
            <w:pPr>
              <w:spacing w:line="440" w:lineRule="exact"/>
              <w:ind w:firstLine="560"/>
              <w:rPr>
                <w:rFonts w:hint="eastAsia" w:ascii="宋体" w:hAnsi="宋体" w:cs="宋体"/>
                <w:sz w:val="24"/>
              </w:rPr>
            </w:pPr>
          </w:p>
        </w:tc>
        <w:tc>
          <w:tcPr>
            <w:tcW w:w="1038" w:type="dxa"/>
            <w:vMerge w:val="continue"/>
            <w:tcBorders>
              <w:top w:val="single" w:color="auto" w:sz="4" w:space="0"/>
              <w:left w:val="single" w:color="auto" w:sz="4" w:space="0"/>
              <w:bottom w:val="single" w:color="auto" w:sz="4" w:space="0"/>
              <w:right w:val="single" w:color="auto" w:sz="4" w:space="0"/>
            </w:tcBorders>
          </w:tcPr>
          <w:p w14:paraId="7C69660B">
            <w:pPr>
              <w:spacing w:line="440" w:lineRule="exact"/>
              <w:ind w:firstLine="560"/>
              <w:rPr>
                <w:rFonts w:hint="eastAsia" w:ascii="宋体" w:hAnsi="宋体" w:cs="宋体"/>
                <w:sz w:val="24"/>
              </w:rPr>
            </w:pPr>
          </w:p>
        </w:tc>
        <w:tc>
          <w:tcPr>
            <w:tcW w:w="2833" w:type="dxa"/>
            <w:tcBorders>
              <w:top w:val="single" w:color="auto" w:sz="4" w:space="0"/>
              <w:left w:val="single" w:color="auto" w:sz="4" w:space="0"/>
              <w:bottom w:val="single" w:color="auto" w:sz="4" w:space="0"/>
              <w:right w:val="single" w:color="auto" w:sz="4" w:space="0"/>
            </w:tcBorders>
            <w:vAlign w:val="center"/>
          </w:tcPr>
          <w:p w14:paraId="727CB4CC">
            <w:pPr>
              <w:spacing w:line="440" w:lineRule="exact"/>
              <w:jc w:val="center"/>
              <w:rPr>
                <w:rFonts w:hint="eastAsia" w:ascii="宋体" w:hAnsi="宋体" w:cs="宋体"/>
                <w:sz w:val="24"/>
              </w:rPr>
            </w:pPr>
            <w:r>
              <w:rPr>
                <w:rFonts w:hint="eastAsia" w:ascii="宋体" w:hAnsi="宋体" w:cs="宋体"/>
                <w:sz w:val="24"/>
              </w:rPr>
              <w:t>质保期</w:t>
            </w:r>
          </w:p>
        </w:tc>
        <w:tc>
          <w:tcPr>
            <w:tcW w:w="4910" w:type="dxa"/>
            <w:tcBorders>
              <w:top w:val="single" w:color="auto" w:sz="4" w:space="0"/>
              <w:left w:val="single" w:color="auto" w:sz="4" w:space="0"/>
              <w:bottom w:val="single" w:color="auto" w:sz="4" w:space="0"/>
              <w:right w:val="single" w:color="auto" w:sz="4" w:space="0"/>
            </w:tcBorders>
            <w:vAlign w:val="center"/>
          </w:tcPr>
          <w:p w14:paraId="3530D93E">
            <w:pPr>
              <w:spacing w:line="440" w:lineRule="exact"/>
              <w:jc w:val="left"/>
              <w:rPr>
                <w:rFonts w:hint="eastAsia" w:ascii="宋体" w:hAnsi="宋体" w:cs="宋体"/>
                <w:sz w:val="24"/>
                <w:highlight w:val="yellow"/>
              </w:rPr>
            </w:pPr>
            <w:r>
              <w:rPr>
                <w:rFonts w:hint="eastAsia" w:ascii="宋体" w:hAnsi="宋体" w:cs="宋体"/>
                <w:sz w:val="24"/>
              </w:rPr>
              <w:t>符合第二章“供应商须知”第 1.3.4 项规定</w:t>
            </w:r>
          </w:p>
        </w:tc>
      </w:tr>
      <w:tr w14:paraId="08858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87" w:type="dxa"/>
            <w:vMerge w:val="continue"/>
            <w:tcBorders>
              <w:top w:val="single" w:color="auto" w:sz="4" w:space="0"/>
              <w:left w:val="single" w:color="auto" w:sz="4" w:space="0"/>
              <w:bottom w:val="single" w:color="auto" w:sz="4" w:space="0"/>
              <w:right w:val="single" w:color="auto" w:sz="4" w:space="0"/>
            </w:tcBorders>
          </w:tcPr>
          <w:p w14:paraId="721963FA">
            <w:pPr>
              <w:spacing w:line="440" w:lineRule="exact"/>
              <w:ind w:firstLine="560"/>
              <w:rPr>
                <w:rFonts w:hint="eastAsia" w:ascii="宋体" w:hAnsi="宋体" w:cs="宋体"/>
                <w:sz w:val="24"/>
              </w:rPr>
            </w:pPr>
          </w:p>
        </w:tc>
        <w:tc>
          <w:tcPr>
            <w:tcW w:w="1038" w:type="dxa"/>
            <w:vMerge w:val="continue"/>
            <w:tcBorders>
              <w:top w:val="single" w:color="auto" w:sz="4" w:space="0"/>
              <w:left w:val="single" w:color="auto" w:sz="4" w:space="0"/>
              <w:bottom w:val="single" w:color="auto" w:sz="4" w:space="0"/>
              <w:right w:val="single" w:color="auto" w:sz="4" w:space="0"/>
            </w:tcBorders>
          </w:tcPr>
          <w:p w14:paraId="531D6661">
            <w:pPr>
              <w:spacing w:line="440" w:lineRule="exact"/>
              <w:ind w:firstLine="560"/>
              <w:rPr>
                <w:rFonts w:hint="eastAsia" w:ascii="宋体" w:hAnsi="宋体" w:cs="宋体"/>
                <w:sz w:val="24"/>
              </w:rPr>
            </w:pPr>
          </w:p>
        </w:tc>
        <w:tc>
          <w:tcPr>
            <w:tcW w:w="2833" w:type="dxa"/>
            <w:tcBorders>
              <w:top w:val="single" w:color="auto" w:sz="4" w:space="0"/>
              <w:left w:val="single" w:color="auto" w:sz="4" w:space="0"/>
              <w:bottom w:val="single" w:color="auto" w:sz="4" w:space="0"/>
              <w:right w:val="single" w:color="auto" w:sz="4" w:space="0"/>
            </w:tcBorders>
            <w:vAlign w:val="center"/>
          </w:tcPr>
          <w:p w14:paraId="29ED7B1F">
            <w:pPr>
              <w:spacing w:line="440" w:lineRule="exact"/>
              <w:jc w:val="center"/>
              <w:rPr>
                <w:rFonts w:hint="eastAsia" w:ascii="宋体" w:hAnsi="宋体" w:cs="宋体"/>
                <w:sz w:val="24"/>
              </w:rPr>
            </w:pPr>
            <w:r>
              <w:rPr>
                <w:rFonts w:hint="eastAsia" w:ascii="宋体" w:hAnsi="宋体" w:cs="宋体"/>
                <w:sz w:val="24"/>
              </w:rPr>
              <w:t>投标有效期</w:t>
            </w:r>
          </w:p>
        </w:tc>
        <w:tc>
          <w:tcPr>
            <w:tcW w:w="4910" w:type="dxa"/>
            <w:tcBorders>
              <w:top w:val="single" w:color="auto" w:sz="4" w:space="0"/>
              <w:left w:val="single" w:color="auto" w:sz="4" w:space="0"/>
              <w:bottom w:val="single" w:color="auto" w:sz="4" w:space="0"/>
              <w:right w:val="single" w:color="auto" w:sz="4" w:space="0"/>
            </w:tcBorders>
            <w:vAlign w:val="center"/>
          </w:tcPr>
          <w:p w14:paraId="16990C9C">
            <w:pPr>
              <w:spacing w:line="440" w:lineRule="exact"/>
              <w:jc w:val="left"/>
              <w:rPr>
                <w:rFonts w:hint="eastAsia" w:ascii="宋体" w:hAnsi="宋体" w:cs="宋体"/>
                <w:sz w:val="24"/>
              </w:rPr>
            </w:pPr>
            <w:r>
              <w:rPr>
                <w:rFonts w:hint="eastAsia" w:ascii="宋体" w:hAnsi="宋体" w:cs="宋体"/>
                <w:sz w:val="24"/>
              </w:rPr>
              <w:t>符合第二章“供应商须知”第 3.3.1 项规定</w:t>
            </w:r>
          </w:p>
        </w:tc>
      </w:tr>
      <w:tr w14:paraId="18842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87" w:type="dxa"/>
            <w:vMerge w:val="continue"/>
            <w:tcBorders>
              <w:top w:val="single" w:color="auto" w:sz="4" w:space="0"/>
              <w:left w:val="single" w:color="auto" w:sz="4" w:space="0"/>
              <w:bottom w:val="single" w:color="auto" w:sz="4" w:space="0"/>
              <w:right w:val="single" w:color="auto" w:sz="4" w:space="0"/>
            </w:tcBorders>
          </w:tcPr>
          <w:p w14:paraId="05960C2A">
            <w:pPr>
              <w:spacing w:line="440" w:lineRule="exact"/>
              <w:ind w:firstLine="560"/>
              <w:rPr>
                <w:rFonts w:hint="eastAsia" w:ascii="宋体" w:hAnsi="宋体" w:cs="宋体"/>
                <w:sz w:val="24"/>
              </w:rPr>
            </w:pPr>
          </w:p>
        </w:tc>
        <w:tc>
          <w:tcPr>
            <w:tcW w:w="1038" w:type="dxa"/>
            <w:vMerge w:val="continue"/>
            <w:tcBorders>
              <w:top w:val="single" w:color="auto" w:sz="4" w:space="0"/>
              <w:left w:val="single" w:color="auto" w:sz="4" w:space="0"/>
              <w:bottom w:val="single" w:color="auto" w:sz="4" w:space="0"/>
              <w:right w:val="single" w:color="auto" w:sz="4" w:space="0"/>
            </w:tcBorders>
          </w:tcPr>
          <w:p w14:paraId="685D6778">
            <w:pPr>
              <w:spacing w:line="440" w:lineRule="exact"/>
              <w:ind w:firstLine="560"/>
              <w:rPr>
                <w:rFonts w:hint="eastAsia" w:ascii="宋体" w:hAnsi="宋体" w:cs="宋体"/>
                <w:sz w:val="24"/>
              </w:rPr>
            </w:pPr>
          </w:p>
        </w:tc>
        <w:tc>
          <w:tcPr>
            <w:tcW w:w="2833" w:type="dxa"/>
            <w:tcBorders>
              <w:top w:val="single" w:color="auto" w:sz="4" w:space="0"/>
              <w:left w:val="single" w:color="auto" w:sz="4" w:space="0"/>
              <w:bottom w:val="single" w:color="auto" w:sz="4" w:space="0"/>
              <w:right w:val="single" w:color="auto" w:sz="4" w:space="0"/>
            </w:tcBorders>
            <w:vAlign w:val="center"/>
          </w:tcPr>
          <w:p w14:paraId="625759FB">
            <w:pPr>
              <w:spacing w:line="440" w:lineRule="exact"/>
              <w:jc w:val="center"/>
              <w:rPr>
                <w:rFonts w:hint="eastAsia" w:ascii="宋体" w:hAnsi="宋体" w:cs="宋体"/>
                <w:sz w:val="24"/>
              </w:rPr>
            </w:pPr>
            <w:r>
              <w:rPr>
                <w:rFonts w:hint="eastAsia" w:ascii="宋体" w:hAnsi="宋体" w:cs="宋体"/>
                <w:sz w:val="24"/>
              </w:rPr>
              <w:t>权利义务</w:t>
            </w:r>
          </w:p>
        </w:tc>
        <w:tc>
          <w:tcPr>
            <w:tcW w:w="4910" w:type="dxa"/>
            <w:tcBorders>
              <w:top w:val="single" w:color="auto" w:sz="4" w:space="0"/>
              <w:left w:val="single" w:color="auto" w:sz="4" w:space="0"/>
              <w:bottom w:val="single" w:color="auto" w:sz="4" w:space="0"/>
              <w:right w:val="single" w:color="auto" w:sz="4" w:space="0"/>
            </w:tcBorders>
            <w:vAlign w:val="center"/>
          </w:tcPr>
          <w:p w14:paraId="4C23E7E5">
            <w:pPr>
              <w:spacing w:line="440" w:lineRule="exact"/>
              <w:jc w:val="left"/>
              <w:rPr>
                <w:rFonts w:hint="eastAsia" w:ascii="宋体" w:hAnsi="宋体" w:cs="宋体"/>
                <w:sz w:val="24"/>
              </w:rPr>
            </w:pPr>
            <w:r>
              <w:rPr>
                <w:rFonts w:hint="eastAsia" w:ascii="宋体" w:hAnsi="宋体" w:cs="宋体"/>
                <w:sz w:val="24"/>
              </w:rPr>
              <w:t>符合第四章“合同条款及格式”规定</w:t>
            </w:r>
          </w:p>
        </w:tc>
      </w:tr>
      <w:tr w14:paraId="525C0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187" w:type="dxa"/>
            <w:vMerge w:val="continue"/>
            <w:tcBorders>
              <w:top w:val="single" w:color="auto" w:sz="4" w:space="0"/>
              <w:left w:val="single" w:color="auto" w:sz="4" w:space="0"/>
              <w:bottom w:val="single" w:color="auto" w:sz="4" w:space="0"/>
              <w:right w:val="single" w:color="auto" w:sz="4" w:space="0"/>
            </w:tcBorders>
          </w:tcPr>
          <w:p w14:paraId="205C0AEA">
            <w:pPr>
              <w:spacing w:line="440" w:lineRule="exact"/>
              <w:ind w:firstLine="560"/>
              <w:rPr>
                <w:rFonts w:hint="eastAsia" w:ascii="宋体" w:hAnsi="宋体" w:cs="宋体"/>
                <w:sz w:val="24"/>
              </w:rPr>
            </w:pPr>
          </w:p>
        </w:tc>
        <w:tc>
          <w:tcPr>
            <w:tcW w:w="1038" w:type="dxa"/>
            <w:vMerge w:val="continue"/>
            <w:tcBorders>
              <w:top w:val="single" w:color="auto" w:sz="4" w:space="0"/>
              <w:left w:val="single" w:color="auto" w:sz="4" w:space="0"/>
              <w:bottom w:val="single" w:color="auto" w:sz="4" w:space="0"/>
              <w:right w:val="single" w:color="auto" w:sz="4" w:space="0"/>
            </w:tcBorders>
          </w:tcPr>
          <w:p w14:paraId="061B7326">
            <w:pPr>
              <w:spacing w:line="440" w:lineRule="exact"/>
              <w:ind w:firstLine="560"/>
              <w:rPr>
                <w:rFonts w:hint="eastAsia" w:ascii="宋体" w:hAnsi="宋体" w:cs="宋体"/>
                <w:sz w:val="24"/>
              </w:rPr>
            </w:pPr>
          </w:p>
        </w:tc>
        <w:tc>
          <w:tcPr>
            <w:tcW w:w="2833" w:type="dxa"/>
            <w:tcBorders>
              <w:top w:val="single" w:color="auto" w:sz="4" w:space="0"/>
              <w:left w:val="single" w:color="auto" w:sz="4" w:space="0"/>
              <w:bottom w:val="single" w:color="auto" w:sz="4" w:space="0"/>
              <w:right w:val="single" w:color="auto" w:sz="4" w:space="0"/>
            </w:tcBorders>
            <w:vAlign w:val="center"/>
          </w:tcPr>
          <w:p w14:paraId="661D3EDC">
            <w:pPr>
              <w:spacing w:line="440" w:lineRule="exact"/>
              <w:jc w:val="center"/>
              <w:rPr>
                <w:rFonts w:hint="eastAsia" w:ascii="宋体" w:hAnsi="宋体" w:cs="宋体"/>
                <w:sz w:val="24"/>
              </w:rPr>
            </w:pPr>
            <w:r>
              <w:rPr>
                <w:rFonts w:hint="eastAsia" w:ascii="宋体" w:hAnsi="宋体" w:cs="宋体"/>
                <w:sz w:val="24"/>
              </w:rPr>
              <w:t>采购内容及技术要求</w:t>
            </w:r>
          </w:p>
        </w:tc>
        <w:tc>
          <w:tcPr>
            <w:tcW w:w="4910" w:type="dxa"/>
            <w:tcBorders>
              <w:top w:val="single" w:color="auto" w:sz="4" w:space="0"/>
              <w:left w:val="single" w:color="auto" w:sz="4" w:space="0"/>
              <w:bottom w:val="single" w:color="auto" w:sz="4" w:space="0"/>
              <w:right w:val="single" w:color="auto" w:sz="4" w:space="0"/>
            </w:tcBorders>
            <w:vAlign w:val="center"/>
          </w:tcPr>
          <w:p w14:paraId="0B0177C2">
            <w:pPr>
              <w:spacing w:line="440" w:lineRule="exact"/>
              <w:ind w:firstLine="560"/>
              <w:rPr>
                <w:rFonts w:hint="eastAsia" w:ascii="宋体" w:hAnsi="宋体" w:cs="宋体"/>
                <w:sz w:val="24"/>
              </w:rPr>
            </w:pPr>
            <w:r>
              <w:rPr>
                <w:rFonts w:hint="eastAsia" w:ascii="宋体" w:hAnsi="宋体" w:cs="宋体"/>
                <w:sz w:val="24"/>
              </w:rPr>
              <w:t>符合第五章“采购内容及技术要求”规定，若不符合采购内容及技术要求规定，将不再进行评审</w:t>
            </w:r>
          </w:p>
        </w:tc>
      </w:tr>
      <w:tr w14:paraId="1E2E8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187" w:type="dxa"/>
            <w:vMerge w:val="continue"/>
            <w:tcBorders>
              <w:top w:val="single" w:color="auto" w:sz="4" w:space="0"/>
              <w:left w:val="single" w:color="auto" w:sz="4" w:space="0"/>
              <w:bottom w:val="single" w:color="auto" w:sz="4" w:space="0"/>
              <w:right w:val="single" w:color="auto" w:sz="4" w:space="0"/>
            </w:tcBorders>
          </w:tcPr>
          <w:p w14:paraId="309D0B4B">
            <w:pPr>
              <w:spacing w:line="440" w:lineRule="exact"/>
              <w:ind w:firstLine="560"/>
              <w:rPr>
                <w:rFonts w:hint="eastAsia" w:ascii="宋体" w:hAnsi="宋体" w:cs="宋体"/>
                <w:sz w:val="24"/>
              </w:rPr>
            </w:pPr>
          </w:p>
        </w:tc>
        <w:tc>
          <w:tcPr>
            <w:tcW w:w="1038" w:type="dxa"/>
            <w:vMerge w:val="continue"/>
            <w:tcBorders>
              <w:top w:val="single" w:color="auto" w:sz="4" w:space="0"/>
              <w:left w:val="single" w:color="auto" w:sz="4" w:space="0"/>
              <w:bottom w:val="single" w:color="auto" w:sz="4" w:space="0"/>
              <w:right w:val="single" w:color="auto" w:sz="4" w:space="0"/>
            </w:tcBorders>
          </w:tcPr>
          <w:p w14:paraId="13C710FE">
            <w:pPr>
              <w:spacing w:line="440" w:lineRule="exact"/>
              <w:ind w:firstLine="560"/>
              <w:rPr>
                <w:rFonts w:hint="eastAsia" w:ascii="宋体" w:hAnsi="宋体" w:cs="宋体"/>
                <w:sz w:val="24"/>
              </w:rPr>
            </w:pPr>
          </w:p>
        </w:tc>
        <w:tc>
          <w:tcPr>
            <w:tcW w:w="2833" w:type="dxa"/>
            <w:tcBorders>
              <w:top w:val="single" w:color="auto" w:sz="4" w:space="0"/>
              <w:left w:val="single" w:color="auto" w:sz="4" w:space="0"/>
              <w:bottom w:val="single" w:color="auto" w:sz="4" w:space="0"/>
              <w:right w:val="single" w:color="auto" w:sz="4" w:space="0"/>
            </w:tcBorders>
            <w:vAlign w:val="center"/>
          </w:tcPr>
          <w:p w14:paraId="56E3A475">
            <w:pPr>
              <w:spacing w:line="440" w:lineRule="exact"/>
              <w:jc w:val="center"/>
              <w:rPr>
                <w:rFonts w:hint="eastAsia" w:ascii="宋体" w:hAnsi="宋体" w:cs="宋体"/>
                <w:sz w:val="24"/>
              </w:rPr>
            </w:pPr>
            <w:r>
              <w:rPr>
                <w:rFonts w:hint="eastAsia" w:ascii="宋体" w:hAnsi="宋体" w:cs="宋体"/>
                <w:sz w:val="24"/>
              </w:rPr>
              <w:t>投标文件的其他响应</w:t>
            </w:r>
          </w:p>
        </w:tc>
        <w:tc>
          <w:tcPr>
            <w:tcW w:w="4910" w:type="dxa"/>
            <w:tcBorders>
              <w:top w:val="single" w:color="auto" w:sz="4" w:space="0"/>
              <w:left w:val="single" w:color="auto" w:sz="4" w:space="0"/>
              <w:bottom w:val="single" w:color="auto" w:sz="4" w:space="0"/>
              <w:right w:val="single" w:color="auto" w:sz="4" w:space="0"/>
            </w:tcBorders>
            <w:vAlign w:val="center"/>
          </w:tcPr>
          <w:p w14:paraId="76290194">
            <w:pPr>
              <w:spacing w:line="440" w:lineRule="exact"/>
              <w:rPr>
                <w:rFonts w:hint="eastAsia" w:ascii="宋体" w:hAnsi="宋体" w:cs="宋体"/>
                <w:sz w:val="24"/>
              </w:rPr>
            </w:pPr>
            <w:r>
              <w:rPr>
                <w:rFonts w:hint="eastAsia" w:ascii="宋体" w:hAnsi="宋体" w:cs="宋体"/>
                <w:sz w:val="24"/>
              </w:rPr>
              <w:t>符合法律、法规和招标文件中规定的其他实质性要求的</w:t>
            </w:r>
          </w:p>
        </w:tc>
      </w:tr>
    </w:tbl>
    <w:tbl>
      <w:tblPr>
        <w:tblStyle w:val="30"/>
        <w:tblpPr w:leftFromText="180" w:rightFromText="180" w:vertAnchor="text" w:horzAnchor="page" w:tblpX="840" w:tblpY="489"/>
        <w:tblOverlap w:val="never"/>
        <w:tblW w:w="10259" w:type="dxa"/>
        <w:tblInd w:w="0" w:type="dxa"/>
        <w:tblLayout w:type="autofit"/>
        <w:tblCellMar>
          <w:top w:w="0" w:type="dxa"/>
          <w:left w:w="108" w:type="dxa"/>
          <w:bottom w:w="0" w:type="dxa"/>
          <w:right w:w="108" w:type="dxa"/>
        </w:tblCellMar>
      </w:tblPr>
      <w:tblGrid>
        <w:gridCol w:w="774"/>
        <w:gridCol w:w="1250"/>
        <w:gridCol w:w="1729"/>
        <w:gridCol w:w="6506"/>
      </w:tblGrid>
      <w:tr w14:paraId="1E32D148">
        <w:tblPrEx>
          <w:tblCellMar>
            <w:top w:w="0" w:type="dxa"/>
            <w:left w:w="108" w:type="dxa"/>
            <w:bottom w:w="0" w:type="dxa"/>
            <w:right w:w="108" w:type="dxa"/>
          </w:tblCellMar>
        </w:tblPrEx>
        <w:trPr>
          <w:trHeight w:val="543"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B9A98">
            <w:pPr>
              <w:widowControl/>
              <w:spacing w:line="400" w:lineRule="exact"/>
              <w:jc w:val="center"/>
              <w:textAlignment w:val="center"/>
              <w:rPr>
                <w:rFonts w:hint="eastAsia" w:ascii="宋体" w:hAnsi="宋体" w:cs="宋体"/>
                <w:color w:val="000000"/>
                <w:sz w:val="24"/>
              </w:rPr>
            </w:pPr>
            <w:bookmarkStart w:id="250" w:name="_Toc7325"/>
            <w:bookmarkStart w:id="251" w:name="_Toc25544"/>
            <w:r>
              <w:rPr>
                <w:rFonts w:hint="eastAsia" w:ascii="宋体" w:hAnsi="宋体" w:cs="宋体"/>
                <w:color w:val="000000"/>
                <w:kern w:val="0"/>
                <w:sz w:val="24"/>
                <w:lang w:bidi="ar"/>
              </w:rPr>
              <w:t>序号</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CF5B11">
            <w:pPr>
              <w:widowControl/>
              <w:spacing w:line="400" w:lineRule="exact"/>
              <w:jc w:val="center"/>
              <w:textAlignment w:val="center"/>
              <w:rPr>
                <w:rFonts w:hint="eastAsia" w:ascii="宋体" w:hAnsi="宋体" w:cs="宋体"/>
                <w:color w:val="000000"/>
                <w:sz w:val="24"/>
              </w:rPr>
            </w:pPr>
            <w:r>
              <w:rPr>
                <w:rFonts w:hint="eastAsia" w:ascii="宋体" w:hAnsi="宋体" w:cs="宋体"/>
                <w:kern w:val="0"/>
                <w:sz w:val="24"/>
                <w:lang w:bidi="ar"/>
              </w:rPr>
              <w:t>评审</w:t>
            </w:r>
            <w:r>
              <w:rPr>
                <w:rFonts w:hint="eastAsia" w:ascii="宋体" w:hAnsi="宋体" w:cs="宋体"/>
                <w:color w:val="000000"/>
                <w:kern w:val="0"/>
                <w:sz w:val="24"/>
                <w:lang w:bidi="ar"/>
              </w:rPr>
              <w:t>因素</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291D">
            <w:pPr>
              <w:widowControl/>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评审标准</w:t>
            </w:r>
          </w:p>
        </w:tc>
      </w:tr>
      <w:tr w14:paraId="65F3E602">
        <w:tblPrEx>
          <w:tblCellMar>
            <w:top w:w="0" w:type="dxa"/>
            <w:left w:w="108" w:type="dxa"/>
            <w:bottom w:w="0" w:type="dxa"/>
            <w:right w:w="108" w:type="dxa"/>
          </w:tblCellMar>
        </w:tblPrEx>
        <w:trPr>
          <w:trHeight w:val="9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7DB89">
            <w:pPr>
              <w:widowControl/>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DAE7A5">
            <w:pPr>
              <w:widowControl/>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报价得分（30分）</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ECE9">
            <w:pPr>
              <w:widowControl/>
              <w:spacing w:line="400" w:lineRule="exact"/>
              <w:jc w:val="left"/>
              <w:textAlignment w:val="center"/>
              <w:rPr>
                <w:rFonts w:hint="eastAsia" w:ascii="宋体" w:hAnsi="宋体" w:cs="宋体"/>
                <w:color w:val="000000"/>
                <w:sz w:val="24"/>
              </w:rPr>
            </w:pPr>
            <w:r>
              <w:rPr>
                <w:rFonts w:hint="eastAsia" w:ascii="宋体" w:hAnsi="宋体" w:cs="宋体"/>
                <w:color w:val="000000"/>
                <w:kern w:val="0"/>
                <w:sz w:val="24"/>
                <w:lang w:bidi="ar"/>
              </w:rPr>
              <w:t>1、满足招标文件要求且投标报价最低的投标报价为评标基准价，其价格分为满分。其他投标供应商的价格分统一按照下列公式计算：投标报价得分=（评标基准价/投标报价）*30（精确到两位小数位，两位小数位后的实行四舍五入）</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评标委员会认为供应商的报价明显低于其他通过符合性审查供应商的报价，有可能影响产品质量或不能诚信履约的，将要求其在评标现场合理的时间内提供书面说明，必要时提交相关证明材料，供应商不能证明其报价合理性的，其投标将被作为无效投标处理。</w:t>
            </w:r>
          </w:p>
        </w:tc>
      </w:tr>
      <w:tr w14:paraId="70B80C69">
        <w:tblPrEx>
          <w:tblCellMar>
            <w:top w:w="0" w:type="dxa"/>
            <w:left w:w="108" w:type="dxa"/>
            <w:bottom w:w="0" w:type="dxa"/>
            <w:right w:w="108" w:type="dxa"/>
          </w:tblCellMar>
        </w:tblPrEx>
        <w:trPr>
          <w:trHeight w:val="958" w:hRule="atLeast"/>
        </w:trPr>
        <w:tc>
          <w:tcPr>
            <w:tcW w:w="774" w:type="dxa"/>
            <w:vMerge w:val="restart"/>
            <w:tcBorders>
              <w:top w:val="single" w:color="000000" w:sz="4" w:space="0"/>
              <w:left w:val="single" w:color="000000" w:sz="4" w:space="0"/>
              <w:right w:val="single" w:color="000000" w:sz="4" w:space="0"/>
            </w:tcBorders>
            <w:shd w:val="clear" w:color="auto" w:fill="auto"/>
            <w:vAlign w:val="center"/>
          </w:tcPr>
          <w:p w14:paraId="5F62C89F">
            <w:pPr>
              <w:widowControl/>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c>
          <w:tcPr>
            <w:tcW w:w="1250" w:type="dxa"/>
            <w:vMerge w:val="restart"/>
            <w:tcBorders>
              <w:top w:val="single" w:color="000000" w:sz="4" w:space="0"/>
              <w:left w:val="single" w:color="000000" w:sz="4" w:space="0"/>
              <w:bottom w:val="nil"/>
              <w:right w:val="single" w:color="000000" w:sz="4" w:space="0"/>
            </w:tcBorders>
            <w:shd w:val="clear" w:color="auto" w:fill="auto"/>
            <w:vAlign w:val="center"/>
          </w:tcPr>
          <w:p w14:paraId="2071DA81">
            <w:pPr>
              <w:widowControl/>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技术部分（50分）</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3E6EA">
            <w:pPr>
              <w:widowControl/>
              <w:spacing w:line="400" w:lineRule="exact"/>
              <w:jc w:val="center"/>
              <w:textAlignment w:val="center"/>
              <w:rPr>
                <w:rFonts w:hint="eastAsia" w:ascii="宋体" w:hAnsi="宋体" w:cs="宋体"/>
                <w:color w:val="FF0000"/>
                <w:sz w:val="24"/>
              </w:rPr>
            </w:pPr>
            <w:r>
              <w:rPr>
                <w:rFonts w:hint="eastAsia" w:ascii="宋体" w:hAnsi="宋体" w:cs="宋体"/>
                <w:kern w:val="0"/>
                <w:sz w:val="24"/>
                <w:lang w:bidi="ar"/>
              </w:rPr>
              <w:t>技术参数响应情况(30分)</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8B3C8">
            <w:pPr>
              <w:widowControl/>
              <w:spacing w:line="400" w:lineRule="exact"/>
              <w:jc w:val="left"/>
              <w:textAlignment w:val="center"/>
              <w:rPr>
                <w:rFonts w:hint="eastAsia" w:ascii="宋体" w:hAnsi="宋体" w:cs="宋体"/>
                <w:color w:val="FF0000"/>
                <w:sz w:val="24"/>
              </w:rPr>
            </w:pPr>
            <w:r>
              <w:rPr>
                <w:rFonts w:hint="eastAsia" w:ascii="宋体" w:hAnsi="宋体" w:cs="宋体"/>
                <w:color w:val="000000"/>
                <w:sz w:val="24"/>
              </w:rPr>
              <w:t>投标产品参数必须完全满足招标文件参数（负偏差者按无效标处理），完全满足的得30分。</w:t>
            </w:r>
          </w:p>
        </w:tc>
      </w:tr>
      <w:tr w14:paraId="61B2F125">
        <w:tblPrEx>
          <w:tblCellMar>
            <w:top w:w="0" w:type="dxa"/>
            <w:left w:w="108" w:type="dxa"/>
            <w:bottom w:w="0" w:type="dxa"/>
            <w:right w:w="108" w:type="dxa"/>
          </w:tblCellMar>
        </w:tblPrEx>
        <w:trPr>
          <w:trHeight w:val="1334" w:hRule="atLeast"/>
        </w:trPr>
        <w:tc>
          <w:tcPr>
            <w:tcW w:w="774" w:type="dxa"/>
            <w:vMerge w:val="continue"/>
            <w:tcBorders>
              <w:left w:val="single" w:color="000000" w:sz="4" w:space="0"/>
              <w:right w:val="single" w:color="000000" w:sz="4" w:space="0"/>
            </w:tcBorders>
            <w:shd w:val="clear" w:color="auto" w:fill="auto"/>
            <w:vAlign w:val="center"/>
          </w:tcPr>
          <w:p w14:paraId="6499EC26">
            <w:pPr>
              <w:widowControl/>
              <w:spacing w:line="400" w:lineRule="exact"/>
              <w:jc w:val="center"/>
              <w:textAlignment w:val="center"/>
              <w:rPr>
                <w:rFonts w:hint="eastAsia" w:ascii="宋体" w:hAnsi="宋体" w:cs="宋体"/>
                <w:color w:val="000000"/>
                <w:sz w:val="24"/>
              </w:rPr>
            </w:pPr>
          </w:p>
        </w:tc>
        <w:tc>
          <w:tcPr>
            <w:tcW w:w="1250" w:type="dxa"/>
            <w:vMerge w:val="continue"/>
            <w:tcBorders>
              <w:top w:val="single" w:color="000000" w:sz="4" w:space="0"/>
              <w:left w:val="single" w:color="000000" w:sz="4" w:space="0"/>
              <w:bottom w:val="nil"/>
              <w:right w:val="single" w:color="000000" w:sz="4" w:space="0"/>
            </w:tcBorders>
            <w:shd w:val="clear" w:color="auto" w:fill="auto"/>
            <w:vAlign w:val="center"/>
          </w:tcPr>
          <w:p w14:paraId="49478EF2">
            <w:pPr>
              <w:widowControl/>
              <w:spacing w:line="400" w:lineRule="exact"/>
              <w:jc w:val="center"/>
              <w:rPr>
                <w:rFonts w:hint="eastAsia" w:ascii="宋体" w:hAnsi="宋体" w:cs="宋体"/>
                <w:color w:val="000000"/>
                <w:sz w:val="24"/>
              </w:rPr>
            </w:pPr>
          </w:p>
        </w:tc>
        <w:tc>
          <w:tcPr>
            <w:tcW w:w="1729" w:type="dxa"/>
            <w:vMerge w:val="restart"/>
            <w:tcBorders>
              <w:top w:val="single" w:color="000000" w:sz="4" w:space="0"/>
              <w:left w:val="single" w:color="000000" w:sz="4" w:space="0"/>
              <w:right w:val="single" w:color="000000" w:sz="4" w:space="0"/>
            </w:tcBorders>
            <w:shd w:val="clear" w:color="auto" w:fill="auto"/>
            <w:vAlign w:val="center"/>
          </w:tcPr>
          <w:p w14:paraId="7410F568">
            <w:pPr>
              <w:widowControl/>
              <w:spacing w:line="400" w:lineRule="exact"/>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产品技术要求（6分）</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7229">
            <w:pPr>
              <w:widowControl/>
              <w:spacing w:line="400" w:lineRule="exact"/>
              <w:jc w:val="left"/>
              <w:textAlignment w:val="center"/>
              <w:rPr>
                <w:rFonts w:hint="eastAsia" w:ascii="宋体" w:hAnsi="宋体" w:cs="宋体"/>
                <w:kern w:val="0"/>
                <w:sz w:val="24"/>
                <w:lang w:bidi="ar"/>
              </w:rPr>
            </w:pPr>
            <w:r>
              <w:rPr>
                <w:rFonts w:hint="eastAsia" w:ascii="宋体" w:hAnsi="宋体" w:cs="宋体"/>
                <w:bCs/>
                <w:sz w:val="24"/>
              </w:rPr>
              <w:t>质控水平：静音舒适性：考虑工作环境的静音舒适，要求设备的噪声声功率级≤2.7Bel，噪声声压级≤16dB，提供证书证明文件得2分；不提供不得分。</w:t>
            </w:r>
          </w:p>
        </w:tc>
      </w:tr>
      <w:tr w14:paraId="40797F86">
        <w:tblPrEx>
          <w:tblCellMar>
            <w:top w:w="0" w:type="dxa"/>
            <w:left w:w="108" w:type="dxa"/>
            <w:bottom w:w="0" w:type="dxa"/>
            <w:right w:w="108" w:type="dxa"/>
          </w:tblCellMar>
        </w:tblPrEx>
        <w:trPr>
          <w:trHeight w:val="1334" w:hRule="atLeast"/>
        </w:trPr>
        <w:tc>
          <w:tcPr>
            <w:tcW w:w="774" w:type="dxa"/>
            <w:vMerge w:val="continue"/>
            <w:tcBorders>
              <w:left w:val="single" w:color="000000" w:sz="4" w:space="0"/>
              <w:right w:val="single" w:color="000000" w:sz="4" w:space="0"/>
            </w:tcBorders>
            <w:shd w:val="clear" w:color="auto" w:fill="auto"/>
            <w:vAlign w:val="center"/>
          </w:tcPr>
          <w:p w14:paraId="51952DE7">
            <w:pPr>
              <w:widowControl/>
              <w:spacing w:line="400" w:lineRule="exact"/>
              <w:jc w:val="left"/>
              <w:textAlignment w:val="center"/>
            </w:pPr>
          </w:p>
        </w:tc>
        <w:tc>
          <w:tcPr>
            <w:tcW w:w="1250" w:type="dxa"/>
            <w:vMerge w:val="continue"/>
            <w:tcBorders>
              <w:top w:val="single" w:color="000000" w:sz="4" w:space="0"/>
              <w:left w:val="single" w:color="000000" w:sz="4" w:space="0"/>
              <w:bottom w:val="nil"/>
              <w:right w:val="single" w:color="000000" w:sz="4" w:space="0"/>
            </w:tcBorders>
            <w:shd w:val="clear" w:color="auto" w:fill="auto"/>
            <w:vAlign w:val="center"/>
          </w:tcPr>
          <w:p w14:paraId="65A4B23B">
            <w:pPr>
              <w:widowControl/>
              <w:spacing w:line="400" w:lineRule="exact"/>
              <w:jc w:val="left"/>
              <w:textAlignment w:val="center"/>
            </w:pPr>
          </w:p>
        </w:tc>
        <w:tc>
          <w:tcPr>
            <w:tcW w:w="1729" w:type="dxa"/>
            <w:vMerge w:val="continue"/>
            <w:tcBorders>
              <w:left w:val="single" w:color="000000" w:sz="4" w:space="0"/>
              <w:right w:val="single" w:color="000000" w:sz="4" w:space="0"/>
            </w:tcBorders>
            <w:shd w:val="clear" w:color="auto" w:fill="auto"/>
            <w:vAlign w:val="center"/>
          </w:tcPr>
          <w:p w14:paraId="6520C6EF">
            <w:pPr>
              <w:widowControl/>
              <w:spacing w:line="400" w:lineRule="exact"/>
              <w:jc w:val="left"/>
              <w:textAlignment w:val="center"/>
            </w:pP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343B">
            <w:pPr>
              <w:widowControl/>
              <w:spacing w:line="400" w:lineRule="exact"/>
              <w:jc w:val="left"/>
              <w:textAlignment w:val="center"/>
              <w:rPr>
                <w:rFonts w:hint="eastAsia" w:ascii="宋体" w:hAnsi="宋体" w:cs="宋体"/>
                <w:kern w:val="0"/>
                <w:sz w:val="24"/>
                <w:lang w:bidi="ar"/>
              </w:rPr>
            </w:pPr>
            <w:r>
              <w:rPr>
                <w:rFonts w:hint="eastAsia" w:ascii="宋体" w:hAnsi="宋体" w:cs="宋体"/>
                <w:bCs/>
                <w:sz w:val="24"/>
              </w:rPr>
              <w:t>环境适应性：考虑使用环境差异，要求设备通过温度0~40℃/低气压61.6kPa（4000m）的环境适应性认证，提供证书证明文件得2分；不提供不得分。</w:t>
            </w:r>
          </w:p>
        </w:tc>
      </w:tr>
      <w:tr w14:paraId="0FB0AC73">
        <w:tblPrEx>
          <w:tblCellMar>
            <w:top w:w="0" w:type="dxa"/>
            <w:left w:w="108" w:type="dxa"/>
            <w:bottom w:w="0" w:type="dxa"/>
            <w:right w:w="108" w:type="dxa"/>
          </w:tblCellMar>
        </w:tblPrEx>
        <w:trPr>
          <w:trHeight w:val="1334" w:hRule="atLeast"/>
        </w:trPr>
        <w:tc>
          <w:tcPr>
            <w:tcW w:w="774" w:type="dxa"/>
            <w:vMerge w:val="continue"/>
            <w:tcBorders>
              <w:left w:val="single" w:color="000000" w:sz="4" w:space="0"/>
              <w:right w:val="single" w:color="000000" w:sz="4" w:space="0"/>
            </w:tcBorders>
            <w:shd w:val="clear" w:color="auto" w:fill="auto"/>
            <w:vAlign w:val="center"/>
          </w:tcPr>
          <w:p w14:paraId="2EAB27C5">
            <w:pPr>
              <w:widowControl/>
              <w:spacing w:line="400" w:lineRule="exact"/>
              <w:jc w:val="left"/>
              <w:textAlignment w:val="center"/>
              <w:rPr>
                <w:rFonts w:hint="eastAsia" w:ascii="宋体" w:hAnsi="宋体" w:cs="宋体"/>
                <w:color w:val="000000"/>
                <w:kern w:val="0"/>
                <w:sz w:val="24"/>
                <w:lang w:bidi="ar"/>
              </w:rPr>
            </w:pPr>
          </w:p>
        </w:tc>
        <w:tc>
          <w:tcPr>
            <w:tcW w:w="1250" w:type="dxa"/>
            <w:vMerge w:val="continue"/>
            <w:tcBorders>
              <w:left w:val="single" w:color="000000" w:sz="4" w:space="0"/>
              <w:bottom w:val="nil"/>
              <w:right w:val="single" w:color="000000" w:sz="4" w:space="0"/>
            </w:tcBorders>
            <w:shd w:val="clear" w:color="auto" w:fill="auto"/>
            <w:vAlign w:val="center"/>
          </w:tcPr>
          <w:p w14:paraId="20E23B20">
            <w:pPr>
              <w:widowControl/>
              <w:spacing w:line="400" w:lineRule="exact"/>
              <w:jc w:val="left"/>
              <w:textAlignment w:val="center"/>
              <w:rPr>
                <w:rFonts w:hint="eastAsia" w:ascii="宋体" w:hAnsi="宋体" w:cs="宋体"/>
                <w:color w:val="000000"/>
                <w:kern w:val="0"/>
                <w:sz w:val="24"/>
                <w:lang w:bidi="ar"/>
              </w:rPr>
            </w:pPr>
          </w:p>
        </w:tc>
        <w:tc>
          <w:tcPr>
            <w:tcW w:w="1729" w:type="dxa"/>
            <w:vMerge w:val="continue"/>
            <w:tcBorders>
              <w:left w:val="single" w:color="000000" w:sz="4" w:space="0"/>
              <w:bottom w:val="single" w:color="000000" w:sz="4" w:space="0"/>
              <w:right w:val="single" w:color="000000" w:sz="4" w:space="0"/>
            </w:tcBorders>
            <w:shd w:val="clear" w:color="auto" w:fill="auto"/>
            <w:vAlign w:val="center"/>
          </w:tcPr>
          <w:p w14:paraId="045E399E">
            <w:pPr>
              <w:widowControl/>
              <w:spacing w:line="400" w:lineRule="exact"/>
              <w:jc w:val="left"/>
              <w:textAlignment w:val="center"/>
              <w:rPr>
                <w:rFonts w:hint="eastAsia" w:ascii="宋体" w:hAnsi="宋体" w:cs="宋体"/>
                <w:color w:val="000000"/>
                <w:kern w:val="0"/>
                <w:sz w:val="24"/>
                <w:lang w:bidi="ar"/>
              </w:rPr>
            </w:pP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E2DD">
            <w:pPr>
              <w:widowControl/>
              <w:spacing w:line="400" w:lineRule="exact"/>
              <w:jc w:val="left"/>
              <w:textAlignment w:val="center"/>
              <w:rPr>
                <w:rFonts w:hint="eastAsia" w:ascii="宋体" w:hAnsi="宋体" w:cs="宋体"/>
                <w:kern w:val="0"/>
                <w:sz w:val="24"/>
                <w:lang w:bidi="ar"/>
              </w:rPr>
            </w:pPr>
            <w:r>
              <w:rPr>
                <w:rFonts w:hint="eastAsia" w:ascii="宋体" w:hAnsi="宋体" w:cs="宋体"/>
                <w:bCs/>
                <w:sz w:val="24"/>
              </w:rPr>
              <w:t>电磁兼容性：考虑设备工作稳定：要求设备通过浪涌（冲击）抗扰度的适应性认证，提供证书证明文件；MTBF≥1000000小时，并提供证书扫描件加盖厂家公章；满足得2分，不提供不得分。</w:t>
            </w:r>
          </w:p>
        </w:tc>
      </w:tr>
      <w:tr w14:paraId="3177CAB8">
        <w:tblPrEx>
          <w:tblCellMar>
            <w:top w:w="0" w:type="dxa"/>
            <w:left w:w="108" w:type="dxa"/>
            <w:bottom w:w="0" w:type="dxa"/>
            <w:right w:w="108" w:type="dxa"/>
          </w:tblCellMar>
        </w:tblPrEx>
        <w:trPr>
          <w:trHeight w:val="3994" w:hRule="atLeast"/>
        </w:trPr>
        <w:tc>
          <w:tcPr>
            <w:tcW w:w="774" w:type="dxa"/>
            <w:vMerge w:val="continue"/>
            <w:tcBorders>
              <w:left w:val="single" w:color="000000" w:sz="4" w:space="0"/>
              <w:right w:val="single" w:color="000000" w:sz="4" w:space="0"/>
            </w:tcBorders>
            <w:shd w:val="clear" w:color="auto" w:fill="auto"/>
            <w:vAlign w:val="center"/>
          </w:tcPr>
          <w:p w14:paraId="30649BC8">
            <w:pPr>
              <w:widowControl/>
              <w:spacing w:line="400" w:lineRule="exact"/>
              <w:jc w:val="center"/>
              <w:textAlignment w:val="center"/>
              <w:rPr>
                <w:rFonts w:hint="eastAsia" w:ascii="宋体" w:hAnsi="宋体" w:cs="宋体"/>
                <w:color w:val="000000"/>
                <w:sz w:val="24"/>
              </w:rPr>
            </w:pPr>
          </w:p>
        </w:tc>
        <w:tc>
          <w:tcPr>
            <w:tcW w:w="1250" w:type="dxa"/>
            <w:vMerge w:val="continue"/>
            <w:tcBorders>
              <w:top w:val="single" w:color="000000" w:sz="4" w:space="0"/>
              <w:left w:val="single" w:color="000000" w:sz="4" w:space="0"/>
              <w:bottom w:val="nil"/>
              <w:right w:val="single" w:color="000000" w:sz="4" w:space="0"/>
            </w:tcBorders>
            <w:shd w:val="clear" w:color="auto" w:fill="auto"/>
            <w:vAlign w:val="center"/>
          </w:tcPr>
          <w:p w14:paraId="6A7A0E25">
            <w:pPr>
              <w:widowControl/>
              <w:spacing w:line="400" w:lineRule="exact"/>
              <w:jc w:val="center"/>
              <w:rPr>
                <w:rFonts w:hint="eastAsia" w:ascii="宋体" w:hAnsi="宋体" w:cs="宋体"/>
                <w:color w:val="000000"/>
                <w:sz w:val="24"/>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CF64">
            <w:pPr>
              <w:widowControl/>
              <w:spacing w:line="400" w:lineRule="exact"/>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供货方案 </w:t>
            </w:r>
          </w:p>
          <w:p w14:paraId="5CA2C7F5">
            <w:pPr>
              <w:widowControl/>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（4分）</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0B26">
            <w:pPr>
              <w:widowControl/>
              <w:spacing w:line="400" w:lineRule="exact"/>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供货方案及措施：</w:t>
            </w:r>
          </w:p>
          <w:p w14:paraId="2EF68757">
            <w:pPr>
              <w:widowControl/>
              <w:spacing w:line="400" w:lineRule="exact"/>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（1）供货时间计划安排科学合理，措施切实可行，方案对项目实施的准备工作、材料和质量保障措施等内容做出详细、合理的阐述的得4分；</w:t>
            </w:r>
          </w:p>
          <w:p w14:paraId="3632BB47">
            <w:pPr>
              <w:widowControl/>
              <w:spacing w:line="400" w:lineRule="exact"/>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（2）供货时间计划较好，方案对项目实施的准备工作、材料和质量保障措施等内容描述较好，保证措施较好，针对性较好，执行性较好，需进一步完善得2分；</w:t>
            </w:r>
          </w:p>
          <w:p w14:paraId="432835F9">
            <w:pPr>
              <w:widowControl/>
              <w:spacing w:line="400" w:lineRule="exact"/>
              <w:jc w:val="left"/>
              <w:textAlignment w:val="center"/>
              <w:rPr>
                <w:rFonts w:hint="eastAsia" w:ascii="宋体" w:hAnsi="宋体" w:cs="宋体"/>
                <w:color w:val="000000"/>
                <w:sz w:val="24"/>
              </w:rPr>
            </w:pPr>
            <w:r>
              <w:rPr>
                <w:rFonts w:hint="eastAsia" w:ascii="宋体" w:hAnsi="宋体" w:cs="宋体"/>
                <w:color w:val="000000"/>
                <w:kern w:val="0"/>
                <w:sz w:val="24"/>
                <w:lang w:bidi="ar"/>
              </w:rPr>
              <w:t>（3）供货时间计划较差，方案对项目实施的准备工作、材料和质量保障措施等内容描述较差，保证措施较差得1分；此项未提供不得分。</w:t>
            </w:r>
          </w:p>
        </w:tc>
      </w:tr>
      <w:tr w14:paraId="3A860640">
        <w:tblPrEx>
          <w:tblCellMar>
            <w:top w:w="0" w:type="dxa"/>
            <w:left w:w="108" w:type="dxa"/>
            <w:bottom w:w="0" w:type="dxa"/>
            <w:right w:w="108" w:type="dxa"/>
          </w:tblCellMar>
        </w:tblPrEx>
        <w:trPr>
          <w:trHeight w:val="90" w:hRule="atLeast"/>
        </w:trPr>
        <w:tc>
          <w:tcPr>
            <w:tcW w:w="774" w:type="dxa"/>
            <w:vMerge w:val="continue"/>
            <w:tcBorders>
              <w:left w:val="single" w:color="000000" w:sz="4" w:space="0"/>
              <w:right w:val="single" w:color="000000" w:sz="4" w:space="0"/>
            </w:tcBorders>
            <w:shd w:val="clear" w:color="auto" w:fill="auto"/>
            <w:vAlign w:val="center"/>
          </w:tcPr>
          <w:p w14:paraId="0CA2148B">
            <w:pPr>
              <w:widowControl/>
              <w:spacing w:line="400" w:lineRule="exact"/>
              <w:jc w:val="center"/>
              <w:textAlignment w:val="center"/>
              <w:rPr>
                <w:rFonts w:hint="eastAsia" w:ascii="宋体" w:hAnsi="宋体" w:cs="宋体"/>
                <w:color w:val="000000"/>
                <w:sz w:val="24"/>
              </w:rPr>
            </w:pPr>
          </w:p>
        </w:tc>
        <w:tc>
          <w:tcPr>
            <w:tcW w:w="1250" w:type="dxa"/>
            <w:vMerge w:val="continue"/>
            <w:tcBorders>
              <w:top w:val="single" w:color="000000" w:sz="4" w:space="0"/>
              <w:left w:val="single" w:color="000000" w:sz="4" w:space="0"/>
              <w:bottom w:val="nil"/>
              <w:right w:val="single" w:color="000000" w:sz="4" w:space="0"/>
            </w:tcBorders>
            <w:shd w:val="clear" w:color="auto" w:fill="auto"/>
            <w:vAlign w:val="center"/>
          </w:tcPr>
          <w:p w14:paraId="62EC29D8">
            <w:pPr>
              <w:widowControl/>
              <w:spacing w:line="400" w:lineRule="exact"/>
              <w:jc w:val="center"/>
              <w:rPr>
                <w:rFonts w:hint="eastAsia" w:ascii="宋体" w:hAnsi="宋体" w:cs="宋体"/>
                <w:color w:val="000000"/>
                <w:sz w:val="24"/>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4EAA">
            <w:pPr>
              <w:widowControl/>
              <w:spacing w:line="400" w:lineRule="exact"/>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安装调试方</w:t>
            </w:r>
          </w:p>
          <w:p w14:paraId="5B9FC960">
            <w:pPr>
              <w:widowControl/>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案（5分）</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8C789">
            <w:pPr>
              <w:pStyle w:val="68"/>
              <w:spacing w:line="400" w:lineRule="exact"/>
              <w:ind w:firstLine="0"/>
              <w:rPr>
                <w:rStyle w:val="69"/>
                <w:rFonts w:hint="default"/>
                <w:sz w:val="24"/>
                <w:szCs w:val="24"/>
                <w:lang w:bidi="ar"/>
              </w:rPr>
            </w:pPr>
            <w:r>
              <w:rPr>
                <w:rStyle w:val="69"/>
                <w:rFonts w:hint="default"/>
                <w:sz w:val="24"/>
                <w:szCs w:val="24"/>
                <w:lang w:bidi="ar"/>
              </w:rPr>
              <w:t>安装调试方案：</w:t>
            </w:r>
          </w:p>
          <w:p w14:paraId="7311B2BD">
            <w:pPr>
              <w:pStyle w:val="68"/>
              <w:spacing w:line="400" w:lineRule="exact"/>
              <w:ind w:firstLine="0"/>
              <w:rPr>
                <w:rStyle w:val="69"/>
                <w:rFonts w:hint="default"/>
                <w:sz w:val="24"/>
                <w:szCs w:val="24"/>
                <w:lang w:bidi="ar"/>
              </w:rPr>
            </w:pPr>
            <w:r>
              <w:rPr>
                <w:rStyle w:val="69"/>
                <w:rFonts w:hint="default"/>
                <w:sz w:val="24"/>
                <w:szCs w:val="24"/>
                <w:lang w:bidi="ar"/>
              </w:rPr>
              <w:t>根据采购人实际需求，针对项目实际情况，供应商对所供货品安装调试制定详细计划方案和措施，根据供应商提供的方案进行打分：</w:t>
            </w:r>
          </w:p>
          <w:p w14:paraId="0EFF1E17">
            <w:pPr>
              <w:pStyle w:val="68"/>
              <w:spacing w:line="400" w:lineRule="exact"/>
              <w:ind w:firstLine="0"/>
              <w:rPr>
                <w:rFonts w:hint="eastAsia" w:hAnsi="宋体" w:cs="宋体"/>
                <w:color w:val="000000"/>
                <w:sz w:val="24"/>
              </w:rPr>
            </w:pPr>
            <w:r>
              <w:rPr>
                <w:rStyle w:val="69"/>
                <w:rFonts w:hint="default"/>
                <w:sz w:val="24"/>
                <w:szCs w:val="24"/>
                <w:lang w:bidi="ar"/>
              </w:rPr>
              <w:t>方案全面、详尽、合理、措施有保障，技术质量有保障、完全满足项目需求的得5分；方案较好基本满足招标要求的，得3分；方案较差的得1分；缺项得0分。</w:t>
            </w:r>
          </w:p>
        </w:tc>
      </w:tr>
      <w:tr w14:paraId="7D74EC6D">
        <w:tblPrEx>
          <w:tblCellMar>
            <w:top w:w="0" w:type="dxa"/>
            <w:left w:w="108" w:type="dxa"/>
            <w:bottom w:w="0" w:type="dxa"/>
            <w:right w:w="108" w:type="dxa"/>
          </w:tblCellMar>
        </w:tblPrEx>
        <w:trPr>
          <w:trHeight w:val="1822" w:hRule="atLeast"/>
        </w:trPr>
        <w:tc>
          <w:tcPr>
            <w:tcW w:w="774" w:type="dxa"/>
            <w:vMerge w:val="continue"/>
            <w:tcBorders>
              <w:left w:val="single" w:color="000000" w:sz="4" w:space="0"/>
              <w:bottom w:val="single" w:color="000000" w:sz="4" w:space="0"/>
              <w:right w:val="single" w:color="000000" w:sz="4" w:space="0"/>
            </w:tcBorders>
            <w:shd w:val="clear" w:color="auto" w:fill="auto"/>
            <w:vAlign w:val="center"/>
          </w:tcPr>
          <w:p w14:paraId="45792018">
            <w:pPr>
              <w:widowControl/>
              <w:spacing w:line="400" w:lineRule="exact"/>
              <w:jc w:val="center"/>
              <w:textAlignment w:val="center"/>
              <w:rPr>
                <w:rFonts w:hint="eastAsia" w:ascii="宋体" w:hAnsi="宋体" w:cs="宋体"/>
                <w:color w:val="000000"/>
                <w:sz w:val="24"/>
              </w:rPr>
            </w:pPr>
          </w:p>
        </w:tc>
        <w:tc>
          <w:tcPr>
            <w:tcW w:w="1250" w:type="dxa"/>
            <w:vMerge w:val="continue"/>
            <w:tcBorders>
              <w:top w:val="single" w:color="000000" w:sz="4" w:space="0"/>
              <w:left w:val="single" w:color="000000" w:sz="4" w:space="0"/>
              <w:bottom w:val="nil"/>
              <w:right w:val="single" w:color="000000" w:sz="4" w:space="0"/>
            </w:tcBorders>
            <w:shd w:val="clear" w:color="auto" w:fill="auto"/>
            <w:vAlign w:val="center"/>
          </w:tcPr>
          <w:p w14:paraId="602B819B">
            <w:pPr>
              <w:widowControl/>
              <w:spacing w:line="400" w:lineRule="exact"/>
              <w:jc w:val="center"/>
              <w:rPr>
                <w:rFonts w:hint="eastAsia" w:ascii="宋体" w:hAnsi="宋体" w:cs="宋体"/>
                <w:color w:val="000000"/>
                <w:sz w:val="24"/>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B638">
            <w:pPr>
              <w:widowControl/>
              <w:spacing w:line="400" w:lineRule="exact"/>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质量保证措</w:t>
            </w:r>
          </w:p>
          <w:p w14:paraId="1D423DC7">
            <w:pPr>
              <w:widowControl/>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施（5分）</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CA19F">
            <w:pPr>
              <w:widowControl/>
              <w:spacing w:line="400" w:lineRule="exact"/>
              <w:jc w:val="left"/>
              <w:textAlignment w:val="center"/>
              <w:rPr>
                <w:rFonts w:hint="eastAsia" w:ascii="宋体" w:hAnsi="宋体" w:cs="宋体"/>
                <w:sz w:val="24"/>
              </w:rPr>
            </w:pPr>
            <w:r>
              <w:rPr>
                <w:rFonts w:hint="eastAsia" w:ascii="宋体" w:hAnsi="宋体" w:cs="宋体"/>
                <w:sz w:val="24"/>
              </w:rPr>
              <w:t>质量保证措施：</w:t>
            </w:r>
          </w:p>
          <w:p w14:paraId="0BAF34A0">
            <w:pPr>
              <w:widowControl/>
              <w:spacing w:line="400" w:lineRule="exact"/>
              <w:jc w:val="left"/>
              <w:textAlignment w:val="center"/>
              <w:rPr>
                <w:rFonts w:hint="eastAsia" w:ascii="宋体" w:hAnsi="宋体" w:cs="宋体"/>
                <w:color w:val="000000"/>
                <w:sz w:val="24"/>
              </w:rPr>
            </w:pPr>
            <w:r>
              <w:rPr>
                <w:rFonts w:hint="eastAsia" w:ascii="宋体" w:hAnsi="宋体" w:cs="宋体"/>
                <w:sz w:val="24"/>
              </w:rPr>
              <w:t>根据供应商制定的质量保证措施的严谨度、全面性等进行综合评价：质量保证措施的严谨度、全面性描述详细得5分，质量保证措施的严谨度、全面性描述满足要求得3分，质量保证措施的严谨度、全面性描述较差得1分，缺项得0分。</w:t>
            </w:r>
          </w:p>
        </w:tc>
      </w:tr>
      <w:tr w14:paraId="3D39E12A">
        <w:tblPrEx>
          <w:tblCellMar>
            <w:top w:w="0" w:type="dxa"/>
            <w:left w:w="108" w:type="dxa"/>
            <w:bottom w:w="0" w:type="dxa"/>
            <w:right w:w="108" w:type="dxa"/>
          </w:tblCellMar>
        </w:tblPrEx>
        <w:trPr>
          <w:trHeight w:val="1753" w:hRule="atLeast"/>
        </w:trPr>
        <w:tc>
          <w:tcPr>
            <w:tcW w:w="774" w:type="dxa"/>
            <w:vMerge w:val="restart"/>
            <w:tcBorders>
              <w:top w:val="single" w:color="000000" w:sz="4" w:space="0"/>
              <w:left w:val="single" w:color="000000" w:sz="4" w:space="0"/>
              <w:right w:val="single" w:color="000000" w:sz="4" w:space="0"/>
            </w:tcBorders>
            <w:shd w:val="clear" w:color="auto" w:fill="auto"/>
            <w:vAlign w:val="center"/>
          </w:tcPr>
          <w:p w14:paraId="3DE70BF6">
            <w:pPr>
              <w:widowControl/>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3</w:t>
            </w:r>
          </w:p>
        </w:tc>
        <w:tc>
          <w:tcPr>
            <w:tcW w:w="1250" w:type="dxa"/>
            <w:vMerge w:val="restart"/>
            <w:tcBorders>
              <w:top w:val="single" w:color="000000" w:sz="4" w:space="0"/>
              <w:left w:val="single" w:color="000000" w:sz="4" w:space="0"/>
              <w:right w:val="single" w:color="000000" w:sz="4" w:space="0"/>
            </w:tcBorders>
            <w:shd w:val="clear" w:color="auto" w:fill="auto"/>
            <w:vAlign w:val="center"/>
          </w:tcPr>
          <w:p w14:paraId="44A864D4">
            <w:pPr>
              <w:widowControl/>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highlight w:val="none"/>
                <w:lang w:val="en-US" w:eastAsia="zh-CN" w:bidi="ar"/>
              </w:rPr>
              <w:t>综合</w:t>
            </w:r>
            <w:r>
              <w:rPr>
                <w:rFonts w:hint="eastAsia" w:ascii="宋体" w:hAnsi="宋体" w:cs="宋体"/>
                <w:color w:val="000000"/>
                <w:kern w:val="0"/>
                <w:sz w:val="24"/>
                <w:highlight w:val="none"/>
                <w:lang w:bidi="ar"/>
              </w:rPr>
              <w:t>部分</w:t>
            </w:r>
            <w:r>
              <w:rPr>
                <w:rFonts w:hint="eastAsia" w:ascii="宋体" w:hAnsi="宋体" w:cs="宋体"/>
                <w:color w:val="000000"/>
                <w:kern w:val="0"/>
                <w:sz w:val="24"/>
                <w:lang w:bidi="ar"/>
              </w:rPr>
              <w:t>（20分）</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D4296">
            <w:pPr>
              <w:widowControl/>
              <w:spacing w:line="400" w:lineRule="exact"/>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投标人业绩</w:t>
            </w:r>
          </w:p>
          <w:p w14:paraId="39162EC5">
            <w:pPr>
              <w:widowControl/>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（6分）</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935E">
            <w:pPr>
              <w:widowControl/>
              <w:spacing w:line="400" w:lineRule="exact"/>
              <w:jc w:val="left"/>
              <w:textAlignment w:val="center"/>
              <w:rPr>
                <w:rFonts w:hint="eastAsia" w:ascii="宋体" w:hAnsi="宋体" w:cs="宋体"/>
                <w:color w:val="000000"/>
                <w:sz w:val="24"/>
              </w:rPr>
            </w:pPr>
            <w:r>
              <w:rPr>
                <w:rFonts w:hint="eastAsia" w:ascii="宋体" w:hAnsi="宋体" w:cs="宋体"/>
                <w:color w:val="000000"/>
                <w:kern w:val="0"/>
                <w:sz w:val="24"/>
                <w:lang w:bidi="ar"/>
              </w:rPr>
              <w:t>供应商应提供2022年1月1日（含）以来类似业绩：每提供1项得3分，本项最多得6分。每一个业绩证明以合同原件扫描件为准。不提供或不按要求提供或缺项提供不得分。时间以合同签订时间为准。</w:t>
            </w:r>
          </w:p>
        </w:tc>
      </w:tr>
      <w:tr w14:paraId="188CC6AC">
        <w:tblPrEx>
          <w:tblCellMar>
            <w:top w:w="0" w:type="dxa"/>
            <w:left w:w="108" w:type="dxa"/>
            <w:bottom w:w="0" w:type="dxa"/>
            <w:right w:w="108" w:type="dxa"/>
          </w:tblCellMar>
        </w:tblPrEx>
        <w:trPr>
          <w:trHeight w:val="1487" w:hRule="atLeast"/>
        </w:trPr>
        <w:tc>
          <w:tcPr>
            <w:tcW w:w="774" w:type="dxa"/>
            <w:vMerge w:val="continue"/>
            <w:tcBorders>
              <w:left w:val="single" w:color="000000" w:sz="4" w:space="0"/>
              <w:right w:val="single" w:color="000000" w:sz="4" w:space="0"/>
            </w:tcBorders>
            <w:shd w:val="clear" w:color="auto" w:fill="auto"/>
            <w:vAlign w:val="center"/>
          </w:tcPr>
          <w:p w14:paraId="06D46D90">
            <w:pPr>
              <w:widowControl/>
              <w:spacing w:line="400" w:lineRule="exact"/>
              <w:jc w:val="center"/>
              <w:textAlignment w:val="center"/>
              <w:rPr>
                <w:rFonts w:hint="eastAsia" w:ascii="宋体" w:hAnsi="宋体" w:cs="宋体"/>
                <w:color w:val="000000"/>
                <w:sz w:val="24"/>
              </w:rPr>
            </w:pPr>
          </w:p>
        </w:tc>
        <w:tc>
          <w:tcPr>
            <w:tcW w:w="1250" w:type="dxa"/>
            <w:vMerge w:val="continue"/>
            <w:tcBorders>
              <w:left w:val="single" w:color="000000" w:sz="4" w:space="0"/>
              <w:right w:val="single" w:color="000000" w:sz="4" w:space="0"/>
            </w:tcBorders>
            <w:shd w:val="clear" w:color="auto" w:fill="auto"/>
            <w:vAlign w:val="center"/>
          </w:tcPr>
          <w:p w14:paraId="44FBDC0E">
            <w:pPr>
              <w:widowControl/>
              <w:spacing w:line="400" w:lineRule="exact"/>
              <w:jc w:val="center"/>
              <w:rPr>
                <w:rFonts w:hint="eastAsia" w:ascii="宋体" w:hAnsi="宋体" w:cs="宋体"/>
                <w:color w:val="000000"/>
                <w:sz w:val="24"/>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2A86">
            <w:pPr>
              <w:widowControl/>
              <w:spacing w:line="400" w:lineRule="exact"/>
              <w:jc w:val="center"/>
              <w:rPr>
                <w:rFonts w:hint="eastAsia" w:ascii="宋体" w:hAnsi="宋体" w:cs="宋体"/>
                <w:color w:val="000000"/>
                <w:sz w:val="24"/>
              </w:rPr>
            </w:pPr>
            <w:r>
              <w:rPr>
                <w:rFonts w:hint="eastAsia" w:ascii="宋体" w:hAnsi="宋体" w:cs="宋体"/>
                <w:color w:val="000000"/>
                <w:sz w:val="24"/>
              </w:rPr>
              <w:t>合规性（5分）</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DCFBC">
            <w:pPr>
              <w:widowControl/>
              <w:jc w:val="left"/>
              <w:rPr>
                <w:rFonts w:hint="eastAsia" w:ascii="宋体" w:hAnsi="宋体" w:cs="宋体"/>
                <w:color w:val="auto"/>
                <w:kern w:val="0"/>
              </w:rPr>
            </w:pPr>
            <w:r>
              <w:rPr>
                <w:rFonts w:ascii="宋体" w:hAnsi="宋体" w:cs="宋体"/>
                <w:color w:val="auto"/>
                <w:kern w:val="0"/>
                <w:sz w:val="24"/>
                <w:lang w:bidi="ar"/>
              </w:rPr>
              <w:t>为保证</w:t>
            </w:r>
            <w:r>
              <w:rPr>
                <w:rFonts w:hint="eastAsia" w:ascii="宋体" w:hAnsi="宋体" w:cs="宋体"/>
                <w:color w:val="auto"/>
                <w:kern w:val="0"/>
                <w:sz w:val="24"/>
                <w:lang w:bidi="ar"/>
              </w:rPr>
              <w:t>投标</w:t>
            </w:r>
            <w:r>
              <w:rPr>
                <w:rFonts w:ascii="宋体" w:hAnsi="宋体" w:cs="宋体"/>
                <w:color w:val="auto"/>
                <w:kern w:val="0"/>
                <w:sz w:val="24"/>
                <w:lang w:bidi="ar"/>
              </w:rPr>
              <w:t>产品符合国产化相关政策要求，所投产品须整机国产化率≥98%，提供国家权威机构出具的有效期内证书复印件并加盖厂商公章，提供以上证明材料得</w:t>
            </w:r>
            <w:r>
              <w:rPr>
                <w:rFonts w:hint="eastAsia" w:ascii="宋体" w:hAnsi="宋体" w:cs="宋体"/>
                <w:color w:val="auto"/>
                <w:kern w:val="0"/>
                <w:sz w:val="24"/>
                <w:lang w:bidi="ar"/>
              </w:rPr>
              <w:t>5</w:t>
            </w:r>
            <w:r>
              <w:rPr>
                <w:rFonts w:ascii="宋体" w:hAnsi="宋体" w:cs="宋体"/>
                <w:color w:val="auto"/>
                <w:kern w:val="0"/>
                <w:sz w:val="24"/>
                <w:lang w:bidi="ar"/>
              </w:rPr>
              <w:t>分，不提供不得分。</w:t>
            </w:r>
          </w:p>
        </w:tc>
      </w:tr>
      <w:tr w14:paraId="123AA4F1">
        <w:tblPrEx>
          <w:tblCellMar>
            <w:top w:w="0" w:type="dxa"/>
            <w:left w:w="108" w:type="dxa"/>
            <w:bottom w:w="0" w:type="dxa"/>
            <w:right w:w="108" w:type="dxa"/>
          </w:tblCellMar>
        </w:tblPrEx>
        <w:trPr>
          <w:trHeight w:val="1692" w:hRule="atLeast"/>
        </w:trPr>
        <w:tc>
          <w:tcPr>
            <w:tcW w:w="774" w:type="dxa"/>
            <w:vMerge w:val="continue"/>
            <w:tcBorders>
              <w:left w:val="single" w:color="000000" w:sz="4" w:space="0"/>
              <w:right w:val="single" w:color="000000" w:sz="4" w:space="0"/>
            </w:tcBorders>
            <w:shd w:val="clear" w:color="auto" w:fill="auto"/>
            <w:vAlign w:val="center"/>
          </w:tcPr>
          <w:p w14:paraId="631B3CC2">
            <w:pPr>
              <w:widowControl/>
              <w:spacing w:line="400" w:lineRule="exact"/>
              <w:jc w:val="center"/>
              <w:textAlignment w:val="center"/>
              <w:rPr>
                <w:rFonts w:hint="eastAsia" w:ascii="宋体" w:hAnsi="宋体" w:cs="宋体"/>
                <w:color w:val="000000"/>
                <w:sz w:val="24"/>
              </w:rPr>
            </w:pPr>
          </w:p>
        </w:tc>
        <w:tc>
          <w:tcPr>
            <w:tcW w:w="1250" w:type="dxa"/>
            <w:vMerge w:val="continue"/>
            <w:tcBorders>
              <w:left w:val="single" w:color="000000" w:sz="4" w:space="0"/>
              <w:right w:val="single" w:color="000000" w:sz="4" w:space="0"/>
            </w:tcBorders>
            <w:shd w:val="clear" w:color="auto" w:fill="auto"/>
            <w:vAlign w:val="center"/>
          </w:tcPr>
          <w:p w14:paraId="4C69A995">
            <w:pPr>
              <w:widowControl/>
              <w:spacing w:line="400" w:lineRule="exact"/>
              <w:jc w:val="center"/>
              <w:rPr>
                <w:rFonts w:hint="eastAsia" w:ascii="宋体" w:hAnsi="宋体" w:cs="宋体"/>
                <w:color w:val="000000"/>
                <w:sz w:val="24"/>
              </w:rPr>
            </w:pPr>
          </w:p>
        </w:tc>
        <w:tc>
          <w:tcPr>
            <w:tcW w:w="1729" w:type="dxa"/>
            <w:vMerge w:val="restart"/>
            <w:tcBorders>
              <w:top w:val="single" w:color="000000" w:sz="4" w:space="0"/>
              <w:left w:val="single" w:color="000000" w:sz="4" w:space="0"/>
              <w:right w:val="single" w:color="000000" w:sz="4" w:space="0"/>
            </w:tcBorders>
            <w:shd w:val="clear" w:color="auto" w:fill="auto"/>
            <w:vAlign w:val="center"/>
          </w:tcPr>
          <w:p w14:paraId="7260CC45">
            <w:pPr>
              <w:widowControl/>
              <w:spacing w:line="400" w:lineRule="exact"/>
              <w:jc w:val="center"/>
              <w:rPr>
                <w:rFonts w:hint="eastAsia" w:ascii="宋体" w:hAnsi="宋体" w:cs="宋体"/>
                <w:color w:val="auto"/>
                <w:kern w:val="0"/>
                <w:sz w:val="24"/>
                <w:lang w:bidi="ar"/>
              </w:rPr>
            </w:pPr>
            <w:r>
              <w:rPr>
                <w:rFonts w:hint="eastAsia" w:ascii="宋体" w:hAnsi="宋体" w:cs="宋体"/>
                <w:sz w:val="24"/>
              </w:rPr>
              <w:t>售后</w:t>
            </w:r>
            <w:r>
              <w:rPr>
                <w:rFonts w:hint="eastAsia" w:ascii="宋体" w:hAnsi="宋体" w:cs="宋体"/>
                <w:color w:val="auto"/>
                <w:kern w:val="0"/>
                <w:sz w:val="24"/>
                <w:lang w:bidi="ar"/>
              </w:rPr>
              <w:t>服务</w:t>
            </w:r>
          </w:p>
          <w:p w14:paraId="289412F5">
            <w:pPr>
              <w:widowControl/>
              <w:spacing w:line="400" w:lineRule="exact"/>
              <w:jc w:val="center"/>
              <w:rPr>
                <w:rFonts w:hint="eastAsia" w:ascii="宋体" w:hAnsi="宋体" w:cs="宋体"/>
                <w:color w:val="000000"/>
                <w:sz w:val="24"/>
                <w:highlight w:val="red"/>
              </w:rPr>
            </w:pPr>
            <w:r>
              <w:rPr>
                <w:rFonts w:hint="eastAsia" w:ascii="宋体" w:hAnsi="宋体" w:cs="宋体"/>
                <w:color w:val="auto"/>
                <w:kern w:val="0"/>
                <w:sz w:val="24"/>
                <w:lang w:eastAsia="zh-CN" w:bidi="ar"/>
              </w:rPr>
              <w:t>（</w:t>
            </w:r>
            <w:r>
              <w:rPr>
                <w:rFonts w:hint="eastAsia" w:ascii="宋体" w:hAnsi="宋体" w:cs="宋体"/>
                <w:sz w:val="24"/>
              </w:rPr>
              <w:t>9分）</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831E">
            <w:pPr>
              <w:widowControl/>
              <w:jc w:val="left"/>
              <w:rPr>
                <w:rFonts w:hint="eastAsia" w:ascii="宋体" w:hAnsi="宋体" w:cs="宋体"/>
                <w:color w:val="auto"/>
                <w:kern w:val="0"/>
                <w:sz w:val="24"/>
                <w:lang w:bidi="ar"/>
              </w:rPr>
            </w:pPr>
            <w:r>
              <w:rPr>
                <w:rFonts w:hint="eastAsia" w:ascii="宋体" w:hAnsi="宋体" w:cs="宋体"/>
                <w:color w:val="auto"/>
                <w:kern w:val="0"/>
                <w:sz w:val="24"/>
                <w:lang w:val="en-US" w:eastAsia="zh-CN" w:bidi="ar"/>
              </w:rPr>
              <w:t>1.</w:t>
            </w:r>
            <w:r>
              <w:rPr>
                <w:rFonts w:hint="eastAsia" w:ascii="宋体" w:hAnsi="宋体" w:cs="宋体"/>
                <w:color w:val="auto"/>
                <w:kern w:val="0"/>
                <w:sz w:val="24"/>
                <w:lang w:bidi="ar"/>
              </w:rPr>
              <w:t>为保证产品售后服务质量，要求所投产品生产厂家须通过商品售后服务评价体系认证，依据国标GB/T27922-2011。获得七星级认证，得</w:t>
            </w:r>
            <w:r>
              <w:rPr>
                <w:rFonts w:hint="eastAsia" w:ascii="宋体" w:hAnsi="宋体" w:cs="宋体"/>
                <w:color w:val="auto"/>
                <w:kern w:val="0"/>
                <w:sz w:val="24"/>
                <w:lang w:val="en-US" w:eastAsia="zh-CN" w:bidi="ar"/>
              </w:rPr>
              <w:t>4</w:t>
            </w:r>
            <w:r>
              <w:rPr>
                <w:rFonts w:hint="eastAsia" w:ascii="宋体" w:hAnsi="宋体" w:cs="宋体"/>
                <w:color w:val="auto"/>
                <w:kern w:val="0"/>
                <w:sz w:val="24"/>
                <w:lang w:bidi="ar"/>
              </w:rPr>
              <w:t>分；获得六星级认证，得</w:t>
            </w:r>
            <w:r>
              <w:rPr>
                <w:rFonts w:hint="eastAsia" w:ascii="宋体" w:hAnsi="宋体" w:cs="宋体"/>
                <w:color w:val="auto"/>
                <w:kern w:val="0"/>
                <w:sz w:val="24"/>
                <w:lang w:val="en-US" w:eastAsia="zh-CN" w:bidi="ar"/>
              </w:rPr>
              <w:t>3</w:t>
            </w:r>
            <w:r>
              <w:rPr>
                <w:rFonts w:hint="eastAsia" w:ascii="宋体" w:hAnsi="宋体" w:cs="宋体"/>
                <w:color w:val="auto"/>
                <w:kern w:val="0"/>
                <w:sz w:val="24"/>
                <w:lang w:bidi="ar"/>
              </w:rPr>
              <w:t>分；获得五星级以下认证，</w:t>
            </w:r>
            <w:bookmarkStart w:id="321" w:name="_GoBack"/>
            <w:bookmarkEnd w:id="321"/>
            <w:r>
              <w:rPr>
                <w:rFonts w:hint="eastAsia" w:ascii="宋体" w:hAnsi="宋体" w:cs="宋体"/>
                <w:color w:val="auto"/>
                <w:kern w:val="0"/>
                <w:sz w:val="24"/>
                <w:lang w:bidi="ar"/>
              </w:rPr>
              <w:t>得1分。投标时需提供有效期内的证书复印件并加盖厂商公章，不提供不得分。</w:t>
            </w:r>
          </w:p>
        </w:tc>
      </w:tr>
      <w:tr w14:paraId="4ABF8E57">
        <w:tblPrEx>
          <w:tblCellMar>
            <w:top w:w="0" w:type="dxa"/>
            <w:left w:w="108" w:type="dxa"/>
            <w:bottom w:w="0" w:type="dxa"/>
            <w:right w:w="108" w:type="dxa"/>
          </w:tblCellMar>
        </w:tblPrEx>
        <w:trPr>
          <w:trHeight w:val="1814" w:hRule="atLeast"/>
        </w:trPr>
        <w:tc>
          <w:tcPr>
            <w:tcW w:w="774" w:type="dxa"/>
            <w:vMerge w:val="continue"/>
            <w:tcBorders>
              <w:left w:val="single" w:color="000000" w:sz="4" w:space="0"/>
              <w:bottom w:val="single" w:color="000000" w:sz="4" w:space="0"/>
              <w:right w:val="single" w:color="000000" w:sz="4" w:space="0"/>
            </w:tcBorders>
            <w:shd w:val="clear" w:color="auto" w:fill="auto"/>
            <w:vAlign w:val="center"/>
          </w:tcPr>
          <w:p w14:paraId="5D27C570">
            <w:pPr>
              <w:widowControl/>
              <w:spacing w:line="400" w:lineRule="exact"/>
              <w:jc w:val="center"/>
              <w:textAlignment w:val="center"/>
              <w:rPr>
                <w:rFonts w:hint="eastAsia" w:ascii="宋体" w:hAnsi="宋体" w:cs="宋体"/>
                <w:color w:val="000000"/>
                <w:sz w:val="24"/>
              </w:rPr>
            </w:pPr>
          </w:p>
        </w:tc>
        <w:tc>
          <w:tcPr>
            <w:tcW w:w="1250" w:type="dxa"/>
            <w:vMerge w:val="continue"/>
            <w:tcBorders>
              <w:left w:val="single" w:color="000000" w:sz="4" w:space="0"/>
              <w:bottom w:val="single" w:color="000000" w:sz="4" w:space="0"/>
              <w:right w:val="single" w:color="000000" w:sz="4" w:space="0"/>
            </w:tcBorders>
            <w:shd w:val="clear" w:color="auto" w:fill="auto"/>
            <w:vAlign w:val="center"/>
          </w:tcPr>
          <w:p w14:paraId="566C81D8">
            <w:pPr>
              <w:widowControl/>
              <w:spacing w:line="400" w:lineRule="exact"/>
              <w:jc w:val="center"/>
              <w:rPr>
                <w:rFonts w:hint="eastAsia" w:ascii="宋体" w:hAnsi="宋体" w:cs="宋体"/>
                <w:color w:val="000000"/>
                <w:sz w:val="24"/>
              </w:rPr>
            </w:pPr>
          </w:p>
        </w:tc>
        <w:tc>
          <w:tcPr>
            <w:tcW w:w="1729" w:type="dxa"/>
            <w:vMerge w:val="continue"/>
            <w:tcBorders>
              <w:left w:val="single" w:color="000000" w:sz="4" w:space="0"/>
              <w:bottom w:val="single" w:color="000000" w:sz="4" w:space="0"/>
              <w:right w:val="single" w:color="000000" w:sz="4" w:space="0"/>
            </w:tcBorders>
            <w:shd w:val="clear" w:color="auto" w:fill="auto"/>
            <w:vAlign w:val="center"/>
          </w:tcPr>
          <w:p w14:paraId="3DDC0ADB">
            <w:pPr>
              <w:widowControl/>
              <w:spacing w:line="400" w:lineRule="exact"/>
              <w:jc w:val="center"/>
              <w:rPr>
                <w:rFonts w:hint="eastAsia" w:ascii="宋体" w:hAnsi="宋体" w:cs="宋体"/>
                <w:color w:val="000000"/>
                <w:sz w:val="24"/>
                <w:highlight w:val="red"/>
              </w:rPr>
            </w:pP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067B">
            <w:pPr>
              <w:widowControl/>
              <w:spacing w:line="400" w:lineRule="exact"/>
              <w:jc w:val="left"/>
              <w:textAlignment w:val="center"/>
              <w:rPr>
                <w:rFonts w:hint="eastAsia" w:ascii="宋体" w:hAnsi="宋体" w:cs="宋体"/>
                <w:color w:val="000000"/>
                <w:sz w:val="24"/>
              </w:rPr>
            </w:pPr>
            <w:r>
              <w:rPr>
                <w:rFonts w:hint="eastAsia" w:ascii="宋体" w:hAnsi="宋体" w:cs="宋体"/>
                <w:sz w:val="24"/>
                <w:highlight w:val="none"/>
              </w:rPr>
              <w:t>2.</w:t>
            </w:r>
            <w:r>
              <w:rPr>
                <w:rFonts w:hint="eastAsia" w:ascii="宋体" w:hAnsi="宋体" w:cs="宋体"/>
                <w:sz w:val="24"/>
              </w:rPr>
              <w:t>响应时间承诺：供应商对于供货时间、供货过程中所产生的问题积极响应处理的承诺及方案，承诺并提供具体方案完善的，得</w:t>
            </w:r>
            <w:r>
              <w:rPr>
                <w:rFonts w:hint="eastAsia" w:ascii="宋体" w:hAnsi="宋体" w:cs="宋体"/>
                <w:sz w:val="24"/>
                <w:lang w:val="en-US" w:eastAsia="zh-CN"/>
              </w:rPr>
              <w:t>5</w:t>
            </w:r>
            <w:r>
              <w:rPr>
                <w:rFonts w:hint="eastAsia" w:ascii="宋体" w:hAnsi="宋体" w:cs="宋体"/>
                <w:sz w:val="24"/>
              </w:rPr>
              <w:t>分，承诺并提供具体方案基本完善的，得</w:t>
            </w:r>
            <w:r>
              <w:rPr>
                <w:rFonts w:hint="eastAsia" w:ascii="宋体" w:hAnsi="宋体" w:cs="宋体"/>
                <w:sz w:val="24"/>
                <w:lang w:val="en-US" w:eastAsia="zh-CN"/>
              </w:rPr>
              <w:t>3</w:t>
            </w:r>
            <w:r>
              <w:rPr>
                <w:rFonts w:hint="eastAsia" w:ascii="宋体" w:hAnsi="宋体" w:cs="宋体"/>
                <w:sz w:val="24"/>
              </w:rPr>
              <w:t>分，承诺并提供具体方案不够完善的，得1分，缺项得0分。</w:t>
            </w:r>
          </w:p>
        </w:tc>
      </w:tr>
    </w:tbl>
    <w:p w14:paraId="3343F197">
      <w:pPr>
        <w:pStyle w:val="46"/>
        <w:spacing w:line="500" w:lineRule="exact"/>
        <w:jc w:val="center"/>
        <w:outlineLvl w:val="1"/>
        <w:rPr>
          <w:rFonts w:hint="eastAsia" w:asciiTheme="minorEastAsia" w:hAnsiTheme="minorEastAsia" w:eastAsiaTheme="minorEastAsia" w:cstheme="minorEastAsia"/>
          <w:b/>
          <w:bCs/>
          <w:sz w:val="28"/>
          <w:szCs w:val="28"/>
        </w:rPr>
      </w:pPr>
    </w:p>
    <w:p w14:paraId="7F2622B3">
      <w:pPr>
        <w:pStyle w:val="46"/>
        <w:spacing w:line="500" w:lineRule="exact"/>
        <w:jc w:val="center"/>
        <w:outlineLvl w:val="1"/>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评分办法</w:t>
      </w:r>
    </w:p>
    <w:p w14:paraId="750E2F79">
      <w:pPr>
        <w:tabs>
          <w:tab w:val="left" w:pos="170"/>
          <w:tab w:val="left" w:pos="303"/>
          <w:tab w:val="left" w:pos="420"/>
        </w:tabs>
        <w:adjustRightInd w:val="0"/>
        <w:snapToGrid w:val="0"/>
        <w:spacing w:line="480" w:lineRule="exact"/>
        <w:outlineLvl w:val="1"/>
        <w:rPr>
          <w:rFonts w:hint="eastAsia" w:ascii="宋体" w:hAnsi="宋体" w:cs="宋体"/>
          <w:b/>
          <w:sz w:val="24"/>
        </w:rPr>
      </w:pPr>
      <w:r>
        <w:rPr>
          <w:rFonts w:hint="eastAsia" w:ascii="宋体" w:hAnsi="宋体" w:cs="宋体"/>
          <w:b/>
          <w:sz w:val="24"/>
        </w:rPr>
        <w:t xml:space="preserve">1. </w:t>
      </w:r>
      <w:bookmarkStart w:id="252" w:name="_Toc6843"/>
      <w:r>
        <w:rPr>
          <w:rFonts w:hint="eastAsia" w:ascii="宋体" w:hAnsi="宋体" w:cs="宋体"/>
          <w:b/>
          <w:sz w:val="24"/>
        </w:rPr>
        <w:t>评标准则和评标方法</w:t>
      </w:r>
      <w:bookmarkEnd w:id="252"/>
    </w:p>
    <w:p w14:paraId="3C403E4D">
      <w:pPr>
        <w:adjustRightInd w:val="0"/>
        <w:snapToGrid w:val="0"/>
        <w:spacing w:line="480" w:lineRule="exact"/>
        <w:rPr>
          <w:rFonts w:hint="eastAsia" w:ascii="宋体" w:hAnsi="宋体" w:cs="宋体"/>
          <w:sz w:val="24"/>
        </w:rPr>
      </w:pPr>
      <w:r>
        <w:rPr>
          <w:rFonts w:hint="eastAsia" w:ascii="宋体" w:hAnsi="宋体" w:cs="宋体"/>
          <w:sz w:val="24"/>
        </w:rPr>
        <w:t>1.1 评标过程将遵循“公平、公正、科学、择优”的原则进行。</w:t>
      </w:r>
    </w:p>
    <w:p w14:paraId="07A2E7DE">
      <w:pPr>
        <w:adjustRightInd w:val="0"/>
        <w:snapToGrid w:val="0"/>
        <w:spacing w:line="480" w:lineRule="exact"/>
        <w:rPr>
          <w:rFonts w:hint="eastAsia" w:ascii="宋体" w:hAnsi="宋体" w:cs="宋体"/>
          <w:sz w:val="24"/>
        </w:rPr>
      </w:pPr>
      <w:r>
        <w:rPr>
          <w:rFonts w:hint="eastAsia" w:ascii="宋体" w:hAnsi="宋体" w:cs="宋体"/>
          <w:sz w:val="24"/>
        </w:rPr>
        <w:t>1.2 评标将严格按照招标文件的要求和条件进行。</w:t>
      </w:r>
    </w:p>
    <w:p w14:paraId="0FA5E59A">
      <w:pPr>
        <w:adjustRightInd w:val="0"/>
        <w:snapToGrid w:val="0"/>
        <w:spacing w:line="480" w:lineRule="exact"/>
        <w:rPr>
          <w:rFonts w:hint="eastAsia" w:ascii="宋体" w:hAnsi="宋体" w:cs="宋体"/>
          <w:sz w:val="24"/>
        </w:rPr>
      </w:pPr>
      <w:r>
        <w:rPr>
          <w:rFonts w:hint="eastAsia" w:ascii="宋体" w:hAnsi="宋体" w:cs="宋体"/>
          <w:sz w:val="24"/>
        </w:rPr>
        <w:t>1.3 本次评标采用综合评分法。</w:t>
      </w:r>
    </w:p>
    <w:p w14:paraId="6A65F007">
      <w:pPr>
        <w:tabs>
          <w:tab w:val="left" w:pos="170"/>
          <w:tab w:val="left" w:pos="303"/>
          <w:tab w:val="left" w:pos="420"/>
        </w:tabs>
        <w:adjustRightInd w:val="0"/>
        <w:snapToGrid w:val="0"/>
        <w:spacing w:line="480" w:lineRule="exact"/>
        <w:outlineLvl w:val="1"/>
        <w:rPr>
          <w:rFonts w:hint="eastAsia" w:ascii="宋体" w:hAnsi="宋体" w:cs="宋体"/>
          <w:b/>
          <w:sz w:val="24"/>
        </w:rPr>
      </w:pPr>
      <w:bookmarkStart w:id="253" w:name="_Toc454147539"/>
      <w:bookmarkStart w:id="254" w:name="_Toc13195"/>
      <w:bookmarkStart w:id="255" w:name="_Toc466017208"/>
      <w:bookmarkStart w:id="256" w:name="_Toc7951"/>
      <w:bookmarkStart w:id="257" w:name="_Toc15449"/>
      <w:bookmarkStart w:id="258" w:name="_Toc465502580"/>
      <w:r>
        <w:rPr>
          <w:rFonts w:hint="eastAsia" w:ascii="宋体" w:hAnsi="宋体" w:cs="宋体"/>
          <w:b/>
          <w:sz w:val="24"/>
        </w:rPr>
        <w:t>2.评审标准</w:t>
      </w:r>
      <w:bookmarkEnd w:id="253"/>
      <w:bookmarkEnd w:id="254"/>
      <w:bookmarkEnd w:id="255"/>
      <w:bookmarkEnd w:id="256"/>
      <w:bookmarkEnd w:id="257"/>
      <w:bookmarkEnd w:id="258"/>
    </w:p>
    <w:p w14:paraId="63B62764">
      <w:pPr>
        <w:adjustRightInd w:val="0"/>
        <w:snapToGrid w:val="0"/>
        <w:spacing w:line="480" w:lineRule="exact"/>
        <w:rPr>
          <w:rFonts w:hint="eastAsia" w:ascii="宋体" w:hAnsi="宋体" w:cs="宋体"/>
          <w:sz w:val="24"/>
        </w:rPr>
      </w:pPr>
      <w:r>
        <w:rPr>
          <w:rFonts w:hint="eastAsia" w:ascii="宋体" w:hAnsi="宋体" w:cs="宋体"/>
          <w:sz w:val="24"/>
        </w:rPr>
        <w:t>2.1 资格评审标准：详见《评分办法前附表》中资格评审标准。</w:t>
      </w:r>
    </w:p>
    <w:p w14:paraId="5E1201EA">
      <w:pPr>
        <w:pStyle w:val="57"/>
        <w:numPr>
          <w:ilvl w:val="1"/>
          <w:numId w:val="0"/>
        </w:numPr>
        <w:adjustRightInd w:val="0"/>
        <w:snapToGrid w:val="0"/>
        <w:spacing w:line="480" w:lineRule="exact"/>
        <w:ind w:left="720" w:leftChars="0" w:hanging="720" w:firstLineChars="0"/>
        <w:rPr>
          <w:rFonts w:ascii="宋体" w:hAnsi="宋体" w:cs="宋体"/>
          <w:lang w:eastAsia="zh-CN"/>
        </w:rPr>
      </w:pPr>
      <w:r>
        <w:rPr>
          <w:rFonts w:hint="default" w:ascii="宋体" w:hAnsi="宋体" w:eastAsia="宋体" w:cs="宋体"/>
          <w:kern w:val="0"/>
          <w:sz w:val="24"/>
          <w:szCs w:val="24"/>
          <w:lang w:val="en-US" w:eastAsia="zh-CN" w:bidi="en-US"/>
        </w:rPr>
        <w:t>2.2</w:t>
      </w:r>
      <w:r>
        <w:rPr>
          <w:rFonts w:ascii="宋体" w:hAnsi="宋体" w:cs="宋体"/>
          <w:lang w:eastAsia="zh-CN"/>
        </w:rPr>
        <w:t>详细评审标准：详见《评分办法前附表》报价部分、技术部分、综合部分评审因素。</w:t>
      </w:r>
    </w:p>
    <w:p w14:paraId="73E05EFF">
      <w:pPr>
        <w:tabs>
          <w:tab w:val="left" w:pos="170"/>
          <w:tab w:val="left" w:pos="303"/>
          <w:tab w:val="left" w:pos="420"/>
        </w:tabs>
        <w:adjustRightInd w:val="0"/>
        <w:snapToGrid w:val="0"/>
        <w:spacing w:line="480" w:lineRule="exact"/>
        <w:outlineLvl w:val="1"/>
        <w:rPr>
          <w:rFonts w:hint="eastAsia" w:ascii="宋体" w:hAnsi="宋体" w:cs="宋体"/>
          <w:b/>
          <w:sz w:val="24"/>
        </w:rPr>
      </w:pPr>
      <w:bookmarkStart w:id="259" w:name="_Toc11065"/>
      <w:bookmarkStart w:id="260" w:name="_Toc19609"/>
      <w:r>
        <w:rPr>
          <w:rFonts w:hint="eastAsia" w:ascii="宋体" w:hAnsi="宋体" w:cs="宋体"/>
          <w:b/>
          <w:sz w:val="24"/>
        </w:rPr>
        <w:t>3.评标程序</w:t>
      </w:r>
      <w:bookmarkEnd w:id="259"/>
      <w:bookmarkEnd w:id="260"/>
    </w:p>
    <w:p w14:paraId="01A9598C">
      <w:pPr>
        <w:adjustRightInd w:val="0"/>
        <w:snapToGrid w:val="0"/>
        <w:spacing w:line="480" w:lineRule="exact"/>
        <w:rPr>
          <w:rFonts w:hint="eastAsia" w:ascii="宋体" w:hAnsi="宋体" w:cs="宋体"/>
          <w:b/>
          <w:bCs/>
          <w:sz w:val="24"/>
        </w:rPr>
      </w:pPr>
      <w:r>
        <w:rPr>
          <w:rFonts w:hint="eastAsia" w:ascii="宋体" w:hAnsi="宋体" w:cs="宋体"/>
          <w:b/>
          <w:bCs/>
          <w:sz w:val="24"/>
        </w:rPr>
        <w:t>3.1初步评审</w:t>
      </w:r>
    </w:p>
    <w:p w14:paraId="58DCFB8B">
      <w:pPr>
        <w:adjustRightInd w:val="0"/>
        <w:snapToGrid w:val="0"/>
        <w:spacing w:line="480" w:lineRule="exact"/>
        <w:rPr>
          <w:rFonts w:hint="eastAsia" w:ascii="宋体" w:hAnsi="宋体" w:cs="宋体"/>
          <w:sz w:val="24"/>
          <w:lang w:val="zh-CN"/>
        </w:rPr>
      </w:pPr>
      <w:r>
        <w:rPr>
          <w:rFonts w:hint="eastAsia" w:ascii="宋体" w:hAnsi="宋体" w:cs="宋体"/>
          <w:sz w:val="24"/>
        </w:rPr>
        <w:t xml:space="preserve">3.1.1 </w:t>
      </w:r>
      <w:r>
        <w:rPr>
          <w:rFonts w:hint="eastAsia" w:ascii="宋体" w:hAnsi="宋体" w:cs="宋体"/>
          <w:sz w:val="24"/>
          <w:lang w:val="zh-CN"/>
        </w:rPr>
        <w:t>采购人或代理机构可以要求投标人提交第二章“投标人须知”规定的有关证明。采购人或代理机构依据本章第2.1款规定的标准对投标文件进行资格评审。有一项不符合资格评审标准的，作无效投标处理。</w:t>
      </w:r>
    </w:p>
    <w:p w14:paraId="30AAD95E">
      <w:pPr>
        <w:adjustRightInd w:val="0"/>
        <w:snapToGrid w:val="0"/>
        <w:spacing w:line="480" w:lineRule="exact"/>
        <w:rPr>
          <w:rFonts w:hint="eastAsia" w:ascii="宋体" w:hAnsi="宋体" w:cs="宋体"/>
          <w:sz w:val="24"/>
          <w:lang w:val="zh-CN"/>
        </w:rPr>
      </w:pPr>
      <w:r>
        <w:rPr>
          <w:rFonts w:hint="eastAsia" w:ascii="宋体" w:hAnsi="宋体" w:cs="宋体"/>
          <w:sz w:val="24"/>
        </w:rPr>
        <w:t xml:space="preserve">3.1.2 </w:t>
      </w:r>
      <w:r>
        <w:rPr>
          <w:rFonts w:hint="eastAsia" w:ascii="宋体" w:hAnsi="宋体" w:cs="宋体"/>
          <w:sz w:val="24"/>
          <w:lang w:val="zh-CN"/>
        </w:rPr>
        <w:t>投标文件属下列情况之一的，应当在资格性、符合性检查时按照无效投标处理：</w:t>
      </w:r>
    </w:p>
    <w:p w14:paraId="2561B03C">
      <w:pPr>
        <w:numPr>
          <w:ilvl w:val="0"/>
          <w:numId w:val="4"/>
        </w:numPr>
        <w:autoSpaceDE w:val="0"/>
        <w:autoSpaceDN w:val="0"/>
        <w:adjustRightInd w:val="0"/>
        <w:snapToGrid w:val="0"/>
        <w:spacing w:line="480" w:lineRule="exact"/>
        <w:jc w:val="left"/>
        <w:rPr>
          <w:rFonts w:hint="eastAsia" w:ascii="宋体" w:hAnsi="宋体" w:cs="宋体"/>
          <w:sz w:val="24"/>
        </w:rPr>
      </w:pPr>
      <w:r>
        <w:rPr>
          <w:rFonts w:hint="eastAsia" w:ascii="宋体" w:hAnsi="宋体" w:cs="宋体"/>
          <w:sz w:val="24"/>
        </w:rPr>
        <w:t>未按照招标文件规定要求签署、盖章的；</w:t>
      </w:r>
    </w:p>
    <w:p w14:paraId="2FB2B368">
      <w:pPr>
        <w:numPr>
          <w:ilvl w:val="0"/>
          <w:numId w:val="4"/>
        </w:numPr>
        <w:autoSpaceDE w:val="0"/>
        <w:autoSpaceDN w:val="0"/>
        <w:adjustRightInd w:val="0"/>
        <w:snapToGrid w:val="0"/>
        <w:spacing w:line="480" w:lineRule="exact"/>
        <w:jc w:val="left"/>
        <w:rPr>
          <w:rFonts w:hint="eastAsia" w:ascii="宋体" w:hAnsi="宋体" w:cs="宋体"/>
          <w:sz w:val="24"/>
        </w:rPr>
      </w:pPr>
      <w:r>
        <w:rPr>
          <w:rFonts w:hint="eastAsia" w:ascii="宋体" w:hAnsi="宋体" w:cs="宋体"/>
          <w:sz w:val="24"/>
        </w:rPr>
        <w:t>不具备招标文件中规定资格要求的；</w:t>
      </w:r>
    </w:p>
    <w:p w14:paraId="75996CCD">
      <w:pPr>
        <w:numPr>
          <w:ilvl w:val="0"/>
          <w:numId w:val="4"/>
        </w:numPr>
        <w:autoSpaceDE w:val="0"/>
        <w:autoSpaceDN w:val="0"/>
        <w:adjustRightInd w:val="0"/>
        <w:snapToGrid w:val="0"/>
        <w:spacing w:line="480" w:lineRule="exact"/>
        <w:jc w:val="left"/>
        <w:rPr>
          <w:rFonts w:hint="eastAsia" w:ascii="宋体" w:hAnsi="宋体" w:cs="宋体"/>
          <w:sz w:val="24"/>
        </w:rPr>
      </w:pPr>
      <w:r>
        <w:rPr>
          <w:rFonts w:hint="eastAsia" w:ascii="宋体" w:hAnsi="宋体" w:cs="宋体"/>
          <w:sz w:val="24"/>
        </w:rPr>
        <w:t>不符合法律、法规和招标文件中规定的其他实质性要求的。</w:t>
      </w:r>
    </w:p>
    <w:p w14:paraId="19EFF461">
      <w:pPr>
        <w:adjustRightInd w:val="0"/>
        <w:snapToGrid w:val="0"/>
        <w:spacing w:line="480" w:lineRule="exact"/>
        <w:rPr>
          <w:rFonts w:hint="eastAsia" w:ascii="宋体" w:hAnsi="宋体" w:cs="宋体"/>
          <w:sz w:val="24"/>
          <w:lang w:val="zh-CN"/>
        </w:rPr>
      </w:pPr>
      <w:r>
        <w:rPr>
          <w:rFonts w:hint="eastAsia" w:ascii="宋体" w:hAnsi="宋体" w:cs="宋体"/>
          <w:sz w:val="24"/>
        </w:rPr>
        <w:t xml:space="preserve">3.1.3 </w:t>
      </w:r>
      <w:r>
        <w:rPr>
          <w:rFonts w:hint="eastAsia" w:ascii="宋体" w:hAnsi="宋体" w:cs="宋体"/>
          <w:sz w:val="24"/>
          <w:lang w:val="zh-CN"/>
        </w:rPr>
        <w:t>投标报价有算数错误的，评标委员会按以下原则对投标报价进行修正，修正的价格经投标人书面确认后具有约束力。投标人不接受修正价格的，其投标作无效投标处理。</w:t>
      </w:r>
    </w:p>
    <w:p w14:paraId="257EE31D">
      <w:pPr>
        <w:numPr>
          <w:ilvl w:val="0"/>
          <w:numId w:val="5"/>
        </w:numPr>
        <w:autoSpaceDE w:val="0"/>
        <w:autoSpaceDN w:val="0"/>
        <w:adjustRightInd w:val="0"/>
        <w:snapToGrid w:val="0"/>
        <w:spacing w:line="480" w:lineRule="exact"/>
        <w:jc w:val="left"/>
        <w:rPr>
          <w:rFonts w:hint="eastAsia" w:ascii="宋体" w:hAnsi="宋体" w:cs="宋体"/>
          <w:sz w:val="24"/>
        </w:rPr>
      </w:pPr>
      <w:r>
        <w:rPr>
          <w:rFonts w:hint="eastAsia" w:ascii="宋体" w:hAnsi="宋体" w:cs="宋体"/>
          <w:sz w:val="24"/>
        </w:rPr>
        <w:t>投标文件中的大写金额与小写金额不一致的，以大写金额为准；</w:t>
      </w:r>
    </w:p>
    <w:p w14:paraId="0FDB9A04">
      <w:pPr>
        <w:numPr>
          <w:ilvl w:val="0"/>
          <w:numId w:val="5"/>
        </w:numPr>
        <w:autoSpaceDE w:val="0"/>
        <w:autoSpaceDN w:val="0"/>
        <w:adjustRightInd w:val="0"/>
        <w:snapToGrid w:val="0"/>
        <w:spacing w:line="480" w:lineRule="exact"/>
        <w:jc w:val="left"/>
        <w:rPr>
          <w:rFonts w:hint="eastAsia" w:ascii="宋体" w:hAnsi="宋体" w:cs="宋体"/>
          <w:sz w:val="24"/>
        </w:rPr>
      </w:pPr>
      <w:r>
        <w:rPr>
          <w:rFonts w:hint="eastAsia" w:ascii="宋体" w:hAnsi="宋体" w:cs="宋体"/>
          <w:sz w:val="24"/>
        </w:rPr>
        <w:t>投标文件中开标一览表内容与投标文件中明细表内容不一致的，以开标一览表为准。</w:t>
      </w:r>
    </w:p>
    <w:p w14:paraId="76B0540E">
      <w:pPr>
        <w:adjustRightInd w:val="0"/>
        <w:snapToGrid w:val="0"/>
        <w:spacing w:line="480" w:lineRule="exact"/>
        <w:rPr>
          <w:rFonts w:hint="eastAsia" w:ascii="宋体" w:hAnsi="宋体" w:cs="宋体"/>
          <w:b/>
          <w:bCs/>
          <w:sz w:val="24"/>
        </w:rPr>
      </w:pPr>
      <w:r>
        <w:rPr>
          <w:rFonts w:hint="eastAsia" w:ascii="宋体" w:hAnsi="宋体" w:cs="宋体"/>
          <w:b/>
          <w:bCs/>
          <w:sz w:val="24"/>
        </w:rPr>
        <w:t>3.2 详细评审</w:t>
      </w:r>
    </w:p>
    <w:p w14:paraId="65959DA9">
      <w:pPr>
        <w:adjustRightInd w:val="0"/>
        <w:snapToGrid w:val="0"/>
        <w:spacing w:line="480" w:lineRule="exact"/>
        <w:rPr>
          <w:rFonts w:hint="eastAsia" w:ascii="宋体" w:hAnsi="宋体" w:cs="宋体"/>
          <w:sz w:val="24"/>
          <w:lang w:val="zh-CN"/>
        </w:rPr>
      </w:pPr>
      <w:r>
        <w:rPr>
          <w:rFonts w:hint="eastAsia" w:ascii="宋体" w:hAnsi="宋体" w:cs="宋体"/>
          <w:sz w:val="24"/>
        </w:rPr>
        <w:t xml:space="preserve">3.2.1 </w:t>
      </w:r>
      <w:r>
        <w:rPr>
          <w:rFonts w:hint="eastAsia" w:ascii="宋体" w:hAnsi="宋体" w:cs="宋体"/>
          <w:sz w:val="24"/>
          <w:lang w:val="zh-CN"/>
        </w:rPr>
        <w:t>评标委员会按本章</w:t>
      </w:r>
      <w:r>
        <w:rPr>
          <w:rFonts w:hint="eastAsia" w:ascii="宋体" w:hAnsi="宋体" w:cs="宋体"/>
          <w:sz w:val="24"/>
        </w:rPr>
        <w:t>的</w:t>
      </w:r>
      <w:r>
        <w:rPr>
          <w:rFonts w:hint="eastAsia" w:ascii="宋体" w:hAnsi="宋体" w:cs="宋体"/>
          <w:sz w:val="24"/>
          <w:lang w:val="zh-CN"/>
        </w:rPr>
        <w:t>评分标准进行打分，并计算出综合评审得分。</w:t>
      </w:r>
    </w:p>
    <w:p w14:paraId="37CE50E9">
      <w:pPr>
        <w:adjustRightInd w:val="0"/>
        <w:snapToGrid w:val="0"/>
        <w:spacing w:line="480" w:lineRule="exact"/>
        <w:rPr>
          <w:rFonts w:hint="eastAsia" w:ascii="宋体" w:hAnsi="宋体" w:cs="宋体"/>
          <w:sz w:val="24"/>
          <w:lang w:val="zh-CN"/>
        </w:rPr>
      </w:pPr>
      <w:r>
        <w:rPr>
          <w:rFonts w:hint="eastAsia" w:ascii="宋体" w:hAnsi="宋体" w:cs="宋体"/>
          <w:sz w:val="24"/>
        </w:rPr>
        <w:t xml:space="preserve">3.2.2 </w:t>
      </w:r>
      <w:r>
        <w:rPr>
          <w:rFonts w:hint="eastAsia" w:ascii="宋体" w:hAnsi="宋体" w:cs="宋体"/>
          <w:sz w:val="24"/>
          <w:lang w:val="zh-CN"/>
        </w:rPr>
        <w:t>评标委员会发现投标人的投标总报价</w:t>
      </w:r>
      <w:r>
        <w:rPr>
          <w:rFonts w:hint="eastAsia" w:ascii="宋体" w:hAnsi="宋体" w:cs="宋体"/>
          <w:sz w:val="24"/>
        </w:rPr>
        <w:t>高</w:t>
      </w:r>
      <w:r>
        <w:rPr>
          <w:rFonts w:hint="eastAsia" w:ascii="宋体" w:hAnsi="宋体" w:cs="宋体"/>
          <w:sz w:val="24"/>
          <w:lang w:val="zh-CN"/>
        </w:rPr>
        <w:t>于</w:t>
      </w:r>
      <w:r>
        <w:rPr>
          <w:rFonts w:hint="eastAsia" w:ascii="宋体" w:hAnsi="宋体" w:cs="宋体"/>
          <w:sz w:val="24"/>
        </w:rPr>
        <w:t>招标文件规定的控制价</w:t>
      </w:r>
      <w:r>
        <w:rPr>
          <w:rFonts w:hint="eastAsia" w:ascii="宋体" w:hAnsi="宋体" w:cs="宋体"/>
          <w:sz w:val="24"/>
          <w:lang w:val="zh-CN"/>
        </w:rPr>
        <w:t>，评标委员会应按无效投标处理。</w:t>
      </w:r>
    </w:p>
    <w:p w14:paraId="0102BF6F">
      <w:pPr>
        <w:adjustRightInd w:val="0"/>
        <w:snapToGrid w:val="0"/>
        <w:spacing w:line="480" w:lineRule="exact"/>
        <w:rPr>
          <w:rFonts w:hint="eastAsia" w:ascii="宋体" w:hAnsi="宋体" w:cs="宋体"/>
          <w:b/>
          <w:bCs/>
          <w:sz w:val="24"/>
        </w:rPr>
      </w:pPr>
      <w:r>
        <w:rPr>
          <w:rFonts w:hint="eastAsia" w:ascii="宋体" w:hAnsi="宋体" w:cs="宋体"/>
          <w:b/>
          <w:bCs/>
          <w:sz w:val="24"/>
        </w:rPr>
        <w:t>3.3 投标文件的澄清和补正</w:t>
      </w:r>
    </w:p>
    <w:p w14:paraId="6176AF0F">
      <w:pPr>
        <w:adjustRightInd w:val="0"/>
        <w:snapToGrid w:val="0"/>
        <w:spacing w:line="480" w:lineRule="exact"/>
        <w:rPr>
          <w:rFonts w:hint="eastAsia" w:ascii="宋体" w:hAnsi="宋体" w:cs="宋体"/>
          <w:sz w:val="24"/>
          <w:lang w:val="zh-CN"/>
        </w:rPr>
      </w:pPr>
      <w:r>
        <w:rPr>
          <w:rFonts w:hint="eastAsia" w:ascii="宋体" w:hAnsi="宋体" w:cs="宋体"/>
          <w:sz w:val="24"/>
        </w:rPr>
        <w:t xml:space="preserve">3.3.1 </w:t>
      </w:r>
      <w:r>
        <w:rPr>
          <w:rFonts w:hint="eastAsia" w:ascii="宋体" w:hAnsi="宋体" w:cs="宋体"/>
          <w:sz w:val="24"/>
          <w:lang w:val="zh-CN"/>
        </w:rPr>
        <w:t>在评标过程中，评标委员会可以书面形式要求投标人对所提交投标文件中不明确的内容进行书面澄清或说明，或者对细微偏差进行补正。</w:t>
      </w:r>
    </w:p>
    <w:p w14:paraId="2126B2F6">
      <w:pPr>
        <w:adjustRightInd w:val="0"/>
        <w:snapToGrid w:val="0"/>
        <w:spacing w:line="480" w:lineRule="exact"/>
        <w:rPr>
          <w:rFonts w:hint="eastAsia" w:ascii="宋体" w:hAnsi="宋体" w:cs="宋体"/>
          <w:sz w:val="24"/>
          <w:lang w:val="zh-CN"/>
        </w:rPr>
      </w:pPr>
      <w:r>
        <w:rPr>
          <w:rFonts w:hint="eastAsia" w:ascii="宋体" w:hAnsi="宋体" w:cs="宋体"/>
          <w:sz w:val="24"/>
        </w:rPr>
        <w:t xml:space="preserve">3.3.2 </w:t>
      </w:r>
      <w:r>
        <w:rPr>
          <w:rFonts w:hint="eastAsia" w:ascii="宋体" w:hAnsi="宋体" w:cs="宋体"/>
          <w:sz w:val="24"/>
          <w:lang w:val="zh-CN"/>
        </w:rPr>
        <w:t>澄清、说明和补正不得改变投标文件的实质性内容（算术性错误修正的除外）。投标人的书面澄清、说明和补正属于投标文件的组成部分。</w:t>
      </w:r>
    </w:p>
    <w:p w14:paraId="64AC4482">
      <w:pPr>
        <w:adjustRightInd w:val="0"/>
        <w:snapToGrid w:val="0"/>
        <w:spacing w:line="480" w:lineRule="exact"/>
        <w:rPr>
          <w:rFonts w:hint="eastAsia" w:ascii="宋体" w:hAnsi="宋体" w:cs="宋体"/>
          <w:b/>
          <w:bCs/>
          <w:sz w:val="24"/>
        </w:rPr>
      </w:pPr>
      <w:r>
        <w:rPr>
          <w:rFonts w:hint="eastAsia" w:ascii="宋体" w:hAnsi="宋体" w:cs="宋体"/>
          <w:b/>
          <w:bCs/>
          <w:sz w:val="24"/>
        </w:rPr>
        <w:t>3.4 评标结果</w:t>
      </w:r>
    </w:p>
    <w:p w14:paraId="3FCD1175">
      <w:pPr>
        <w:adjustRightInd w:val="0"/>
        <w:snapToGrid w:val="0"/>
        <w:spacing w:line="480" w:lineRule="exact"/>
        <w:rPr>
          <w:rFonts w:hint="eastAsia" w:ascii="宋体" w:hAnsi="宋体" w:cs="宋体"/>
          <w:sz w:val="24"/>
          <w:lang w:val="zh-CN"/>
        </w:rPr>
      </w:pPr>
      <w:r>
        <w:rPr>
          <w:rFonts w:hint="eastAsia" w:ascii="宋体" w:hAnsi="宋体" w:cs="宋体"/>
          <w:sz w:val="24"/>
        </w:rPr>
        <w:t xml:space="preserve">3.4.1 </w:t>
      </w:r>
      <w:r>
        <w:rPr>
          <w:rFonts w:hint="eastAsia" w:ascii="宋体" w:hAnsi="宋体" w:cs="宋体"/>
          <w:sz w:val="24"/>
          <w:lang w:val="zh-CN"/>
        </w:rPr>
        <w:t>投标人得分=投标报价得分+技术部分得分+综合部分得分。</w:t>
      </w:r>
    </w:p>
    <w:p w14:paraId="3923945D">
      <w:pPr>
        <w:adjustRightInd w:val="0"/>
        <w:snapToGrid w:val="0"/>
        <w:spacing w:line="480" w:lineRule="exact"/>
        <w:rPr>
          <w:rFonts w:hint="eastAsia" w:ascii="宋体" w:hAnsi="宋体" w:cs="宋体"/>
          <w:sz w:val="24"/>
          <w:lang w:val="zh-CN"/>
        </w:rPr>
      </w:pPr>
      <w:r>
        <w:rPr>
          <w:rFonts w:hint="eastAsia" w:ascii="宋体" w:hAnsi="宋体" w:cs="宋体"/>
          <w:sz w:val="24"/>
        </w:rPr>
        <w:t>3.4.2</w:t>
      </w:r>
      <w:r>
        <w:rPr>
          <w:rFonts w:hint="eastAsia" w:ascii="宋体" w:hAnsi="宋体" w:cs="宋体"/>
          <w:sz w:val="24"/>
          <w:lang w:val="zh-CN"/>
        </w:rPr>
        <w:t>投标人最终得分为评标委员会完成评审后所有评分的算术平均值，作为该投标人最终得分。</w:t>
      </w:r>
    </w:p>
    <w:p w14:paraId="24FF8BFA">
      <w:pPr>
        <w:adjustRightInd w:val="0"/>
        <w:snapToGrid w:val="0"/>
        <w:spacing w:line="480" w:lineRule="exact"/>
        <w:rPr>
          <w:rFonts w:hint="eastAsia" w:ascii="宋体" w:hAnsi="宋体" w:cs="宋体"/>
          <w:sz w:val="24"/>
          <w:lang w:val="zh-CN"/>
        </w:rPr>
      </w:pPr>
      <w:r>
        <w:rPr>
          <w:rFonts w:hint="eastAsia" w:ascii="宋体" w:hAnsi="宋体" w:cs="宋体"/>
          <w:sz w:val="24"/>
        </w:rPr>
        <w:t xml:space="preserve">3.4.3 </w:t>
      </w:r>
      <w:r>
        <w:rPr>
          <w:rFonts w:hint="eastAsia" w:ascii="宋体" w:hAnsi="宋体" w:cs="宋体"/>
          <w:sz w:val="24"/>
          <w:lang w:val="zh-CN"/>
        </w:rPr>
        <w:t>投标人最终得分相同的，投标报价</w:t>
      </w:r>
      <w:r>
        <w:rPr>
          <w:rFonts w:hint="eastAsia" w:ascii="宋体" w:hAnsi="宋体" w:cs="宋体"/>
          <w:sz w:val="24"/>
        </w:rPr>
        <w:t>低</w:t>
      </w:r>
      <w:r>
        <w:rPr>
          <w:rFonts w:hint="eastAsia" w:ascii="宋体" w:hAnsi="宋体" w:cs="宋体"/>
          <w:sz w:val="24"/>
          <w:lang w:val="zh-CN"/>
        </w:rPr>
        <w:t>的优先，</w:t>
      </w:r>
      <w:r>
        <w:rPr>
          <w:rFonts w:hint="eastAsia" w:ascii="宋体" w:hAnsi="宋体" w:cs="宋体"/>
          <w:sz w:val="24"/>
        </w:rPr>
        <w:t>投标报价也相同的以技术得分高的优先，技术得分也相同的由采购人自行确定</w:t>
      </w:r>
      <w:r>
        <w:rPr>
          <w:rFonts w:hint="eastAsia" w:ascii="宋体" w:hAnsi="宋体" w:cs="宋体"/>
          <w:sz w:val="24"/>
          <w:lang w:val="zh-CN"/>
        </w:rPr>
        <w:t>。</w:t>
      </w:r>
    </w:p>
    <w:p w14:paraId="7AA9C7A4">
      <w:pPr>
        <w:adjustRightInd w:val="0"/>
        <w:snapToGrid w:val="0"/>
        <w:spacing w:line="480" w:lineRule="exact"/>
        <w:rPr>
          <w:rFonts w:hint="eastAsia" w:ascii="宋体" w:hAnsi="宋体" w:cs="宋体"/>
          <w:sz w:val="24"/>
          <w:lang w:val="zh-CN"/>
        </w:rPr>
      </w:pPr>
      <w:r>
        <w:rPr>
          <w:rFonts w:hint="eastAsia" w:ascii="宋体" w:hAnsi="宋体" w:cs="宋体"/>
          <w:sz w:val="24"/>
        </w:rPr>
        <w:t xml:space="preserve">3.4.4 </w:t>
      </w:r>
      <w:r>
        <w:rPr>
          <w:rFonts w:hint="eastAsia" w:ascii="宋体" w:hAnsi="宋体" w:cs="宋体"/>
          <w:sz w:val="24"/>
          <w:lang w:val="zh-CN"/>
        </w:rPr>
        <w:t>计分过程中按四舍五入的法则，最终结果取至小数点后两位。</w:t>
      </w:r>
    </w:p>
    <w:p w14:paraId="5E5CC5E7">
      <w:pPr>
        <w:adjustRightInd w:val="0"/>
        <w:snapToGrid w:val="0"/>
        <w:spacing w:line="480" w:lineRule="exact"/>
        <w:rPr>
          <w:rFonts w:hint="eastAsia" w:ascii="宋体" w:hAnsi="宋体" w:cs="宋体"/>
          <w:sz w:val="24"/>
          <w:lang w:val="zh-CN"/>
        </w:rPr>
      </w:pPr>
      <w:r>
        <w:rPr>
          <w:rFonts w:hint="eastAsia" w:ascii="宋体" w:hAnsi="宋体" w:cs="宋体"/>
          <w:sz w:val="24"/>
        </w:rPr>
        <w:t xml:space="preserve">3.4.5 </w:t>
      </w:r>
      <w:r>
        <w:rPr>
          <w:rFonts w:hint="eastAsia" w:ascii="宋体" w:hAnsi="宋体" w:cs="宋体"/>
          <w:sz w:val="24"/>
          <w:lang w:val="zh-CN"/>
        </w:rPr>
        <w:t>评标委员会按照得分由高到低的顺序推荐</w:t>
      </w:r>
      <w:r>
        <w:rPr>
          <w:rFonts w:hint="eastAsia" w:ascii="宋体" w:hAnsi="宋体" w:cs="宋体"/>
          <w:sz w:val="24"/>
        </w:rPr>
        <w:t>3名</w:t>
      </w:r>
      <w:r>
        <w:rPr>
          <w:rFonts w:hint="eastAsia" w:ascii="宋体" w:hAnsi="宋体" w:cs="宋体"/>
          <w:sz w:val="24"/>
          <w:lang w:val="zh-CN"/>
        </w:rPr>
        <w:t>中标候选人。</w:t>
      </w:r>
    </w:p>
    <w:p w14:paraId="28211B57">
      <w:pPr>
        <w:adjustRightInd w:val="0"/>
        <w:snapToGrid w:val="0"/>
        <w:spacing w:line="480" w:lineRule="exact"/>
        <w:rPr>
          <w:rFonts w:hint="eastAsia" w:ascii="宋体" w:hAnsi="宋体" w:cs="宋体"/>
          <w:sz w:val="24"/>
          <w:lang w:val="zh-CN"/>
        </w:rPr>
      </w:pPr>
      <w:r>
        <w:rPr>
          <w:rFonts w:hint="eastAsia" w:ascii="宋体" w:hAnsi="宋体" w:cs="宋体"/>
          <w:sz w:val="24"/>
        </w:rPr>
        <w:t xml:space="preserve">3.4.6 </w:t>
      </w:r>
      <w:r>
        <w:rPr>
          <w:rFonts w:hint="eastAsia" w:ascii="宋体" w:hAnsi="宋体" w:cs="宋体"/>
          <w:sz w:val="24"/>
          <w:lang w:val="zh-CN"/>
        </w:rPr>
        <w:t>评标委员会完成评标后，应当向采购人提交书面评标报告。</w:t>
      </w:r>
    </w:p>
    <w:p w14:paraId="1922AC14">
      <w:pPr>
        <w:adjustRightInd w:val="0"/>
        <w:snapToGrid w:val="0"/>
        <w:spacing w:line="480" w:lineRule="exact"/>
        <w:rPr>
          <w:rFonts w:hint="eastAsia" w:ascii="宋体" w:hAnsi="宋体" w:cs="宋体"/>
          <w:b/>
          <w:bCs/>
          <w:sz w:val="24"/>
          <w:lang w:val="zh-CN"/>
        </w:rPr>
      </w:pPr>
      <w:r>
        <w:rPr>
          <w:rFonts w:hint="eastAsia" w:ascii="宋体" w:hAnsi="宋体" w:cs="宋体"/>
          <w:b/>
          <w:bCs/>
          <w:sz w:val="24"/>
        </w:rPr>
        <w:t xml:space="preserve">3.5 </w:t>
      </w:r>
      <w:r>
        <w:rPr>
          <w:rFonts w:hint="eastAsia" w:ascii="宋体" w:hAnsi="宋体" w:cs="宋体"/>
          <w:b/>
          <w:bCs/>
          <w:sz w:val="24"/>
          <w:lang w:val="zh-CN"/>
        </w:rPr>
        <w:t>顺延中标人或重新招标</w:t>
      </w:r>
    </w:p>
    <w:p w14:paraId="62303C14">
      <w:pPr>
        <w:adjustRightInd w:val="0"/>
        <w:snapToGrid w:val="0"/>
        <w:spacing w:line="480" w:lineRule="exact"/>
        <w:ind w:firstLine="480" w:firstLineChars="200"/>
        <w:rPr>
          <w:rFonts w:hint="eastAsia" w:ascii="宋体" w:hAnsi="宋体" w:cs="宋体"/>
          <w:sz w:val="24"/>
          <w:lang w:val="zh-CN"/>
        </w:rPr>
      </w:pPr>
      <w:r>
        <w:rPr>
          <w:rFonts w:hint="eastAsia" w:ascii="宋体" w:hAnsi="宋体" w:cs="宋体"/>
          <w:sz w:val="24"/>
          <w:lang w:val="zh-CN"/>
        </w:rPr>
        <w:t>中标人因不可抗力不能履行政府采购合同的，采购人可以与排位在中标人之后第一位的中标候选人签订政府采购合同，或者重新采购。</w:t>
      </w:r>
    </w:p>
    <w:p w14:paraId="6F7DA9AC">
      <w:pPr>
        <w:adjustRightInd w:val="0"/>
        <w:snapToGrid w:val="0"/>
        <w:spacing w:line="480" w:lineRule="exact"/>
        <w:rPr>
          <w:rFonts w:hint="eastAsia" w:ascii="宋体" w:hAnsi="宋体" w:cs="宋体"/>
          <w:b/>
          <w:bCs/>
          <w:sz w:val="24"/>
        </w:rPr>
      </w:pPr>
      <w:bookmarkStart w:id="261" w:name="_Toc28863"/>
      <w:bookmarkStart w:id="262" w:name="_Toc54"/>
      <w:bookmarkStart w:id="263" w:name="_Toc7468"/>
      <w:bookmarkStart w:id="264" w:name="_Toc19590"/>
      <w:bookmarkStart w:id="265" w:name="_Toc16293"/>
      <w:bookmarkStart w:id="266" w:name="_Toc17922"/>
      <w:bookmarkStart w:id="267" w:name="_Toc11630"/>
      <w:r>
        <w:rPr>
          <w:rFonts w:hint="eastAsia" w:ascii="宋体" w:hAnsi="宋体" w:cs="宋体"/>
          <w:b/>
          <w:bCs/>
          <w:sz w:val="24"/>
        </w:rPr>
        <w:t>3.6 保密及其他注意事项</w:t>
      </w:r>
      <w:bookmarkEnd w:id="261"/>
      <w:bookmarkEnd w:id="262"/>
      <w:bookmarkEnd w:id="263"/>
      <w:bookmarkEnd w:id="264"/>
      <w:bookmarkEnd w:id="265"/>
      <w:bookmarkEnd w:id="266"/>
      <w:bookmarkEnd w:id="267"/>
    </w:p>
    <w:p w14:paraId="42E32697">
      <w:pPr>
        <w:adjustRightInd w:val="0"/>
        <w:snapToGrid w:val="0"/>
        <w:spacing w:line="480" w:lineRule="exact"/>
        <w:rPr>
          <w:rFonts w:hint="eastAsia" w:ascii="宋体" w:hAnsi="宋体" w:cs="宋体"/>
          <w:sz w:val="24"/>
          <w:lang w:val="zh-CN"/>
        </w:rPr>
      </w:pPr>
      <w:r>
        <w:rPr>
          <w:rFonts w:hint="eastAsia" w:ascii="宋体" w:hAnsi="宋体" w:cs="宋体"/>
          <w:sz w:val="24"/>
        </w:rPr>
        <w:t xml:space="preserve">3.6.1 </w:t>
      </w:r>
      <w:r>
        <w:rPr>
          <w:rFonts w:hint="eastAsia" w:ascii="宋体" w:hAnsi="宋体" w:cs="宋体"/>
          <w:sz w:val="24"/>
          <w:lang w:val="zh-CN"/>
        </w:rPr>
        <w:t>在评标期间，投标企业不得向评标委员会成员询问评标情况，不得进行旨在影响中标结果的活动。</w:t>
      </w:r>
    </w:p>
    <w:p w14:paraId="1F4C597B">
      <w:pPr>
        <w:adjustRightInd w:val="0"/>
        <w:snapToGrid w:val="0"/>
        <w:spacing w:line="480" w:lineRule="exact"/>
        <w:rPr>
          <w:rFonts w:hint="eastAsia" w:ascii="宋体" w:hAnsi="宋体" w:cs="宋体"/>
          <w:sz w:val="24"/>
          <w:lang w:val="zh-CN"/>
        </w:rPr>
      </w:pPr>
      <w:r>
        <w:rPr>
          <w:rFonts w:hint="eastAsia" w:ascii="宋体" w:hAnsi="宋体" w:cs="宋体"/>
          <w:sz w:val="24"/>
        </w:rPr>
        <w:t xml:space="preserve">3.6.2 </w:t>
      </w:r>
      <w:r>
        <w:rPr>
          <w:rFonts w:hint="eastAsia" w:ascii="宋体" w:hAnsi="宋体" w:cs="宋体"/>
          <w:sz w:val="24"/>
          <w:lang w:val="zh-CN"/>
        </w:rPr>
        <w:t>在评标结束后，凡与评标情况有接触的任何人不得也不应将评标情况扩散出评标委员会成员之外。</w:t>
      </w:r>
    </w:p>
    <w:p w14:paraId="4F11895E">
      <w:pPr>
        <w:adjustRightInd w:val="0"/>
        <w:snapToGrid w:val="0"/>
        <w:spacing w:line="480" w:lineRule="exact"/>
        <w:rPr>
          <w:rFonts w:hint="eastAsia" w:ascii="宋体" w:hAnsi="宋体" w:cs="宋体"/>
          <w:sz w:val="24"/>
        </w:rPr>
      </w:pPr>
      <w:r>
        <w:rPr>
          <w:rFonts w:hint="eastAsia" w:ascii="宋体" w:hAnsi="宋体" w:cs="宋体"/>
          <w:sz w:val="24"/>
        </w:rPr>
        <w:t>3.6.3</w:t>
      </w:r>
      <w:r>
        <w:rPr>
          <w:rFonts w:hint="eastAsia" w:ascii="宋体" w:hAnsi="宋体" w:cs="宋体"/>
          <w:sz w:val="24"/>
          <w:lang w:val="zh-CN"/>
        </w:rPr>
        <w:t>招标代理机构不向落标方解释落标原因，不退还投标文件。</w:t>
      </w:r>
    </w:p>
    <w:p w14:paraId="6ECFB223">
      <w:pPr>
        <w:tabs>
          <w:tab w:val="left" w:pos="720"/>
        </w:tabs>
        <w:spacing w:line="480" w:lineRule="exact"/>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bCs/>
          <w:kern w:val="0"/>
          <w:szCs w:val="21"/>
        </w:rPr>
        <w:br w:type="page"/>
      </w:r>
    </w:p>
    <w:p w14:paraId="30F1E47F">
      <w:pPr>
        <w:pStyle w:val="9"/>
        <w:spacing w:line="500" w:lineRule="exact"/>
        <w:rPr>
          <w:rFonts w:hint="eastAsia" w:ascii="宋体" w:hAnsi="宋体" w:cs="宋体"/>
          <w:sz w:val="32"/>
          <w:szCs w:val="32"/>
        </w:rPr>
      </w:pPr>
      <w:r>
        <w:rPr>
          <w:rFonts w:hint="eastAsia"/>
          <w:sz w:val="32"/>
          <w:szCs w:val="32"/>
        </w:rPr>
        <w:t>第四章 合同条款及格式</w:t>
      </w:r>
      <w:bookmarkEnd w:id="247"/>
      <w:bookmarkEnd w:id="248"/>
      <w:bookmarkEnd w:id="249"/>
      <w:bookmarkEnd w:id="250"/>
      <w:r>
        <w:rPr>
          <w:rFonts w:hint="eastAsia"/>
          <w:sz w:val="32"/>
          <w:szCs w:val="32"/>
        </w:rPr>
        <w:t xml:space="preserve"> （仅供参考）</w:t>
      </w:r>
      <w:bookmarkEnd w:id="251"/>
      <w:bookmarkStart w:id="268" w:name="_Toc12807"/>
    </w:p>
    <w:p w14:paraId="4AD7B8AC">
      <w:pPr>
        <w:adjustRightInd w:val="0"/>
        <w:spacing w:line="500" w:lineRule="exact"/>
        <w:ind w:firstLine="480" w:firstLineChars="200"/>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甲方：（采购单位）</w:t>
      </w:r>
    </w:p>
    <w:p w14:paraId="50D484D6">
      <w:pPr>
        <w:adjustRightInd w:val="0"/>
        <w:spacing w:line="500" w:lineRule="exact"/>
        <w:ind w:firstLine="480" w:firstLineChars="200"/>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乙方：（供应商 ）</w:t>
      </w:r>
    </w:p>
    <w:p w14:paraId="03F8E43B">
      <w:pPr>
        <w:adjustRightInd w:val="0"/>
        <w:spacing w:line="500" w:lineRule="exact"/>
        <w:ind w:firstLine="480" w:firstLineChars="200"/>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甲、乙双方持采购人、采购代理公司签发的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采购项目成交通知书，根据采购文件、响应性文件的内容，并经双方协商一致，达成以下合同条款：</w:t>
      </w:r>
    </w:p>
    <w:p w14:paraId="7E5860C7">
      <w:pPr>
        <w:adjustRightInd w:val="0"/>
        <w:spacing w:line="500" w:lineRule="exact"/>
        <w:ind w:firstLine="480" w:firstLineChars="200"/>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一、本合同所指货物为此次采购的货物（注明品名、规格、数量、单价等技术要求），合同总价款为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元（大写）</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p>
    <w:p w14:paraId="1F85BF16">
      <w:pPr>
        <w:adjustRightInd w:val="0"/>
        <w:spacing w:line="500" w:lineRule="exact"/>
        <w:ind w:firstLine="480" w:firstLineChars="200"/>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二、货物质量要求及乙方对质量负责条件和期限：</w:t>
      </w:r>
    </w:p>
    <w:p w14:paraId="69006E28">
      <w:pPr>
        <w:adjustRightInd w:val="0"/>
        <w:spacing w:line="500" w:lineRule="exact"/>
        <w:ind w:firstLine="480" w:firstLineChars="200"/>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乙方提供的货物达到乙方响应文件及澄清中的技术标准。（售后服务要求按采购文件及响应性文件相应条款制订）</w:t>
      </w:r>
    </w:p>
    <w:p w14:paraId="508ED317">
      <w:pPr>
        <w:adjustRightInd w:val="0"/>
        <w:spacing w:line="500" w:lineRule="exact"/>
        <w:ind w:firstLine="480" w:firstLineChars="200"/>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三、交货时间、地点、方式、验收：</w:t>
      </w:r>
    </w:p>
    <w:p w14:paraId="1244FC0A">
      <w:pPr>
        <w:adjustRightInd w:val="0"/>
        <w:spacing w:line="500" w:lineRule="exact"/>
        <w:ind w:firstLine="480" w:firstLineChars="200"/>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乙方应于2025年 月 日前按甲方要求在</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（甲方指定地点）将货物运送达到验收条件。货物运送产生的费用由乙方负责。由甲方组织相关人员进行验收。</w:t>
      </w:r>
    </w:p>
    <w:p w14:paraId="7B85C792">
      <w:pPr>
        <w:numPr>
          <w:ilvl w:val="0"/>
          <w:numId w:val="6"/>
        </w:numPr>
        <w:adjustRightInd w:val="0"/>
        <w:spacing w:line="500" w:lineRule="exact"/>
        <w:ind w:firstLine="480"/>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付款方式：</w:t>
      </w:r>
      <w:r>
        <w:rPr>
          <w:rFonts w:hint="eastAsia" w:ascii="宋体" w:hAnsi="宋体" w:cs="宋体"/>
          <w:bCs/>
          <w:sz w:val="24"/>
        </w:rPr>
        <w:t>自项目合同签订后支付合同价的30%作为预付款，供货安装调试完毕后（初验）支付合同价的30%，终验合格后支付合同价40%。</w:t>
      </w:r>
    </w:p>
    <w:p w14:paraId="5646383B">
      <w:pPr>
        <w:numPr>
          <w:ilvl w:val="0"/>
          <w:numId w:val="6"/>
        </w:numPr>
        <w:adjustRightInd w:val="0"/>
        <w:spacing w:line="500" w:lineRule="exact"/>
        <w:ind w:firstLine="480"/>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违约责任：甲方无正当理由拒收货物、拒付货款的，向乙方偿付拒收拒付部分货物款总额的________违约金。</w:t>
      </w:r>
    </w:p>
    <w:p w14:paraId="5EE80394">
      <w:pPr>
        <w:adjustRightInd w:val="0"/>
        <w:spacing w:line="500" w:lineRule="exact"/>
        <w:ind w:firstLine="480" w:firstLineChars="200"/>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乙方所交货物的规格型号、技术要求、质量品质等不符合合同规定，甲方有权拒收货物，乙方应负责更换并承担因更换而支付的全部实际费用。因更换而造成逾期交货，则按逾期交货处理。</w:t>
      </w:r>
    </w:p>
    <w:p w14:paraId="05DE1DEF">
      <w:pPr>
        <w:adjustRightInd w:val="0"/>
        <w:spacing w:line="500" w:lineRule="exact"/>
        <w:ind w:firstLine="480" w:firstLineChars="200"/>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乙方不能交付货物的，乙方向甲方支付未交付部分货物款总额____违约金。</w:t>
      </w:r>
    </w:p>
    <w:p w14:paraId="352F1325">
      <w:pPr>
        <w:adjustRightInd w:val="0"/>
        <w:spacing w:line="500" w:lineRule="exact"/>
        <w:ind w:firstLine="480" w:firstLineChars="200"/>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若因中标人原因不能按期按质供货的，将扣除中标人1万元的违约金，同时每超过一天另扣除合同金额的千分之一。</w:t>
      </w:r>
    </w:p>
    <w:p w14:paraId="69FE4A8E">
      <w:pPr>
        <w:adjustRightInd w:val="0"/>
        <w:spacing w:line="500" w:lineRule="exact"/>
        <w:ind w:firstLine="480" w:firstLineChars="200"/>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六、因货物的质量问题发生争议，由甲方所在地市级技术监督单位进行质量鉴定。</w:t>
      </w:r>
    </w:p>
    <w:p w14:paraId="5B7F1ACD">
      <w:pPr>
        <w:adjustRightInd w:val="0"/>
        <w:spacing w:line="500" w:lineRule="exact"/>
        <w:ind w:firstLine="480" w:firstLineChars="200"/>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七、甲乙双方应严格遵守投标要求和供应商须知，如有违反，按投标要求和供应商须知规定予以处理。</w:t>
      </w:r>
    </w:p>
    <w:p w14:paraId="363415EC">
      <w:pPr>
        <w:adjustRightInd w:val="0"/>
        <w:spacing w:line="500" w:lineRule="exact"/>
        <w:ind w:firstLine="480" w:firstLineChars="200"/>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八、采购文件及其修改补充、投标文件及其修改补充澄清均为本合同的组成部分。</w:t>
      </w:r>
    </w:p>
    <w:p w14:paraId="0739C459">
      <w:pPr>
        <w:adjustRightInd w:val="0"/>
        <w:spacing w:line="500" w:lineRule="exact"/>
        <w:ind w:firstLine="480" w:firstLineChars="200"/>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九、本合同发生争议时双方应按合同条款协商解决。双方协商不成的，可以根据仲裁协议向当地仲裁机构申请仲裁。当事人没有订立仲裁协议或者仲裁协议无效的，可以向当地人民法院起诉。</w:t>
      </w:r>
    </w:p>
    <w:p w14:paraId="4E2E33FE">
      <w:pPr>
        <w:adjustRightInd w:val="0"/>
        <w:spacing w:line="500" w:lineRule="exact"/>
        <w:ind w:firstLine="480" w:firstLineChars="200"/>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十、合同生效及其它：</w:t>
      </w:r>
    </w:p>
    <w:p w14:paraId="5D8D70D0">
      <w:pPr>
        <w:adjustRightInd w:val="0"/>
        <w:spacing w:line="500" w:lineRule="exact"/>
        <w:ind w:firstLine="480" w:firstLineChars="200"/>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本合同经甲、乙双方代表签字、加盖公章和骑缝章后生效。本合同一式五份，甲乙双方各持两份。合同签订后在2个工作日内，采购人将合同在焦作市政府采购网公示并备案。</w:t>
      </w:r>
    </w:p>
    <w:p w14:paraId="162DB7BA">
      <w:pPr>
        <w:pStyle w:val="4"/>
      </w:pPr>
    </w:p>
    <w:p w14:paraId="72EE1E14">
      <w:pPr>
        <w:adjustRightInd w:val="0"/>
        <w:spacing w:line="500" w:lineRule="exact"/>
        <w:ind w:firstLine="480" w:firstLineChars="200"/>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乙方：</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 xml:space="preserve">              甲方：</w:t>
      </w:r>
    </w:p>
    <w:p w14:paraId="3404D85B">
      <w:pPr>
        <w:adjustRightInd w:val="0"/>
        <w:spacing w:line="500" w:lineRule="exact"/>
        <w:ind w:firstLine="480" w:firstLineChars="200"/>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地址：</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 xml:space="preserve">              地址：</w:t>
      </w:r>
    </w:p>
    <w:p w14:paraId="38ECF4E6">
      <w:pPr>
        <w:adjustRightInd w:val="0"/>
        <w:spacing w:line="500" w:lineRule="exact"/>
        <w:ind w:firstLine="480" w:firstLineChars="200"/>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                   法定代表人：</w:t>
      </w:r>
    </w:p>
    <w:p w14:paraId="757BED39">
      <w:pPr>
        <w:adjustRightInd w:val="0"/>
        <w:spacing w:line="500" w:lineRule="exact"/>
        <w:ind w:firstLine="480" w:firstLineChars="200"/>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委托代理人：                   委托代理人：</w:t>
      </w:r>
    </w:p>
    <w:p w14:paraId="2E48A376">
      <w:pPr>
        <w:adjustRightInd w:val="0"/>
        <w:spacing w:line="500" w:lineRule="exact"/>
        <w:ind w:firstLine="480" w:firstLineChars="200"/>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电话：</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 xml:space="preserve">                         电话：</w:t>
      </w:r>
    </w:p>
    <w:p w14:paraId="33B3B42B">
      <w:pPr>
        <w:adjustRightInd w:val="0"/>
        <w:spacing w:line="500" w:lineRule="exact"/>
        <w:ind w:firstLine="480" w:firstLineChars="200"/>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开户银行：</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 xml:space="preserve">                  开户银行：</w:t>
      </w:r>
    </w:p>
    <w:p w14:paraId="1013A858">
      <w:pPr>
        <w:adjustRightInd w:val="0"/>
        <w:spacing w:line="500" w:lineRule="exact"/>
        <w:ind w:firstLine="480" w:firstLineChars="200"/>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银行账号：</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 xml:space="preserve">                  银行账号：</w:t>
      </w:r>
    </w:p>
    <w:p w14:paraId="5D2DFFD3">
      <w:pPr>
        <w:adjustRightInd w:val="0"/>
        <w:spacing w:line="500" w:lineRule="exact"/>
        <w:ind w:firstLine="480" w:firstLineChars="200"/>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签约时间：                     签约地点：</w:t>
      </w:r>
    </w:p>
    <w:p w14:paraId="48BC22E9">
      <w:pPr>
        <w:adjustRightInd w:val="0"/>
        <w:spacing w:line="500" w:lineRule="exact"/>
        <w:ind w:firstLine="482" w:firstLineChars="200"/>
        <w:textAlignment w:val="baseline"/>
        <w:rPr>
          <w:rFonts w:hint="eastAsia" w:asciiTheme="minorEastAsia" w:hAnsiTheme="minorEastAsia" w:eastAsiaTheme="minorEastAsia" w:cstheme="minorEastAsia"/>
          <w:b/>
          <w:bCs/>
          <w:sz w:val="24"/>
        </w:rPr>
      </w:pPr>
    </w:p>
    <w:p w14:paraId="749415A4">
      <w:pPr>
        <w:adjustRightInd w:val="0"/>
        <w:spacing w:line="500" w:lineRule="exact"/>
        <w:ind w:firstLine="482" w:firstLineChars="200"/>
        <w:textAlignment w:val="baseline"/>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重要提示：以上合同文本作为签订合同的重要依据，涉及付款方式、供应商名称等实质性内容不得变更。</w:t>
      </w:r>
    </w:p>
    <w:p w14:paraId="700F1BFA">
      <w:pPr>
        <w:widowControl/>
        <w:jc w:val="left"/>
        <w:rPr>
          <w:b/>
          <w:bCs/>
          <w:sz w:val="32"/>
          <w:szCs w:val="32"/>
        </w:rPr>
      </w:pPr>
      <w:bookmarkStart w:id="269" w:name="_Toc8682"/>
      <w:r>
        <w:rPr>
          <w:b/>
          <w:bCs/>
          <w:sz w:val="32"/>
          <w:szCs w:val="32"/>
        </w:rPr>
        <w:br w:type="page"/>
      </w:r>
    </w:p>
    <w:p w14:paraId="0EB13923">
      <w:pPr>
        <w:bidi w:val="0"/>
        <w:jc w:val="center"/>
        <w:rPr>
          <w:b/>
          <w:bCs/>
          <w:sz w:val="32"/>
          <w:szCs w:val="32"/>
        </w:rPr>
      </w:pPr>
      <w:r>
        <w:rPr>
          <w:rFonts w:hint="eastAsia"/>
          <w:b/>
          <w:bCs/>
          <w:sz w:val="32"/>
          <w:szCs w:val="32"/>
        </w:rPr>
        <w:t>第</w:t>
      </w:r>
      <w:r>
        <w:rPr>
          <w:rFonts w:hint="eastAsia"/>
          <w:b/>
          <w:bCs/>
          <w:sz w:val="32"/>
          <w:szCs w:val="32"/>
          <w:lang w:val="en-US" w:eastAsia="zh-CN"/>
        </w:rPr>
        <w:t>五</w:t>
      </w:r>
      <w:r>
        <w:rPr>
          <w:rFonts w:hint="eastAsia"/>
          <w:b/>
          <w:bCs/>
          <w:sz w:val="32"/>
          <w:szCs w:val="32"/>
        </w:rPr>
        <w:t>章</w:t>
      </w:r>
      <w:r>
        <w:rPr>
          <w:rFonts w:hint="eastAsia"/>
          <w:b/>
          <w:bCs/>
          <w:sz w:val="32"/>
          <w:szCs w:val="32"/>
          <w:lang w:val="en-US" w:eastAsia="zh-CN"/>
        </w:rPr>
        <w:t xml:space="preserve"> </w:t>
      </w:r>
      <w:r>
        <w:rPr>
          <w:rFonts w:hint="eastAsia"/>
          <w:b/>
          <w:bCs/>
          <w:sz w:val="32"/>
          <w:szCs w:val="32"/>
        </w:rPr>
        <w:t>采购内容及技术要求</w:t>
      </w:r>
      <w:bookmarkEnd w:id="269"/>
    </w:p>
    <w:p w14:paraId="3FE9BC2C">
      <w:pPr>
        <w:tabs>
          <w:tab w:val="left" w:pos="170"/>
          <w:tab w:val="left" w:pos="303"/>
          <w:tab w:val="left" w:pos="420"/>
        </w:tabs>
        <w:adjustRightInd w:val="0"/>
        <w:snapToGrid w:val="0"/>
        <w:spacing w:line="480" w:lineRule="exact"/>
        <w:outlineLvl w:val="1"/>
        <w:rPr>
          <w:rFonts w:hint="eastAsia" w:ascii="宋体" w:hAnsi="宋体" w:cs="宋体"/>
          <w:b/>
          <w:sz w:val="24"/>
        </w:rPr>
      </w:pPr>
      <w:r>
        <w:rPr>
          <w:rFonts w:hint="eastAsia" w:ascii="宋体" w:hAnsi="宋体" w:cs="宋体"/>
          <w:b/>
          <w:sz w:val="24"/>
        </w:rPr>
        <w:t>一、技术要求</w:t>
      </w:r>
    </w:p>
    <w:tbl>
      <w:tblPr>
        <w:tblStyle w:val="30"/>
        <w:tblW w:w="9437" w:type="dxa"/>
        <w:tblInd w:w="-357" w:type="dxa"/>
        <w:tblLayout w:type="fixed"/>
        <w:tblCellMar>
          <w:top w:w="0" w:type="dxa"/>
          <w:left w:w="108" w:type="dxa"/>
          <w:bottom w:w="0" w:type="dxa"/>
          <w:right w:w="108" w:type="dxa"/>
        </w:tblCellMar>
      </w:tblPr>
      <w:tblGrid>
        <w:gridCol w:w="667"/>
        <w:gridCol w:w="1188"/>
        <w:gridCol w:w="5977"/>
        <w:gridCol w:w="810"/>
        <w:gridCol w:w="795"/>
      </w:tblGrid>
      <w:tr w14:paraId="6B4AF613">
        <w:trPr>
          <w:trHeight w:val="567" w:hRule="atLeast"/>
        </w:trPr>
        <w:tc>
          <w:tcPr>
            <w:tcW w:w="667"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1FFFC9EA">
            <w:pPr>
              <w:keepNext w:val="0"/>
              <w:keepLines w:val="0"/>
              <w:pageBreakBefore w:val="0"/>
              <w:widowControl w:val="0"/>
              <w:kinsoku w:val="0"/>
              <w:wordWrap/>
              <w:overflowPunct w:val="0"/>
              <w:topLinePunct w:val="0"/>
              <w:autoSpaceDE w:val="0"/>
              <w:autoSpaceDN w:val="0"/>
              <w:bidi w:val="0"/>
              <w:adjustRightInd w:val="0"/>
              <w:snapToGrid w:val="0"/>
              <w:spacing w:line="240" w:lineRule="auto"/>
              <w:ind w:left="0" w:leftChars="0" w:right="0" w:rightChars="0" w:firstLine="0"/>
              <w:jc w:val="center"/>
              <w:textAlignment w:val="auto"/>
              <w:rPr>
                <w:sz w:val="22"/>
                <w:szCs w:val="28"/>
              </w:rPr>
            </w:pPr>
            <w:r>
              <w:rPr>
                <w:rFonts w:ascii="Do7esOBB+FangSong" w:hAnsi="Do7esOBB+FangSong" w:eastAsia="Do7esOBB+FangSong"/>
                <w:b/>
                <w:color w:val="000000"/>
                <w:sz w:val="24"/>
                <w:szCs w:val="28"/>
              </w:rPr>
              <w:t>序号</w:t>
            </w:r>
          </w:p>
        </w:tc>
        <w:tc>
          <w:tcPr>
            <w:tcW w:w="1188"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5ACD163A">
            <w:pPr>
              <w:keepNext w:val="0"/>
              <w:keepLines w:val="0"/>
              <w:pageBreakBefore w:val="0"/>
              <w:widowControl w:val="0"/>
              <w:kinsoku w:val="0"/>
              <w:wordWrap/>
              <w:overflowPunct w:val="0"/>
              <w:topLinePunct w:val="0"/>
              <w:autoSpaceDE w:val="0"/>
              <w:autoSpaceDN w:val="0"/>
              <w:bidi w:val="0"/>
              <w:adjustRightInd w:val="0"/>
              <w:snapToGrid w:val="0"/>
              <w:spacing w:line="240" w:lineRule="auto"/>
              <w:ind w:left="0" w:leftChars="0" w:right="0" w:rightChars="0" w:firstLine="0"/>
              <w:jc w:val="center"/>
              <w:textAlignment w:val="auto"/>
              <w:rPr>
                <w:rFonts w:hint="eastAsia" w:eastAsia="宋体"/>
                <w:sz w:val="22"/>
                <w:szCs w:val="28"/>
                <w:lang w:eastAsia="zh-CN"/>
              </w:rPr>
            </w:pPr>
            <w:r>
              <w:rPr>
                <w:rFonts w:hint="eastAsia" w:ascii="Do7esOBB+FangSong" w:hAnsi="Do7esOBB+FangSong"/>
                <w:b/>
                <w:color w:val="000000"/>
                <w:spacing w:val="-2"/>
                <w:sz w:val="24"/>
                <w:szCs w:val="28"/>
                <w:lang w:val="en-US" w:eastAsia="zh-CN"/>
              </w:rPr>
              <w:t>货物名称</w:t>
            </w:r>
          </w:p>
        </w:tc>
        <w:tc>
          <w:tcPr>
            <w:tcW w:w="5977"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15DB7794">
            <w:pPr>
              <w:keepNext w:val="0"/>
              <w:keepLines w:val="0"/>
              <w:pageBreakBefore w:val="0"/>
              <w:widowControl w:val="0"/>
              <w:kinsoku w:val="0"/>
              <w:wordWrap/>
              <w:overflowPunct w:val="0"/>
              <w:topLinePunct w:val="0"/>
              <w:autoSpaceDE w:val="0"/>
              <w:autoSpaceDN w:val="0"/>
              <w:bidi w:val="0"/>
              <w:adjustRightInd w:val="0"/>
              <w:snapToGrid w:val="0"/>
              <w:spacing w:line="240" w:lineRule="auto"/>
              <w:ind w:left="0" w:leftChars="0" w:right="0" w:rightChars="0" w:firstLine="0"/>
              <w:jc w:val="center"/>
              <w:textAlignment w:val="auto"/>
              <w:rPr>
                <w:sz w:val="22"/>
                <w:szCs w:val="28"/>
              </w:rPr>
            </w:pPr>
            <w:r>
              <w:rPr>
                <w:rFonts w:hint="eastAsia" w:ascii="Do7esOBB+FangSong" w:hAnsi="Do7esOBB+FangSong"/>
                <w:b/>
                <w:color w:val="000000"/>
                <w:spacing w:val="-2"/>
                <w:sz w:val="24"/>
                <w:szCs w:val="28"/>
                <w:lang w:val="en-US" w:eastAsia="zh-CN"/>
              </w:rPr>
              <w:t>技术参数及性能（配置）要求</w:t>
            </w:r>
          </w:p>
        </w:tc>
        <w:tc>
          <w:tcPr>
            <w:tcW w:w="810"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49F12B43">
            <w:pPr>
              <w:keepNext w:val="0"/>
              <w:keepLines w:val="0"/>
              <w:pageBreakBefore w:val="0"/>
              <w:widowControl w:val="0"/>
              <w:kinsoku w:val="0"/>
              <w:wordWrap/>
              <w:overflowPunct w:val="0"/>
              <w:topLinePunct w:val="0"/>
              <w:autoSpaceDE w:val="0"/>
              <w:autoSpaceDN w:val="0"/>
              <w:bidi w:val="0"/>
              <w:adjustRightInd w:val="0"/>
              <w:snapToGrid w:val="0"/>
              <w:spacing w:line="240" w:lineRule="auto"/>
              <w:ind w:left="0" w:leftChars="0" w:right="0" w:rightChars="0" w:firstLine="0"/>
              <w:jc w:val="center"/>
              <w:textAlignment w:val="auto"/>
              <w:rPr>
                <w:rFonts w:hint="eastAsia" w:ascii="Do7esOBB+FangSong" w:hAnsi="Do7esOBB+FangSong" w:eastAsia="宋体"/>
                <w:b/>
                <w:color w:val="000000"/>
                <w:sz w:val="24"/>
                <w:szCs w:val="28"/>
                <w:lang w:val="en-US" w:eastAsia="zh-CN"/>
              </w:rPr>
            </w:pPr>
            <w:r>
              <w:rPr>
                <w:rFonts w:hint="eastAsia" w:ascii="Do7esOBB+FangSong" w:hAnsi="Do7esOBB+FangSong"/>
                <w:b/>
                <w:color w:val="000000"/>
                <w:sz w:val="24"/>
                <w:szCs w:val="28"/>
                <w:lang w:val="en-US" w:eastAsia="zh-CN"/>
              </w:rPr>
              <w:t>数量</w:t>
            </w:r>
          </w:p>
        </w:tc>
        <w:tc>
          <w:tcPr>
            <w:tcW w:w="79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68D45C8A">
            <w:pPr>
              <w:keepNext w:val="0"/>
              <w:keepLines w:val="0"/>
              <w:pageBreakBefore w:val="0"/>
              <w:widowControl w:val="0"/>
              <w:kinsoku w:val="0"/>
              <w:wordWrap/>
              <w:overflowPunct w:val="0"/>
              <w:topLinePunct w:val="0"/>
              <w:autoSpaceDE w:val="0"/>
              <w:autoSpaceDN w:val="0"/>
              <w:bidi w:val="0"/>
              <w:adjustRightInd w:val="0"/>
              <w:snapToGrid w:val="0"/>
              <w:spacing w:line="240" w:lineRule="auto"/>
              <w:ind w:left="0" w:leftChars="0" w:right="0" w:rightChars="0" w:firstLine="0"/>
              <w:jc w:val="center"/>
              <w:textAlignment w:val="auto"/>
              <w:rPr>
                <w:rFonts w:hint="default" w:ascii="Do7esOBB+FangSong" w:hAnsi="Do7esOBB+FangSong"/>
                <w:b/>
                <w:color w:val="000000"/>
                <w:sz w:val="24"/>
                <w:szCs w:val="28"/>
                <w:lang w:val="en-US" w:eastAsia="zh-CN"/>
              </w:rPr>
            </w:pPr>
            <w:r>
              <w:rPr>
                <w:rFonts w:hint="eastAsia" w:ascii="Do7esOBB+FangSong" w:hAnsi="Do7esOBB+FangSong"/>
                <w:b/>
                <w:color w:val="000000"/>
                <w:sz w:val="24"/>
                <w:szCs w:val="28"/>
                <w:lang w:val="en-US" w:eastAsia="zh-CN"/>
              </w:rPr>
              <w:t>单位</w:t>
            </w:r>
          </w:p>
        </w:tc>
      </w:tr>
      <w:tr w14:paraId="791E5FCC">
        <w:tblPrEx>
          <w:tblCellMar>
            <w:top w:w="0" w:type="dxa"/>
            <w:left w:w="108" w:type="dxa"/>
            <w:bottom w:w="0" w:type="dxa"/>
            <w:right w:w="108" w:type="dxa"/>
          </w:tblCellMar>
        </w:tblPrEx>
        <w:trPr>
          <w:trHeight w:val="7150" w:hRule="atLeast"/>
        </w:trPr>
        <w:tc>
          <w:tcPr>
            <w:tcW w:w="667"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7A6FDBBE">
            <w:pPr>
              <w:keepNext w:val="0"/>
              <w:keepLines w:val="0"/>
              <w:pageBreakBefore w:val="0"/>
              <w:widowControl w:val="0"/>
              <w:kinsoku w:val="0"/>
              <w:wordWrap/>
              <w:overflowPunct w:val="0"/>
              <w:topLinePunct w:val="0"/>
              <w:autoSpaceDE w:val="0"/>
              <w:autoSpaceDN w:val="0"/>
              <w:bidi w:val="0"/>
              <w:adjustRightInd w:val="0"/>
              <w:snapToGrid w:val="0"/>
              <w:spacing w:line="240" w:lineRule="auto"/>
              <w:ind w:left="0" w:leftChars="0" w:right="0" w:rightChars="0" w:firstLine="0"/>
              <w:jc w:val="center"/>
              <w:textAlignment w:val="auto"/>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1</w:t>
            </w:r>
          </w:p>
        </w:tc>
        <w:tc>
          <w:tcPr>
            <w:tcW w:w="1188"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4D13BAE2">
            <w:pPr>
              <w:keepNext w:val="0"/>
              <w:keepLines w:val="0"/>
              <w:pageBreakBefore w:val="0"/>
              <w:widowControl w:val="0"/>
              <w:kinsoku w:val="0"/>
              <w:wordWrap/>
              <w:overflowPunct w:val="0"/>
              <w:topLinePunct w:val="0"/>
              <w:autoSpaceDE w:val="0"/>
              <w:autoSpaceDN w:val="0"/>
              <w:bidi w:val="0"/>
              <w:adjustRightInd w:val="0"/>
              <w:snapToGrid w:val="0"/>
              <w:spacing w:line="240" w:lineRule="auto"/>
              <w:ind w:left="0" w:leftChars="0" w:right="0" w:rightChars="0" w:firstLine="0"/>
              <w:jc w:val="center"/>
              <w:textAlignment w:val="auto"/>
              <w:rPr>
                <w:rFonts w:hint="eastAsia" w:ascii="宋体" w:hAnsi="宋体" w:eastAsia="宋体" w:cs="宋体"/>
                <w:b w:val="0"/>
                <w:bCs/>
                <w:color w:val="000000"/>
                <w:spacing w:val="-2"/>
                <w:sz w:val="22"/>
                <w:szCs w:val="22"/>
                <w:lang w:val="en-US" w:eastAsia="zh-CN"/>
              </w:rPr>
            </w:pPr>
            <w:r>
              <w:rPr>
                <w:rFonts w:hint="eastAsia" w:ascii="宋体" w:hAnsi="宋体" w:eastAsia="宋体" w:cs="宋体"/>
                <w:b w:val="0"/>
                <w:bCs/>
                <w:color w:val="000000"/>
                <w:spacing w:val="-2"/>
                <w:sz w:val="22"/>
                <w:szCs w:val="22"/>
                <w:lang w:val="en-US" w:eastAsia="zh-CN"/>
              </w:rPr>
              <w:t>国产台式机</w:t>
            </w:r>
          </w:p>
        </w:tc>
        <w:tc>
          <w:tcPr>
            <w:tcW w:w="5977"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14:paraId="3F8A5A21">
            <w:pPr>
              <w:keepNext w:val="0"/>
              <w:keepLines w:val="0"/>
              <w:pageBreakBefore w:val="0"/>
              <w:widowControl w:val="0"/>
              <w:tabs>
                <w:tab w:val="left" w:pos="170"/>
                <w:tab w:val="left" w:pos="303"/>
                <w:tab w:val="left" w:pos="420"/>
              </w:tabs>
              <w:kinsoku w:val="0"/>
              <w:wordWrap/>
              <w:overflowPunct w:val="0"/>
              <w:topLinePunct w:val="0"/>
              <w:autoSpaceDE w:val="0"/>
              <w:autoSpaceDN w:val="0"/>
              <w:bidi w:val="0"/>
              <w:adjustRightInd w:val="0"/>
              <w:snapToGrid w:val="0"/>
              <w:spacing w:line="500" w:lineRule="exact"/>
              <w:ind w:firstLine="440" w:firstLineChars="200"/>
              <w:textAlignment w:val="auto"/>
              <w:outlineLvl w:val="1"/>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1、处理器：采用国产自研C86处理器，核心数≥8核, 主频≥2.7GHz</w:t>
            </w:r>
          </w:p>
          <w:p w14:paraId="48CA01E5">
            <w:pPr>
              <w:keepNext w:val="0"/>
              <w:keepLines w:val="0"/>
              <w:pageBreakBefore w:val="0"/>
              <w:widowControl w:val="0"/>
              <w:tabs>
                <w:tab w:val="left" w:pos="170"/>
                <w:tab w:val="left" w:pos="303"/>
                <w:tab w:val="left" w:pos="420"/>
              </w:tabs>
              <w:kinsoku w:val="0"/>
              <w:wordWrap/>
              <w:overflowPunct w:val="0"/>
              <w:topLinePunct w:val="0"/>
              <w:autoSpaceDE w:val="0"/>
              <w:autoSpaceDN w:val="0"/>
              <w:bidi w:val="0"/>
              <w:adjustRightInd w:val="0"/>
              <w:snapToGrid w:val="0"/>
              <w:spacing w:line="500" w:lineRule="exact"/>
              <w:ind w:firstLine="440" w:firstLineChars="200"/>
              <w:textAlignment w:val="auto"/>
              <w:outlineLvl w:val="1"/>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2、内存：容量≥16G，双内存插槽方便扩展。</w:t>
            </w:r>
          </w:p>
          <w:p w14:paraId="621151DC">
            <w:pPr>
              <w:keepNext w:val="0"/>
              <w:keepLines w:val="0"/>
              <w:pageBreakBefore w:val="0"/>
              <w:widowControl w:val="0"/>
              <w:tabs>
                <w:tab w:val="left" w:pos="170"/>
                <w:tab w:val="left" w:pos="303"/>
                <w:tab w:val="left" w:pos="420"/>
              </w:tabs>
              <w:kinsoku w:val="0"/>
              <w:wordWrap/>
              <w:overflowPunct w:val="0"/>
              <w:topLinePunct w:val="0"/>
              <w:autoSpaceDE w:val="0"/>
              <w:autoSpaceDN w:val="0"/>
              <w:bidi w:val="0"/>
              <w:adjustRightInd w:val="0"/>
              <w:snapToGrid w:val="0"/>
              <w:spacing w:line="500" w:lineRule="exact"/>
              <w:ind w:firstLine="440" w:firstLineChars="200"/>
              <w:textAlignment w:val="auto"/>
              <w:outlineLvl w:val="1"/>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3、硬盘：≥512G M.2 NVME SSD，不低于1TB SSD，支持1块3.5英寸机械硬盘扩展，单块容量不低于2T</w:t>
            </w:r>
          </w:p>
          <w:p w14:paraId="04FC097A">
            <w:pPr>
              <w:keepNext w:val="0"/>
              <w:keepLines w:val="0"/>
              <w:pageBreakBefore w:val="0"/>
              <w:widowControl w:val="0"/>
              <w:tabs>
                <w:tab w:val="left" w:pos="170"/>
                <w:tab w:val="left" w:pos="303"/>
                <w:tab w:val="left" w:pos="420"/>
              </w:tabs>
              <w:kinsoku w:val="0"/>
              <w:wordWrap/>
              <w:overflowPunct w:val="0"/>
              <w:topLinePunct w:val="0"/>
              <w:autoSpaceDE w:val="0"/>
              <w:autoSpaceDN w:val="0"/>
              <w:bidi w:val="0"/>
              <w:adjustRightInd w:val="0"/>
              <w:snapToGrid w:val="0"/>
              <w:spacing w:line="500" w:lineRule="exact"/>
              <w:ind w:firstLine="440" w:firstLineChars="200"/>
              <w:textAlignment w:val="auto"/>
              <w:outlineLvl w:val="1"/>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4、显卡：集成高性能显卡；</w:t>
            </w:r>
          </w:p>
          <w:p w14:paraId="56CC0A1C">
            <w:pPr>
              <w:keepNext w:val="0"/>
              <w:keepLines w:val="0"/>
              <w:pageBreakBefore w:val="0"/>
              <w:widowControl w:val="0"/>
              <w:tabs>
                <w:tab w:val="left" w:pos="170"/>
                <w:tab w:val="left" w:pos="303"/>
                <w:tab w:val="left" w:pos="420"/>
              </w:tabs>
              <w:kinsoku w:val="0"/>
              <w:wordWrap/>
              <w:overflowPunct w:val="0"/>
              <w:topLinePunct w:val="0"/>
              <w:autoSpaceDE w:val="0"/>
              <w:autoSpaceDN w:val="0"/>
              <w:bidi w:val="0"/>
              <w:adjustRightInd w:val="0"/>
              <w:snapToGrid w:val="0"/>
              <w:spacing w:line="500" w:lineRule="exact"/>
              <w:ind w:firstLine="440" w:firstLineChars="200"/>
              <w:textAlignment w:val="auto"/>
              <w:outlineLvl w:val="1"/>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5、电源：功率</w:t>
            </w:r>
            <w:r>
              <w:rPr>
                <w:rFonts w:hint="eastAsia" w:ascii="宋体" w:hAnsi="宋体" w:eastAsia="宋体" w:cs="宋体"/>
                <w:b w:val="0"/>
                <w:bCs/>
                <w:color w:val="auto"/>
                <w:sz w:val="22"/>
                <w:szCs w:val="22"/>
                <w:highlight w:val="none"/>
              </w:rPr>
              <w:t>≥</w:t>
            </w:r>
            <w:r>
              <w:rPr>
                <w:rFonts w:hint="eastAsia" w:ascii="宋体" w:hAnsi="宋体" w:eastAsia="宋体" w:cs="宋体"/>
                <w:b w:val="0"/>
                <w:bCs/>
                <w:color w:val="auto"/>
                <w:sz w:val="22"/>
                <w:szCs w:val="22"/>
              </w:rPr>
              <w:t>180W ；</w:t>
            </w:r>
          </w:p>
          <w:p w14:paraId="19523BDE">
            <w:pPr>
              <w:keepNext w:val="0"/>
              <w:keepLines w:val="0"/>
              <w:pageBreakBefore w:val="0"/>
              <w:widowControl w:val="0"/>
              <w:tabs>
                <w:tab w:val="left" w:pos="170"/>
                <w:tab w:val="left" w:pos="303"/>
                <w:tab w:val="left" w:pos="420"/>
              </w:tabs>
              <w:kinsoku w:val="0"/>
              <w:wordWrap/>
              <w:overflowPunct w:val="0"/>
              <w:topLinePunct w:val="0"/>
              <w:autoSpaceDE w:val="0"/>
              <w:autoSpaceDN w:val="0"/>
              <w:bidi w:val="0"/>
              <w:adjustRightInd w:val="0"/>
              <w:snapToGrid w:val="0"/>
              <w:spacing w:line="500" w:lineRule="exact"/>
              <w:ind w:firstLine="440" w:firstLineChars="200"/>
              <w:textAlignment w:val="auto"/>
              <w:outlineLvl w:val="1"/>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 xml:space="preserve">6、接口及扩展：1个PCIe x16，2个PCIe x1扩展槽；USB接口≥8个（其中前置USB3.0数量≥4个，后置USB3.0数量≥2个，USB2.0数量≥2个）；音频接口：麦克风1个，耳机1个；后端3个Audio音频接口； </w:t>
            </w:r>
          </w:p>
          <w:p w14:paraId="1FB33E42">
            <w:pPr>
              <w:keepNext w:val="0"/>
              <w:keepLines w:val="0"/>
              <w:pageBreakBefore w:val="0"/>
              <w:widowControl w:val="0"/>
              <w:tabs>
                <w:tab w:val="left" w:pos="170"/>
                <w:tab w:val="left" w:pos="303"/>
                <w:tab w:val="left" w:pos="420"/>
              </w:tabs>
              <w:kinsoku w:val="0"/>
              <w:wordWrap/>
              <w:overflowPunct w:val="0"/>
              <w:topLinePunct w:val="0"/>
              <w:autoSpaceDE w:val="0"/>
              <w:autoSpaceDN w:val="0"/>
              <w:bidi w:val="0"/>
              <w:adjustRightInd w:val="0"/>
              <w:snapToGrid w:val="0"/>
              <w:spacing w:line="500" w:lineRule="exact"/>
              <w:ind w:firstLine="440" w:firstLineChars="200"/>
              <w:textAlignment w:val="auto"/>
              <w:outlineLvl w:val="1"/>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7、显示器：≥23.8英寸，支持1080P，与主机采用同品牌。</w:t>
            </w:r>
          </w:p>
          <w:p w14:paraId="30B227F5">
            <w:pPr>
              <w:keepNext w:val="0"/>
              <w:keepLines w:val="0"/>
              <w:pageBreakBefore w:val="0"/>
              <w:widowControl w:val="0"/>
              <w:tabs>
                <w:tab w:val="left" w:pos="170"/>
                <w:tab w:val="left" w:pos="303"/>
                <w:tab w:val="left" w:pos="420"/>
              </w:tabs>
              <w:kinsoku w:val="0"/>
              <w:wordWrap/>
              <w:overflowPunct w:val="0"/>
              <w:topLinePunct w:val="0"/>
              <w:autoSpaceDE w:val="0"/>
              <w:autoSpaceDN w:val="0"/>
              <w:bidi w:val="0"/>
              <w:adjustRightInd w:val="0"/>
              <w:snapToGrid w:val="0"/>
              <w:spacing w:line="500" w:lineRule="exact"/>
              <w:ind w:firstLine="440" w:firstLineChars="200"/>
              <w:textAlignment w:val="auto"/>
              <w:outlineLvl w:val="1"/>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 xml:space="preserve">8、机箱:≥13L </w:t>
            </w:r>
          </w:p>
          <w:p w14:paraId="0EAADF4A">
            <w:pPr>
              <w:keepNext w:val="0"/>
              <w:keepLines w:val="0"/>
              <w:pageBreakBefore w:val="0"/>
              <w:widowControl w:val="0"/>
              <w:tabs>
                <w:tab w:val="left" w:pos="170"/>
                <w:tab w:val="left" w:pos="303"/>
                <w:tab w:val="left" w:pos="420"/>
              </w:tabs>
              <w:kinsoku w:val="0"/>
              <w:wordWrap/>
              <w:overflowPunct w:val="0"/>
              <w:topLinePunct w:val="0"/>
              <w:autoSpaceDE w:val="0"/>
              <w:autoSpaceDN w:val="0"/>
              <w:bidi w:val="0"/>
              <w:adjustRightInd w:val="0"/>
              <w:snapToGrid w:val="0"/>
              <w:spacing w:line="500" w:lineRule="exact"/>
              <w:ind w:firstLine="440" w:firstLineChars="200"/>
              <w:textAlignment w:val="auto"/>
              <w:outlineLvl w:val="1"/>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9、操作系统：预装统信UOS或麒麟正版操作系统</w:t>
            </w:r>
          </w:p>
          <w:p w14:paraId="74AA7884">
            <w:pPr>
              <w:keepNext w:val="0"/>
              <w:keepLines w:val="0"/>
              <w:pageBreakBefore w:val="0"/>
              <w:widowControl w:val="0"/>
              <w:tabs>
                <w:tab w:val="left" w:pos="170"/>
                <w:tab w:val="left" w:pos="303"/>
                <w:tab w:val="left" w:pos="420"/>
              </w:tabs>
              <w:kinsoku w:val="0"/>
              <w:wordWrap/>
              <w:overflowPunct w:val="0"/>
              <w:topLinePunct w:val="0"/>
              <w:autoSpaceDE w:val="0"/>
              <w:autoSpaceDN w:val="0"/>
              <w:bidi w:val="0"/>
              <w:adjustRightInd w:val="0"/>
              <w:snapToGrid w:val="0"/>
              <w:spacing w:line="500" w:lineRule="exact"/>
              <w:ind w:firstLine="440" w:firstLineChars="200"/>
              <w:textAlignment w:val="auto"/>
              <w:outlineLvl w:val="1"/>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10、数据安全： BIOS级USB屏蔽及智能USB数据保护：USB支持BIOS下全部接口一键开关，前后分组开关；针对存储设备支持全部USB接口一键切换禁止访问模式/只读模式。</w:t>
            </w:r>
          </w:p>
          <w:p w14:paraId="4B5C74F3">
            <w:pPr>
              <w:keepNext w:val="0"/>
              <w:keepLines w:val="0"/>
              <w:pageBreakBefore w:val="0"/>
              <w:widowControl w:val="0"/>
              <w:kinsoku w:val="0"/>
              <w:wordWrap/>
              <w:overflowPunct w:val="0"/>
              <w:topLinePunct w:val="0"/>
              <w:autoSpaceDE w:val="0"/>
              <w:autoSpaceDN w:val="0"/>
              <w:bidi w:val="0"/>
              <w:adjustRightInd w:val="0"/>
              <w:snapToGrid w:val="0"/>
              <w:spacing w:line="500" w:lineRule="exact"/>
              <w:ind w:left="0" w:leftChars="0" w:right="0" w:rightChars="0" w:firstLine="440" w:firstLineChars="200"/>
              <w:jc w:val="both"/>
              <w:textAlignment w:val="auto"/>
              <w:rPr>
                <w:rFonts w:hint="eastAsia" w:ascii="宋体" w:hAnsi="宋体" w:eastAsia="宋体" w:cs="宋体"/>
                <w:b w:val="0"/>
                <w:bCs/>
                <w:color w:val="000000"/>
                <w:sz w:val="22"/>
                <w:szCs w:val="22"/>
              </w:rPr>
            </w:pPr>
            <w:r>
              <w:rPr>
                <w:rFonts w:hint="eastAsia" w:ascii="宋体" w:hAnsi="宋体" w:eastAsia="宋体" w:cs="宋体"/>
                <w:b w:val="0"/>
                <w:bCs/>
                <w:color w:val="auto"/>
                <w:sz w:val="22"/>
                <w:szCs w:val="22"/>
              </w:rPr>
              <w:t>11、服务：原厂3年整机保修及上门服务。</w:t>
            </w:r>
          </w:p>
        </w:tc>
        <w:tc>
          <w:tcPr>
            <w:tcW w:w="810"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6BA73429">
            <w:pPr>
              <w:keepNext w:val="0"/>
              <w:keepLines w:val="0"/>
              <w:pageBreakBefore w:val="0"/>
              <w:widowControl w:val="0"/>
              <w:kinsoku w:val="0"/>
              <w:wordWrap/>
              <w:overflowPunct w:val="0"/>
              <w:topLinePunct w:val="0"/>
              <w:autoSpaceDE w:val="0"/>
              <w:autoSpaceDN w:val="0"/>
              <w:bidi w:val="0"/>
              <w:adjustRightInd w:val="0"/>
              <w:snapToGrid w:val="0"/>
              <w:spacing w:line="240" w:lineRule="auto"/>
              <w:ind w:left="0" w:leftChars="0" w:right="0" w:rightChars="0" w:firstLine="0"/>
              <w:jc w:val="center"/>
              <w:textAlignment w:val="auto"/>
              <w:rPr>
                <w:rFonts w:hint="default" w:ascii="宋体" w:hAnsi="宋体" w:eastAsia="宋体" w:cs="宋体"/>
                <w:b w:val="0"/>
                <w:bCs/>
                <w:color w:val="000000"/>
                <w:spacing w:val="-2"/>
                <w:sz w:val="22"/>
                <w:szCs w:val="22"/>
                <w:lang w:val="en-US" w:eastAsia="zh-CN"/>
              </w:rPr>
            </w:pPr>
            <w:r>
              <w:rPr>
                <w:rFonts w:hint="eastAsia" w:ascii="宋体" w:hAnsi="宋体" w:eastAsia="宋体" w:cs="宋体"/>
                <w:b w:val="0"/>
                <w:bCs/>
                <w:color w:val="000000"/>
                <w:spacing w:val="-2"/>
                <w:sz w:val="22"/>
                <w:szCs w:val="22"/>
                <w:lang w:val="en-US" w:eastAsia="zh-CN"/>
              </w:rPr>
              <w:t>723</w:t>
            </w:r>
          </w:p>
        </w:tc>
        <w:tc>
          <w:tcPr>
            <w:tcW w:w="79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76D7865B">
            <w:pPr>
              <w:keepNext w:val="0"/>
              <w:keepLines w:val="0"/>
              <w:pageBreakBefore w:val="0"/>
              <w:widowControl w:val="0"/>
              <w:kinsoku w:val="0"/>
              <w:wordWrap/>
              <w:overflowPunct w:val="0"/>
              <w:topLinePunct w:val="0"/>
              <w:autoSpaceDE w:val="0"/>
              <w:autoSpaceDN w:val="0"/>
              <w:bidi w:val="0"/>
              <w:adjustRightInd w:val="0"/>
              <w:snapToGrid w:val="0"/>
              <w:spacing w:line="240" w:lineRule="auto"/>
              <w:ind w:left="0" w:leftChars="0" w:right="0" w:rightChars="0" w:firstLine="0"/>
              <w:jc w:val="center"/>
              <w:textAlignment w:val="auto"/>
              <w:rPr>
                <w:rFonts w:hint="default" w:ascii="宋体" w:hAnsi="宋体" w:eastAsia="宋体" w:cs="宋体"/>
                <w:b w:val="0"/>
                <w:bCs/>
                <w:color w:val="000000"/>
                <w:spacing w:val="-2"/>
                <w:sz w:val="22"/>
                <w:szCs w:val="22"/>
                <w:lang w:val="en-US" w:eastAsia="zh-CN"/>
              </w:rPr>
            </w:pPr>
            <w:r>
              <w:rPr>
                <w:rFonts w:hint="eastAsia" w:ascii="宋体" w:hAnsi="宋体" w:cs="宋体"/>
                <w:b w:val="0"/>
                <w:bCs/>
                <w:color w:val="000000"/>
                <w:spacing w:val="-2"/>
                <w:sz w:val="22"/>
                <w:szCs w:val="22"/>
                <w:lang w:val="en-US" w:eastAsia="zh-CN"/>
              </w:rPr>
              <w:t>套</w:t>
            </w:r>
          </w:p>
        </w:tc>
      </w:tr>
      <w:tr w14:paraId="44F899E7">
        <w:tblPrEx>
          <w:tblCellMar>
            <w:top w:w="0" w:type="dxa"/>
            <w:left w:w="108" w:type="dxa"/>
            <w:bottom w:w="0" w:type="dxa"/>
            <w:right w:w="108" w:type="dxa"/>
          </w:tblCellMar>
        </w:tblPrEx>
        <w:trPr>
          <w:trHeight w:val="2331" w:hRule="atLeast"/>
        </w:trPr>
        <w:tc>
          <w:tcPr>
            <w:tcW w:w="667"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404C7E88">
            <w:pPr>
              <w:keepNext w:val="0"/>
              <w:keepLines w:val="0"/>
              <w:pageBreakBefore w:val="0"/>
              <w:widowControl/>
              <w:kinsoku w:val="0"/>
              <w:wordWrap/>
              <w:overflowPunct w:val="0"/>
              <w:topLinePunct w:val="0"/>
              <w:autoSpaceDE w:val="0"/>
              <w:autoSpaceDN w:val="0"/>
              <w:bidi w:val="0"/>
              <w:adjustRightInd w:val="0"/>
              <w:snapToGrid w:val="0"/>
              <w:spacing w:line="240" w:lineRule="auto"/>
              <w:ind w:left="0" w:leftChars="0" w:right="0" w:rightChars="0" w:firstLine="0"/>
              <w:jc w:val="center"/>
              <w:textAlignment w:val="auto"/>
              <w:rPr>
                <w:rFonts w:hint="default" w:ascii="宋体" w:hAnsi="宋体" w:eastAsia="宋体" w:cs="宋体"/>
                <w:b w:val="0"/>
                <w:bCs/>
                <w:color w:val="000000"/>
                <w:sz w:val="22"/>
                <w:szCs w:val="22"/>
                <w:lang w:val="en-US" w:eastAsia="zh-CN"/>
              </w:rPr>
            </w:pPr>
            <w:r>
              <w:rPr>
                <w:rFonts w:hint="eastAsia" w:ascii="宋体" w:hAnsi="宋体" w:cs="宋体"/>
                <w:b w:val="0"/>
                <w:bCs/>
                <w:color w:val="000000"/>
                <w:sz w:val="22"/>
                <w:szCs w:val="22"/>
                <w:lang w:val="en-US" w:eastAsia="zh-CN"/>
              </w:rPr>
              <w:t>2</w:t>
            </w:r>
          </w:p>
        </w:tc>
        <w:tc>
          <w:tcPr>
            <w:tcW w:w="1188" w:type="dxa"/>
            <w:tcBorders>
              <w:top w:val="single" w:color="000000" w:sz="2" w:space="0"/>
              <w:left w:val="single" w:color="000000" w:sz="2" w:space="0"/>
              <w:bottom w:val="single" w:color="000000" w:sz="2" w:space="0"/>
              <w:right w:val="single" w:color="000000" w:sz="2" w:space="0"/>
            </w:tcBorders>
            <w:shd w:val="clear" w:color="auto" w:fill="auto"/>
            <w:noWrap w:val="0"/>
            <w:tcMar>
              <w:left w:w="0" w:type="dxa"/>
              <w:right w:w="0" w:type="dxa"/>
            </w:tcMar>
            <w:vAlign w:val="center"/>
          </w:tcPr>
          <w:p w14:paraId="4B67F553">
            <w:pPr>
              <w:keepNext w:val="0"/>
              <w:keepLines w:val="0"/>
              <w:pageBreakBefore w:val="0"/>
              <w:widowControl/>
              <w:kinsoku w:val="0"/>
              <w:wordWrap/>
              <w:overflowPunct w:val="0"/>
              <w:topLinePunct w:val="0"/>
              <w:autoSpaceDE w:val="0"/>
              <w:autoSpaceDN w:val="0"/>
              <w:bidi w:val="0"/>
              <w:jc w:val="center"/>
              <w:textAlignment w:val="auto"/>
              <w:rPr>
                <w:rFonts w:hint="eastAsia" w:ascii="宋体" w:hAnsi="宋体" w:eastAsia="宋体" w:cs="宋体"/>
                <w:b w:val="0"/>
                <w:bCs/>
                <w:color w:val="000000"/>
                <w:spacing w:val="-2"/>
                <w:sz w:val="22"/>
                <w:szCs w:val="22"/>
                <w:lang w:val="en-US" w:eastAsia="zh-CN"/>
              </w:rPr>
            </w:pPr>
            <w:r>
              <w:rPr>
                <w:rFonts w:hint="eastAsia" w:ascii="宋体" w:hAnsi="宋体" w:eastAsia="宋体" w:cs="宋体"/>
                <w:b w:val="0"/>
                <w:bCs/>
                <w:color w:val="000000"/>
                <w:spacing w:val="-2"/>
                <w:sz w:val="22"/>
                <w:szCs w:val="22"/>
                <w:lang w:val="en-US" w:eastAsia="zh-CN"/>
              </w:rPr>
              <w:t>图书管理</w:t>
            </w:r>
          </w:p>
          <w:p w14:paraId="1ACF44D6">
            <w:pPr>
              <w:keepNext w:val="0"/>
              <w:keepLines w:val="0"/>
              <w:pageBreakBefore w:val="0"/>
              <w:widowControl/>
              <w:kinsoku w:val="0"/>
              <w:wordWrap/>
              <w:overflowPunct w:val="0"/>
              <w:topLinePunct w:val="0"/>
              <w:autoSpaceDE w:val="0"/>
              <w:autoSpaceDN w:val="0"/>
              <w:bidi w:val="0"/>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b w:val="0"/>
                <w:bCs/>
                <w:color w:val="000000"/>
                <w:spacing w:val="-2"/>
                <w:sz w:val="22"/>
                <w:szCs w:val="22"/>
                <w:lang w:val="en-US" w:eastAsia="zh-CN"/>
              </w:rPr>
              <w:t>系统</w:t>
            </w:r>
          </w:p>
        </w:tc>
        <w:tc>
          <w:tcPr>
            <w:tcW w:w="5977" w:type="dxa"/>
            <w:tcBorders>
              <w:top w:val="single" w:color="000000" w:sz="2" w:space="0"/>
              <w:left w:val="single" w:color="000000" w:sz="2" w:space="0"/>
              <w:bottom w:val="single" w:color="000000" w:sz="2" w:space="0"/>
              <w:right w:val="single" w:color="000000" w:sz="2" w:space="0"/>
            </w:tcBorders>
            <w:shd w:val="clear" w:color="auto" w:fill="auto"/>
            <w:noWrap w:val="0"/>
            <w:tcMar>
              <w:top w:w="57" w:type="dxa"/>
              <w:left w:w="57" w:type="dxa"/>
              <w:bottom w:w="57" w:type="dxa"/>
              <w:right w:w="57" w:type="dxa"/>
            </w:tcMar>
            <w:vAlign w:val="center"/>
          </w:tcPr>
          <w:p w14:paraId="07307492">
            <w:pPr>
              <w:keepNext w:val="0"/>
              <w:keepLines w:val="0"/>
              <w:pageBreakBefore w:val="0"/>
              <w:widowControl/>
              <w:kinsoku w:val="0"/>
              <w:wordWrap/>
              <w:overflowPunct w:val="0"/>
              <w:topLinePunct w:val="0"/>
              <w:autoSpaceDE w:val="0"/>
              <w:autoSpaceDN w:val="0"/>
              <w:bidi w:val="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系统架构：要求基于Web的B/S系统架构；采用Windows IIS发布系统和SQL Server数据库(可支持MySql，Oracle等关系型数据库)，管理系统功能全部基于浏览器操作，无须安装客户端；</w:t>
            </w:r>
          </w:p>
          <w:p w14:paraId="6C76106B">
            <w:pPr>
              <w:keepNext w:val="0"/>
              <w:keepLines w:val="0"/>
              <w:pageBreakBefore w:val="0"/>
              <w:widowControl/>
              <w:kinsoku w:val="0"/>
              <w:wordWrap/>
              <w:overflowPunct w:val="0"/>
              <w:topLinePunct w:val="0"/>
              <w:autoSpaceDE w:val="0"/>
              <w:autoSpaceDN w:val="0"/>
              <w:bidi w:val="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数据安全：系统要求采用SSL传输加密、用户登录验证采用SSL+</w:t>
            </w:r>
            <w:r>
              <w:rPr>
                <w:rFonts w:hint="eastAsia" w:ascii="宋体" w:hAnsi="宋体" w:eastAsia="宋体" w:cs="宋体"/>
                <w:color w:val="auto"/>
                <w:sz w:val="21"/>
                <w:szCs w:val="21"/>
                <w:lang w:val="en-US" w:eastAsia="zh-CN"/>
              </w:rPr>
              <w:t>RSA</w:t>
            </w:r>
            <w:r>
              <w:rPr>
                <w:rFonts w:hint="eastAsia" w:ascii="宋体" w:hAnsi="宋体" w:eastAsia="宋体" w:cs="宋体"/>
                <w:color w:val="auto"/>
                <w:sz w:val="21"/>
                <w:szCs w:val="21"/>
              </w:rPr>
              <w:t>非对称加密、数据库中用户隐私数据采用密文存储，保证数据安全；（须提供相关功能截图并加盖投标人公章）</w:t>
            </w:r>
          </w:p>
          <w:p w14:paraId="5C593825">
            <w:pPr>
              <w:keepNext w:val="0"/>
              <w:keepLines w:val="0"/>
              <w:pageBreakBefore w:val="0"/>
              <w:widowControl/>
              <w:kinsoku w:val="0"/>
              <w:wordWrap/>
              <w:overflowPunct w:val="0"/>
              <w:topLinePunct w:val="0"/>
              <w:autoSpaceDE w:val="0"/>
              <w:autoSpaceDN w:val="0"/>
              <w:bidi w:val="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多级管理：管理平台要求采用多级分层管理，以组织/单位为顶层，以部门为最小管理单元，形成可实现多种应用需求的系统集成平台；（须提供相关功能截图并加盖投标人公章）</w:t>
            </w:r>
          </w:p>
          <w:p w14:paraId="332A30D9">
            <w:pPr>
              <w:keepNext w:val="0"/>
              <w:keepLines w:val="0"/>
              <w:pageBreakBefore w:val="0"/>
              <w:widowControl/>
              <w:kinsoku w:val="0"/>
              <w:wordWrap/>
              <w:overflowPunct w:val="0"/>
              <w:topLinePunct w:val="0"/>
              <w:autoSpaceDE w:val="0"/>
              <w:autoSpaceDN w:val="0"/>
              <w:bidi w:val="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接口扩展：要求对外提供标准的REST接口，方便第三方系统对接，同时可无缝对接校园一卡通，无须二次办证；</w:t>
            </w:r>
          </w:p>
          <w:p w14:paraId="7FCD0195">
            <w:pPr>
              <w:keepNext w:val="0"/>
              <w:keepLines w:val="0"/>
              <w:pageBreakBefore w:val="0"/>
              <w:widowControl/>
              <w:kinsoku w:val="0"/>
              <w:wordWrap/>
              <w:overflowPunct w:val="0"/>
              <w:topLinePunct w:val="0"/>
              <w:autoSpaceDE w:val="0"/>
              <w:autoSpaceDN w:val="0"/>
              <w:bidi w:val="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流通管理系统：要求包括图书查询、剔旧、借还、预借、催还、超期提醒、罚款、书标打印、馆藏地迁移、图书转借、读者荐购以及图书层架标管理功能；</w:t>
            </w:r>
          </w:p>
          <w:p w14:paraId="7BA5C0A6">
            <w:pPr>
              <w:keepNext w:val="0"/>
              <w:keepLines w:val="0"/>
              <w:pageBreakBefore w:val="0"/>
              <w:widowControl/>
              <w:kinsoku w:val="0"/>
              <w:wordWrap/>
              <w:overflowPunct w:val="0"/>
              <w:topLinePunct w:val="0"/>
              <w:autoSpaceDE w:val="0"/>
              <w:autoSpaceDN w:val="0"/>
              <w:bidi w:val="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高效采编：要求可以通过手动或扫描输入ISBN码；须提供标准模版批量导入数据，同步Marc数据，实现自动编目功能；（须提供相关功能截图并加盖投标人公章）</w:t>
            </w:r>
          </w:p>
          <w:p w14:paraId="49E59DF2">
            <w:pPr>
              <w:keepNext w:val="0"/>
              <w:keepLines w:val="0"/>
              <w:pageBreakBefore w:val="0"/>
              <w:widowControl/>
              <w:kinsoku w:val="0"/>
              <w:wordWrap/>
              <w:overflowPunct w:val="0"/>
              <w:topLinePunct w:val="0"/>
              <w:autoSpaceDE w:val="0"/>
              <w:autoSpaceDN w:val="0"/>
              <w:bidi w:val="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精准个推：基于User-Based Collaborative Filtering的改进算法，为读者精准推送书刊信息，有效提高读者选书效率，提升阅读兴趣；（须提供相关功能截图并加盖投标人公章）</w:t>
            </w:r>
          </w:p>
          <w:p w14:paraId="472AB18B">
            <w:pPr>
              <w:keepNext w:val="0"/>
              <w:keepLines w:val="0"/>
              <w:pageBreakBefore w:val="0"/>
              <w:widowControl/>
              <w:kinsoku w:val="0"/>
              <w:wordWrap/>
              <w:overflowPunct w:val="0"/>
              <w:topLinePunct w:val="0"/>
              <w:autoSpaceDE w:val="0"/>
              <w:autoSpaceDN w:val="0"/>
              <w:bidi w:val="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图书批量管理：要求具有按批次查找书刊，并对整个批次图书进行批量删除操作，轻松处理异常入库书刊功能；须具有续借和批量借阅、归还书刊功能，按需求可查看书刊流通记录，并可导出未归还书刊、借阅记录等数据功能；</w:t>
            </w:r>
          </w:p>
          <w:p w14:paraId="11C8A64B">
            <w:pPr>
              <w:keepNext w:val="0"/>
              <w:keepLines w:val="0"/>
              <w:pageBreakBefore w:val="0"/>
              <w:widowControl/>
              <w:kinsoku w:val="0"/>
              <w:wordWrap/>
              <w:overflowPunct w:val="0"/>
              <w:topLinePunct w:val="0"/>
              <w:autoSpaceDE w:val="0"/>
              <w:autoSpaceDN w:val="0"/>
              <w:bidi w:val="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书刊查询：要求具有按书刊状态（外借、在库、丢失、污损、已剔旧、异常借书、已移除、已预借）统计借阅记录，方便追踪书刊动向功能，也可对书刊信息进行变更，包括变更书刊条码、标签、价格、名称、馆藏地、状态等信息；    </w:t>
            </w:r>
          </w:p>
          <w:p w14:paraId="3DFCAA61">
            <w:pPr>
              <w:keepNext w:val="0"/>
              <w:keepLines w:val="0"/>
              <w:pageBreakBefore w:val="0"/>
              <w:widowControl/>
              <w:kinsoku w:val="0"/>
              <w:wordWrap/>
              <w:overflowPunct w:val="0"/>
              <w:topLinePunct w:val="0"/>
              <w:autoSpaceDE w:val="0"/>
              <w:autoSpaceDN w:val="0"/>
              <w:bidi w:val="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书刊预借：要求具有预借功能，可查看预借详情,直接将预借人员修改为借阅人员并批量导出表格的功能；</w:t>
            </w:r>
          </w:p>
          <w:p w14:paraId="7E0FA836">
            <w:pPr>
              <w:keepNext w:val="0"/>
              <w:keepLines w:val="0"/>
              <w:pageBreakBefore w:val="0"/>
              <w:widowControl/>
              <w:kinsoku w:val="0"/>
              <w:wordWrap/>
              <w:overflowPunct w:val="0"/>
              <w:topLinePunct w:val="0"/>
              <w:autoSpaceDE w:val="0"/>
              <w:autoSpaceDN w:val="0"/>
              <w:bidi w:val="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批量剃旧：要求具有批量图书剃旧功能，可在平台使用模板导入、点检设备上传数据和手动勾选图书进行剔旧；</w:t>
            </w:r>
          </w:p>
          <w:p w14:paraId="0DBB9625">
            <w:pPr>
              <w:keepNext w:val="0"/>
              <w:keepLines w:val="0"/>
              <w:pageBreakBefore w:val="0"/>
              <w:widowControl/>
              <w:kinsoku w:val="0"/>
              <w:wordWrap/>
              <w:overflowPunct w:val="0"/>
              <w:topLinePunct w:val="0"/>
              <w:autoSpaceDE w:val="0"/>
              <w:autoSpaceDN w:val="0"/>
              <w:bidi w:val="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书刊管理：要求具有在线盘点书刊、转移书刊馆藏地、对书刊进行剔旧等功能，对已剔旧书刊将禁止流通；</w:t>
            </w:r>
          </w:p>
          <w:p w14:paraId="5A17782C">
            <w:pPr>
              <w:keepNext w:val="0"/>
              <w:keepLines w:val="0"/>
              <w:pageBreakBefore w:val="0"/>
              <w:widowControl/>
              <w:kinsoku w:val="0"/>
              <w:wordWrap/>
              <w:overflowPunct w:val="0"/>
              <w:topLinePunct w:val="0"/>
              <w:autoSpaceDE w:val="0"/>
              <w:autoSpaceDN w:val="0"/>
              <w:bidi w:val="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催还、罚款：要求具有自动筛选即将到期未归还书刊，并将催还信息推送给读者；须对超期书刊自动计算罚款金额，并支持读者扫码支付罚金；</w:t>
            </w:r>
          </w:p>
          <w:p w14:paraId="5E7A0784">
            <w:pPr>
              <w:keepNext w:val="0"/>
              <w:keepLines w:val="0"/>
              <w:pageBreakBefore w:val="0"/>
              <w:widowControl/>
              <w:kinsoku w:val="0"/>
              <w:wordWrap/>
              <w:overflowPunct w:val="0"/>
              <w:topLinePunct w:val="0"/>
              <w:autoSpaceDE w:val="0"/>
              <w:autoSpaceDN w:val="0"/>
              <w:bidi w:val="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微信卡包：要求具有管理员设置微信卡包配置功能，包括：商户名称、卡券名、logo等，读者可申领电子借阅证到微信卡包中，通过微信卡包中的二维码直接在设备上扫描登录；</w:t>
            </w:r>
          </w:p>
          <w:p w14:paraId="4D75C0FE">
            <w:pPr>
              <w:keepNext w:val="0"/>
              <w:keepLines w:val="0"/>
              <w:pageBreakBefore w:val="0"/>
              <w:widowControl/>
              <w:kinsoku w:val="0"/>
              <w:wordWrap/>
              <w:overflowPunct w:val="0"/>
              <w:topLinePunct w:val="0"/>
              <w:autoSpaceDE w:val="0"/>
              <w:autoSpaceDN w:val="0"/>
              <w:bidi w:val="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书标打印：要求具有通过ISBN、正题名、条形码、馆藏地、批次等条件查询打印的书签功能，支持自定义书标规格；须具有按条码升降序排列打印、单选或批量打印书标功能；</w:t>
            </w:r>
          </w:p>
          <w:p w14:paraId="7D95173B">
            <w:pPr>
              <w:keepNext w:val="0"/>
              <w:keepLines w:val="0"/>
              <w:pageBreakBefore w:val="0"/>
              <w:widowControl/>
              <w:kinsoku w:val="0"/>
              <w:wordWrap/>
              <w:overflowPunct w:val="0"/>
              <w:topLinePunct w:val="0"/>
              <w:autoSpaceDE w:val="0"/>
              <w:autoSpaceDN w:val="0"/>
              <w:bidi w:val="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图书转借管理：要求具有通过组织类型、时间等查询转借信息，管理员可手动确认转借和取消订单的功能 ；</w:t>
            </w:r>
          </w:p>
          <w:p w14:paraId="2BAA06EE">
            <w:pPr>
              <w:keepNext w:val="0"/>
              <w:keepLines w:val="0"/>
              <w:pageBreakBefore w:val="0"/>
              <w:widowControl/>
              <w:kinsoku w:val="0"/>
              <w:wordWrap/>
              <w:overflowPunct w:val="0"/>
              <w:topLinePunct w:val="0"/>
              <w:autoSpaceDE w:val="0"/>
              <w:autoSpaceDN w:val="0"/>
              <w:bidi w:val="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图书退订：要求具有记录图书退订信息功能，根据组织、日期、批次号、退订人、ISBN、正题名、作者、出版社查询信息，可新增、删除、导出数据；</w:t>
            </w:r>
          </w:p>
          <w:p w14:paraId="33DD8737">
            <w:pPr>
              <w:keepNext w:val="0"/>
              <w:keepLines w:val="0"/>
              <w:pageBreakBefore w:val="0"/>
              <w:widowControl/>
              <w:kinsoku w:val="0"/>
              <w:wordWrap/>
              <w:overflowPunct w:val="0"/>
              <w:topLinePunct w:val="0"/>
              <w:autoSpaceDE w:val="0"/>
              <w:autoSpaceDN w:val="0"/>
              <w:bidi w:val="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数据统计及导出：要求具有书刊查询列表导出、书刊流通记录导出、书刊借阅排行导出、书刊超期列表导出、超期催还记录导出、罚款管理记录导出、退款审核记录导出、交易流水记录导出、读者信息列表导出、读者借阅排行导出、读者借阅率导出、流通数据排行导出、流通日志表格导出、馆藏流通率导出、借阅利用率导出、图书分类统计及图书荐购数据导出，完善的数据统计及导出Excel文档功能，便于汇总查漏补缺；</w:t>
            </w:r>
          </w:p>
          <w:p w14:paraId="0BF18031">
            <w:pPr>
              <w:keepNext w:val="0"/>
              <w:keepLines w:val="0"/>
              <w:pageBreakBefore w:val="0"/>
              <w:widowControl/>
              <w:kinsoku w:val="0"/>
              <w:wordWrap/>
              <w:overflowPunct w:val="0"/>
              <w:topLinePunct w:val="0"/>
              <w:autoSpaceDE w:val="0"/>
              <w:autoSpaceDN w:val="0"/>
              <w:bidi w:val="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19</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数据查看：要求具有查看校验短信数据功能，可按组织、验证码、验证码类型、发送日期和手机号生成记录；具有查看交易流水功能，可按组织、日期、收退款、交易类型、交易渠道、交易状态和读者证号生成记录；</w:t>
            </w:r>
          </w:p>
          <w:p w14:paraId="2BFF2C85">
            <w:pPr>
              <w:keepNext w:val="0"/>
              <w:keepLines w:val="0"/>
              <w:pageBreakBefore w:val="0"/>
              <w:widowControl/>
              <w:kinsoku w:val="0"/>
              <w:wordWrap/>
              <w:overflowPunct w:val="0"/>
              <w:topLinePunct w:val="0"/>
              <w:autoSpaceDE w:val="0"/>
              <w:autoSpaceDN w:val="0"/>
              <w:bidi w:val="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读者管理：要求具有恢复已删除读者功能（针对admin权限用户）；</w:t>
            </w:r>
          </w:p>
          <w:p w14:paraId="07030923">
            <w:pPr>
              <w:keepNext w:val="0"/>
              <w:keepLines w:val="0"/>
              <w:pageBreakBefore w:val="0"/>
              <w:widowControl/>
              <w:kinsoku w:val="0"/>
              <w:wordWrap/>
              <w:overflowPunct w:val="0"/>
              <w:topLinePunct w:val="0"/>
              <w:autoSpaceDE w:val="0"/>
              <w:autoSpaceDN w:val="0"/>
              <w:bidi w:val="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自助办证记录：要求具有记录通过设备和微信办理证件的读者信息，可通过组织、日期、姓名、借阅证号、读者标签和设备码等查办证信息；</w:t>
            </w:r>
          </w:p>
          <w:p w14:paraId="12E80CDA">
            <w:pPr>
              <w:keepNext w:val="0"/>
              <w:keepLines w:val="0"/>
              <w:pageBreakBefore w:val="0"/>
              <w:widowControl/>
              <w:kinsoku w:val="0"/>
              <w:wordWrap/>
              <w:overflowPunct w:val="0"/>
              <w:topLinePunct w:val="0"/>
              <w:autoSpaceDE w:val="0"/>
              <w:autoSpaceDN w:val="0"/>
              <w:bidi w:val="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层架管理：要求具有新增上架功能，在管理平台上即可上架图书；</w:t>
            </w:r>
          </w:p>
          <w:p w14:paraId="26BBD4B0">
            <w:pPr>
              <w:keepNext w:val="0"/>
              <w:keepLines w:val="0"/>
              <w:pageBreakBefore w:val="0"/>
              <w:widowControl/>
              <w:kinsoku w:val="0"/>
              <w:wordWrap/>
              <w:overflowPunct w:val="0"/>
              <w:topLinePunct w:val="0"/>
              <w:autoSpaceDE w:val="0"/>
              <w:autoSpaceDN w:val="0"/>
              <w:bidi w:val="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信息发布：管理员可以选择不同馆藏地编辑本馆概况及读者须知内容，可新增新闻、通知、活动发布馆藏地（须支持多选），可添加友情链接，插入音频、图片和可设计字体等功能；</w:t>
            </w:r>
          </w:p>
          <w:p w14:paraId="37CC86A7">
            <w:pPr>
              <w:keepNext w:val="0"/>
              <w:keepLines w:val="0"/>
              <w:pageBreakBefore w:val="0"/>
              <w:widowControl/>
              <w:kinsoku w:val="0"/>
              <w:wordWrap/>
              <w:overflowPunct w:val="0"/>
              <w:topLinePunct w:val="0"/>
              <w:autoSpaceDE w:val="0"/>
              <w:autoSpaceDN w:val="0"/>
              <w:bidi w:val="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书刊推荐，要求具有输入ISBN或书名选择馆藏地进行推荐的功能；</w:t>
            </w:r>
          </w:p>
          <w:p w14:paraId="5ABB3014">
            <w:pPr>
              <w:keepNext w:val="0"/>
              <w:keepLines w:val="0"/>
              <w:pageBreakBefore w:val="0"/>
              <w:widowControl/>
              <w:kinsoku w:val="0"/>
              <w:wordWrap/>
              <w:overflowPunct w:val="0"/>
              <w:topLinePunct w:val="0"/>
              <w:autoSpaceDE w:val="0"/>
              <w:autoSpaceDN w:val="0"/>
              <w:bidi w:val="0"/>
              <w:jc w:val="left"/>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书刊排行：要求可统计书刊从书架上取出的次数，按组织单位和馆藏地以周、月、年等周期生成排行榜</w:t>
            </w:r>
            <w:r>
              <w:rPr>
                <w:rFonts w:hint="eastAsia" w:ascii="宋体" w:hAnsi="宋体" w:cs="宋体"/>
                <w:color w:val="auto"/>
                <w:sz w:val="21"/>
                <w:szCs w:val="21"/>
                <w:lang w:eastAsia="zh-CN"/>
              </w:rPr>
              <w:t>。</w:t>
            </w:r>
          </w:p>
        </w:tc>
        <w:tc>
          <w:tcPr>
            <w:tcW w:w="810"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25FF2CF9">
            <w:pPr>
              <w:keepNext w:val="0"/>
              <w:keepLines w:val="0"/>
              <w:pageBreakBefore w:val="0"/>
              <w:widowControl/>
              <w:kinsoku w:val="0"/>
              <w:wordWrap/>
              <w:overflowPunct w:val="0"/>
              <w:topLinePunct w:val="0"/>
              <w:autoSpaceDE w:val="0"/>
              <w:autoSpaceDN w:val="0"/>
              <w:bidi w:val="0"/>
              <w:adjustRightInd w:val="0"/>
              <w:snapToGrid w:val="0"/>
              <w:spacing w:line="240" w:lineRule="auto"/>
              <w:ind w:left="0" w:leftChars="0" w:right="0" w:rightChars="0" w:firstLine="0"/>
              <w:jc w:val="center"/>
              <w:textAlignment w:val="auto"/>
              <w:rPr>
                <w:rFonts w:hint="default" w:ascii="宋体" w:hAnsi="宋体" w:eastAsia="宋体" w:cs="宋体"/>
                <w:b w:val="0"/>
                <w:bCs/>
                <w:color w:val="000000"/>
                <w:spacing w:val="-2"/>
                <w:sz w:val="22"/>
                <w:szCs w:val="22"/>
                <w:lang w:val="en-US" w:eastAsia="zh-CN"/>
              </w:rPr>
            </w:pPr>
            <w:r>
              <w:rPr>
                <w:rFonts w:hint="eastAsia" w:ascii="宋体" w:hAnsi="宋体" w:cs="宋体"/>
                <w:b w:val="0"/>
                <w:bCs/>
                <w:color w:val="000000"/>
                <w:spacing w:val="-2"/>
                <w:sz w:val="22"/>
                <w:szCs w:val="22"/>
                <w:lang w:val="en-US" w:eastAsia="zh-CN"/>
              </w:rPr>
              <w:t>1</w:t>
            </w:r>
          </w:p>
        </w:tc>
        <w:tc>
          <w:tcPr>
            <w:tcW w:w="79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5349B03F">
            <w:pPr>
              <w:keepNext w:val="0"/>
              <w:keepLines w:val="0"/>
              <w:pageBreakBefore w:val="0"/>
              <w:widowControl/>
              <w:kinsoku w:val="0"/>
              <w:wordWrap/>
              <w:overflowPunct w:val="0"/>
              <w:topLinePunct w:val="0"/>
              <w:autoSpaceDE w:val="0"/>
              <w:autoSpaceDN w:val="0"/>
              <w:bidi w:val="0"/>
              <w:adjustRightInd w:val="0"/>
              <w:snapToGrid w:val="0"/>
              <w:spacing w:line="240" w:lineRule="auto"/>
              <w:ind w:left="0" w:leftChars="0" w:right="0" w:rightChars="0" w:firstLine="0"/>
              <w:jc w:val="center"/>
              <w:textAlignment w:val="auto"/>
              <w:rPr>
                <w:rFonts w:hint="default" w:ascii="宋体" w:hAnsi="宋体" w:cs="宋体"/>
                <w:b w:val="0"/>
                <w:bCs/>
                <w:color w:val="000000"/>
                <w:spacing w:val="-2"/>
                <w:sz w:val="22"/>
                <w:szCs w:val="22"/>
                <w:lang w:val="en-US" w:eastAsia="zh-CN"/>
              </w:rPr>
            </w:pPr>
            <w:r>
              <w:rPr>
                <w:rFonts w:hint="eastAsia" w:ascii="宋体" w:hAnsi="宋体" w:cs="宋体"/>
                <w:b w:val="0"/>
                <w:bCs/>
                <w:color w:val="000000"/>
                <w:spacing w:val="-2"/>
                <w:sz w:val="22"/>
                <w:szCs w:val="22"/>
                <w:lang w:val="en-US" w:eastAsia="zh-CN"/>
              </w:rPr>
              <w:t>套</w:t>
            </w:r>
          </w:p>
        </w:tc>
      </w:tr>
    </w:tbl>
    <w:p w14:paraId="4601AEDA">
      <w:pPr>
        <w:widowControl/>
        <w:spacing w:line="560" w:lineRule="exact"/>
        <w:rPr>
          <w:rFonts w:hint="eastAsia" w:asciiTheme="minorEastAsia" w:hAnsiTheme="minorEastAsia" w:eastAsiaTheme="minorEastAsia"/>
          <w:sz w:val="24"/>
        </w:rPr>
      </w:pPr>
      <w:r>
        <w:rPr>
          <w:rFonts w:hint="eastAsia" w:asciiTheme="minorEastAsia" w:hAnsiTheme="minorEastAsia" w:eastAsiaTheme="minorEastAsia"/>
          <w:sz w:val="24"/>
        </w:rPr>
        <w:t>注：本招标项目必须要实质性满足技术要求和商务要求：</w:t>
      </w:r>
    </w:p>
    <w:p w14:paraId="499DB50A">
      <w:pPr>
        <w:widowControl/>
        <w:spacing w:line="56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1、供应商提供的货物必须是原装全新、高于或等于招标文件规定技术参数的产品。</w:t>
      </w:r>
    </w:p>
    <w:p w14:paraId="4237244A">
      <w:pPr>
        <w:widowControl/>
        <w:spacing w:line="56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属于节能产品政府采购品目清单规定必须强制采购的；必须采购当期节能产品政府采购品目清单内设备或产品；在价格、技术、服务等指标同等条件下，优先采购节能、环保产品（需提供供应商所投产品属于政府采购品目清单规定的节能环保产品的证明材料）。</w:t>
      </w:r>
    </w:p>
    <w:p w14:paraId="5877F4B0">
      <w:pPr>
        <w:widowControl/>
        <w:spacing w:line="560" w:lineRule="exact"/>
        <w:ind w:firstLine="480" w:firstLineChars="200"/>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3、核心产品为：</w:t>
      </w:r>
      <w:r>
        <w:rPr>
          <w:rFonts w:hint="eastAsia" w:asciiTheme="minorEastAsia" w:hAnsiTheme="minorEastAsia" w:eastAsiaTheme="minorEastAsia"/>
          <w:sz w:val="24"/>
          <w:lang w:val="en-US" w:eastAsia="zh-CN"/>
        </w:rPr>
        <w:t>计算机</w:t>
      </w:r>
    </w:p>
    <w:p w14:paraId="0CF2DA8F">
      <w:pPr>
        <w:widowControl/>
        <w:spacing w:line="560" w:lineRule="exact"/>
        <w:ind w:firstLine="480" w:firstLineChars="200"/>
        <w:rPr>
          <w:rFonts w:hint="default" w:asciiTheme="minorEastAsia" w:hAnsiTheme="minorEastAsia" w:eastAsiaTheme="minorEastAsia"/>
          <w:sz w:val="24"/>
          <w:highlight w:val="red"/>
          <w:lang w:val="en-US"/>
        </w:rPr>
      </w:pPr>
      <w:r>
        <w:rPr>
          <w:rFonts w:hint="eastAsia" w:asciiTheme="minorEastAsia" w:hAnsiTheme="minorEastAsia" w:eastAsiaTheme="minorEastAsia"/>
          <w:sz w:val="24"/>
        </w:rPr>
        <w:t>4、本标的所属行业：</w:t>
      </w:r>
      <w:r>
        <w:rPr>
          <w:rFonts w:hint="eastAsia" w:asciiTheme="minorEastAsia" w:hAnsiTheme="minorEastAsia" w:eastAsiaTheme="minorEastAsia"/>
          <w:sz w:val="24"/>
          <w:highlight w:val="none"/>
          <w:lang w:val="en-US" w:eastAsia="zh-CN"/>
        </w:rPr>
        <w:t>工业</w:t>
      </w:r>
    </w:p>
    <w:p w14:paraId="5BB75286">
      <w:pPr>
        <w:tabs>
          <w:tab w:val="left" w:pos="170"/>
          <w:tab w:val="left" w:pos="303"/>
          <w:tab w:val="left" w:pos="420"/>
        </w:tabs>
        <w:adjustRightInd w:val="0"/>
        <w:snapToGrid w:val="0"/>
        <w:spacing w:line="480" w:lineRule="exact"/>
        <w:outlineLvl w:val="1"/>
        <w:rPr>
          <w:rFonts w:hint="eastAsia" w:ascii="宋体" w:hAnsi="宋体" w:cs="宋体"/>
          <w:b/>
          <w:sz w:val="24"/>
        </w:rPr>
      </w:pPr>
      <w:r>
        <w:rPr>
          <w:rFonts w:hint="eastAsia" w:ascii="宋体" w:hAnsi="宋体" w:cs="宋体"/>
          <w:b/>
          <w:sz w:val="24"/>
        </w:rPr>
        <w:t>二、商务要求</w:t>
      </w:r>
    </w:p>
    <w:p w14:paraId="22E5CFD3">
      <w:pPr>
        <w:widowControl/>
        <w:spacing w:line="460" w:lineRule="exact"/>
        <w:ind w:firstLine="482"/>
        <w:rPr>
          <w:rFonts w:hint="eastAsia" w:ascii="宋体" w:hAnsi="宋体" w:cs="宋体"/>
          <w:kern w:val="0"/>
          <w:sz w:val="24"/>
        </w:rPr>
      </w:pPr>
      <w:r>
        <w:rPr>
          <w:rFonts w:hint="eastAsia" w:ascii="宋体" w:hAnsi="宋体" w:cs="宋体"/>
          <w:kern w:val="0"/>
          <w:sz w:val="24"/>
        </w:rPr>
        <w:t>1、合同履行期限（供货及安装期）：合同签订后</w:t>
      </w:r>
      <w:r>
        <w:rPr>
          <w:rFonts w:hint="eastAsia" w:ascii="宋体" w:hAnsi="宋体" w:cs="宋体"/>
          <w:kern w:val="0"/>
          <w:sz w:val="24"/>
          <w:lang w:val="en-US" w:eastAsia="zh-CN"/>
        </w:rPr>
        <w:t>20</w:t>
      </w:r>
      <w:r>
        <w:rPr>
          <w:rFonts w:hint="eastAsia" w:ascii="宋体" w:hAnsi="宋体" w:cs="宋体"/>
          <w:kern w:val="0"/>
          <w:sz w:val="24"/>
        </w:rPr>
        <w:t>日历天</w:t>
      </w:r>
    </w:p>
    <w:p w14:paraId="65628FC4">
      <w:pPr>
        <w:widowControl/>
        <w:spacing w:line="460" w:lineRule="exact"/>
        <w:ind w:firstLine="482"/>
        <w:rPr>
          <w:rFonts w:hint="eastAsia" w:ascii="宋体" w:hAnsi="宋体" w:cs="宋体"/>
          <w:kern w:val="0"/>
          <w:sz w:val="24"/>
        </w:rPr>
      </w:pPr>
      <w:r>
        <w:rPr>
          <w:rFonts w:hint="eastAsia" w:ascii="宋体" w:hAnsi="宋体" w:cs="宋体"/>
          <w:kern w:val="0"/>
          <w:sz w:val="24"/>
        </w:rPr>
        <w:t>2、质量标准：合格，符合国家及行业规范标准。</w:t>
      </w:r>
    </w:p>
    <w:p w14:paraId="1132424D">
      <w:pPr>
        <w:widowControl/>
        <w:spacing w:line="460" w:lineRule="exact"/>
        <w:ind w:firstLine="482"/>
        <w:rPr>
          <w:rFonts w:hint="eastAsia" w:ascii="宋体" w:hAnsi="宋体" w:cs="宋体"/>
          <w:kern w:val="0"/>
          <w:sz w:val="24"/>
        </w:rPr>
      </w:pPr>
      <w:r>
        <w:rPr>
          <w:rFonts w:hint="eastAsia" w:ascii="宋体" w:hAnsi="宋体" w:cs="宋体"/>
          <w:kern w:val="0"/>
          <w:sz w:val="24"/>
        </w:rPr>
        <w:t>3、质保期：硬件设备质保3年，软件产品质保</w:t>
      </w:r>
      <w:r>
        <w:rPr>
          <w:rFonts w:hint="eastAsia" w:ascii="宋体" w:hAnsi="宋体" w:cs="宋体"/>
          <w:sz w:val="24"/>
        </w:rPr>
        <w:t>1</w:t>
      </w:r>
      <w:r>
        <w:rPr>
          <w:rFonts w:hint="eastAsia" w:ascii="宋体" w:hAnsi="宋体" w:cs="宋体"/>
          <w:kern w:val="0"/>
          <w:sz w:val="24"/>
        </w:rPr>
        <w:t>年</w:t>
      </w:r>
    </w:p>
    <w:p w14:paraId="50262D42">
      <w:pPr>
        <w:widowControl/>
        <w:spacing w:line="460" w:lineRule="exact"/>
        <w:ind w:firstLine="482"/>
        <w:rPr>
          <w:rFonts w:hint="eastAsia" w:ascii="宋体" w:hAnsi="宋体" w:cs="宋体"/>
          <w:kern w:val="0"/>
          <w:sz w:val="24"/>
        </w:rPr>
      </w:pPr>
      <w:r>
        <w:rPr>
          <w:rFonts w:hint="eastAsia" w:ascii="宋体" w:hAnsi="宋体" w:cs="宋体"/>
          <w:kern w:val="0"/>
          <w:sz w:val="24"/>
        </w:rPr>
        <w:t>4、付款方式：</w:t>
      </w:r>
      <w:r>
        <w:rPr>
          <w:rFonts w:hint="eastAsia" w:ascii="宋体" w:hAnsi="宋体" w:cs="宋体"/>
          <w:bCs/>
          <w:sz w:val="24"/>
        </w:rPr>
        <w:t>自项目合同签订后支付合同价的30%作为预付款，供货安装调试完毕后（初验）支付合同价的30%，终验合格后支付合同价40%。</w:t>
      </w:r>
    </w:p>
    <w:p w14:paraId="63A31A09">
      <w:pPr>
        <w:widowControl/>
        <w:spacing w:line="460" w:lineRule="exact"/>
        <w:ind w:firstLine="482"/>
        <w:rPr>
          <w:rFonts w:hint="eastAsia" w:ascii="宋体" w:hAnsi="宋体" w:cs="宋体"/>
          <w:kern w:val="0"/>
          <w:sz w:val="24"/>
          <w:highlight w:val="red"/>
        </w:rPr>
      </w:pPr>
      <w:r>
        <w:rPr>
          <w:rFonts w:hint="eastAsia" w:ascii="宋体" w:hAnsi="宋体" w:cs="宋体"/>
          <w:kern w:val="0"/>
          <w:sz w:val="24"/>
        </w:rPr>
        <w:t>5、</w:t>
      </w:r>
      <w:r>
        <w:rPr>
          <w:rFonts w:hint="eastAsia" w:ascii="宋体" w:hAnsi="宋体" w:cs="宋体"/>
          <w:sz w:val="24"/>
        </w:rPr>
        <w:t>供应商对本项目采购安装过程中的一切安全问题负责</w:t>
      </w:r>
      <w:r>
        <w:rPr>
          <w:rFonts w:hint="eastAsia" w:ascii="宋体" w:hAnsi="宋体" w:cs="宋体"/>
          <w:kern w:val="0"/>
          <w:sz w:val="24"/>
          <w:highlight w:val="none"/>
        </w:rPr>
        <w:t>。</w:t>
      </w:r>
    </w:p>
    <w:p w14:paraId="032ABC0A">
      <w:pPr>
        <w:widowControl/>
        <w:spacing w:line="460" w:lineRule="exact"/>
        <w:ind w:firstLine="482"/>
        <w:rPr>
          <w:rFonts w:hint="eastAsia" w:ascii="宋体" w:hAnsi="宋体" w:cs="宋体"/>
          <w:bCs/>
          <w:kern w:val="0"/>
          <w:sz w:val="24"/>
        </w:rPr>
      </w:pPr>
      <w:r>
        <w:rPr>
          <w:rFonts w:hint="eastAsia" w:ascii="宋体" w:hAnsi="宋体" w:cs="宋体"/>
          <w:bCs/>
          <w:kern w:val="0"/>
          <w:sz w:val="24"/>
        </w:rPr>
        <w:t>6、售后服务要求：</w:t>
      </w:r>
    </w:p>
    <w:p w14:paraId="197C8D46">
      <w:pPr>
        <w:widowControl/>
        <w:spacing w:line="460" w:lineRule="exact"/>
        <w:ind w:firstLine="482"/>
        <w:rPr>
          <w:rFonts w:hint="eastAsia" w:ascii="宋体" w:hAnsi="宋体" w:cs="宋体"/>
          <w:bCs/>
          <w:kern w:val="0"/>
          <w:sz w:val="24"/>
        </w:rPr>
      </w:pPr>
      <w:r>
        <w:rPr>
          <w:rFonts w:hint="eastAsia" w:ascii="宋体" w:hAnsi="宋体" w:cs="宋体"/>
          <w:bCs/>
          <w:kern w:val="0"/>
          <w:sz w:val="24"/>
        </w:rPr>
        <w:t>（1）供应商必须提供24小时售后服务电话，售后服务电话有变更的应提前7日书面通知采购人。</w:t>
      </w:r>
    </w:p>
    <w:p w14:paraId="5A446E67">
      <w:pPr>
        <w:widowControl/>
        <w:spacing w:line="460" w:lineRule="exact"/>
        <w:ind w:firstLine="482"/>
        <w:rPr>
          <w:rFonts w:hint="eastAsia" w:ascii="宋体" w:hAnsi="宋体" w:cs="宋体"/>
          <w:bCs/>
          <w:kern w:val="0"/>
          <w:sz w:val="24"/>
          <w:highlight w:val="none"/>
        </w:rPr>
      </w:pPr>
      <w:r>
        <w:rPr>
          <w:rFonts w:hint="eastAsia" w:ascii="宋体" w:hAnsi="宋体" w:cs="宋体"/>
          <w:bCs/>
          <w:kern w:val="0"/>
          <w:sz w:val="24"/>
          <w:highlight w:val="none"/>
        </w:rPr>
        <w:t>（2）</w:t>
      </w:r>
      <w:r>
        <w:rPr>
          <w:rFonts w:hint="eastAsia" w:ascii="宋体" w:hAnsi="宋体" w:cs="宋体"/>
          <w:kern w:val="0"/>
          <w:sz w:val="24"/>
          <w:highlight w:val="none"/>
        </w:rPr>
        <w:t>质保期内要求：</w:t>
      </w:r>
      <w:r>
        <w:rPr>
          <w:rFonts w:hint="eastAsia" w:ascii="宋体" w:hAnsi="宋体" w:cs="宋体"/>
          <w:bCs/>
          <w:kern w:val="0"/>
          <w:sz w:val="24"/>
          <w:highlight w:val="none"/>
        </w:rPr>
        <w:t>质保期内</w:t>
      </w:r>
      <w:r>
        <w:rPr>
          <w:rFonts w:hint="eastAsia" w:ascii="宋体" w:hAnsi="宋体" w:cs="宋体"/>
          <w:bCs/>
          <w:kern w:val="0"/>
          <w:sz w:val="24"/>
          <w:highlight w:val="none"/>
          <w:lang w:val="en-US" w:eastAsia="zh-CN"/>
        </w:rPr>
        <w:t>供应商</w:t>
      </w:r>
      <w:r>
        <w:rPr>
          <w:rFonts w:hint="eastAsia" w:ascii="宋体" w:hAnsi="宋体" w:cs="宋体"/>
          <w:bCs/>
          <w:kern w:val="0"/>
          <w:sz w:val="24"/>
          <w:highlight w:val="none"/>
        </w:rPr>
        <w:t>定期提供巡检服务，进行日常的维护、整理、查验服务。对于产品出现的问题，供应商在接到</w:t>
      </w:r>
      <w:r>
        <w:rPr>
          <w:rFonts w:hint="eastAsia" w:ascii="宋体" w:hAnsi="宋体" w:cs="宋体"/>
          <w:bCs/>
          <w:kern w:val="0"/>
          <w:sz w:val="24"/>
          <w:highlight w:val="none"/>
          <w:lang w:val="en-US" w:eastAsia="zh-CN"/>
        </w:rPr>
        <w:t>采购人</w:t>
      </w:r>
      <w:r>
        <w:rPr>
          <w:rFonts w:hint="eastAsia" w:ascii="宋体" w:hAnsi="宋体" w:cs="宋体"/>
          <w:bCs/>
          <w:kern w:val="0"/>
          <w:sz w:val="24"/>
          <w:highlight w:val="none"/>
        </w:rPr>
        <w:t>通知后</w:t>
      </w:r>
      <w:r>
        <w:rPr>
          <w:rFonts w:hint="eastAsia" w:ascii="宋体" w:hAnsi="宋体" w:cs="宋体"/>
          <w:bCs/>
          <w:kern w:val="0"/>
          <w:sz w:val="24"/>
          <w:highlight w:val="none"/>
          <w:u w:val="single"/>
        </w:rPr>
        <w:t xml:space="preserve"> 2 </w:t>
      </w:r>
      <w:r>
        <w:rPr>
          <w:rFonts w:hint="eastAsia" w:ascii="宋体" w:hAnsi="宋体" w:cs="宋体"/>
          <w:bCs/>
          <w:kern w:val="0"/>
          <w:sz w:val="24"/>
          <w:highlight w:val="none"/>
        </w:rPr>
        <w:t>小时内响应，</w:t>
      </w:r>
      <w:r>
        <w:rPr>
          <w:rFonts w:hint="eastAsia" w:ascii="宋体" w:hAnsi="宋体" w:cs="宋体"/>
          <w:bCs/>
          <w:kern w:val="0"/>
          <w:sz w:val="24"/>
          <w:highlight w:val="none"/>
          <w:u w:val="single"/>
        </w:rPr>
        <w:t xml:space="preserve"> 24 </w:t>
      </w:r>
      <w:r>
        <w:rPr>
          <w:rFonts w:hint="eastAsia" w:ascii="宋体" w:hAnsi="宋体" w:cs="宋体"/>
          <w:bCs/>
          <w:kern w:val="0"/>
          <w:sz w:val="24"/>
          <w:highlight w:val="none"/>
        </w:rPr>
        <w:t>小时内到达现场维修，在</w:t>
      </w:r>
      <w:r>
        <w:rPr>
          <w:rFonts w:hint="eastAsia" w:ascii="宋体" w:hAnsi="宋体" w:cs="宋体"/>
          <w:bCs/>
          <w:kern w:val="0"/>
          <w:sz w:val="24"/>
          <w:highlight w:val="none"/>
          <w:u w:val="single"/>
        </w:rPr>
        <w:t xml:space="preserve"> 48 </w:t>
      </w:r>
      <w:r>
        <w:rPr>
          <w:rFonts w:hint="eastAsia" w:ascii="宋体" w:hAnsi="宋体" w:cs="宋体"/>
          <w:bCs/>
          <w:kern w:val="0"/>
          <w:sz w:val="24"/>
          <w:highlight w:val="none"/>
        </w:rPr>
        <w:t>小时内保证设备正常使用；</w:t>
      </w:r>
      <w:r>
        <w:rPr>
          <w:rFonts w:hint="eastAsia" w:ascii="宋体" w:hAnsi="宋体" w:cs="宋体"/>
          <w:bCs/>
          <w:kern w:val="0"/>
          <w:sz w:val="24"/>
          <w:highlight w:val="none"/>
          <w:u w:val="single"/>
        </w:rPr>
        <w:t xml:space="preserve"> 72 </w:t>
      </w:r>
      <w:r>
        <w:rPr>
          <w:rFonts w:hint="eastAsia" w:ascii="宋体" w:hAnsi="宋体" w:cs="宋体"/>
          <w:bCs/>
          <w:kern w:val="0"/>
          <w:sz w:val="24"/>
          <w:highlight w:val="none"/>
        </w:rPr>
        <w:t>小时内不能排除故障的，</w:t>
      </w:r>
      <w:r>
        <w:rPr>
          <w:rFonts w:hint="eastAsia" w:ascii="宋体" w:hAnsi="宋体" w:cs="宋体"/>
          <w:bCs/>
          <w:kern w:val="0"/>
          <w:sz w:val="24"/>
          <w:highlight w:val="none"/>
          <w:lang w:val="en-US" w:eastAsia="zh-CN"/>
        </w:rPr>
        <w:t>供应商</w:t>
      </w:r>
      <w:r>
        <w:rPr>
          <w:rFonts w:hint="eastAsia" w:ascii="宋体" w:hAnsi="宋体" w:cs="宋体"/>
          <w:bCs/>
          <w:kern w:val="0"/>
          <w:sz w:val="24"/>
          <w:highlight w:val="none"/>
        </w:rPr>
        <w:t>提供同等性能、同等配置产品服务直至维修完成，费用由乙方承担。</w:t>
      </w:r>
    </w:p>
    <w:p w14:paraId="0E4C4A33">
      <w:pPr>
        <w:widowControl/>
        <w:spacing w:line="460" w:lineRule="exact"/>
        <w:ind w:firstLine="482"/>
        <w:rPr>
          <w:rFonts w:hint="eastAsia" w:ascii="宋体" w:hAnsi="宋体" w:cs="宋体"/>
          <w:bCs/>
          <w:kern w:val="0"/>
          <w:sz w:val="24"/>
        </w:rPr>
      </w:pPr>
      <w:r>
        <w:rPr>
          <w:rFonts w:hint="eastAsia" w:ascii="宋体" w:hAnsi="宋体" w:cs="宋体"/>
          <w:bCs/>
          <w:kern w:val="0"/>
          <w:sz w:val="24"/>
          <w:highlight w:val="none"/>
        </w:rPr>
        <w:t>（3）技术培训：</w:t>
      </w:r>
      <w:r>
        <w:rPr>
          <w:rFonts w:hint="eastAsia" w:ascii="宋体" w:hAnsi="宋体" w:cs="宋体"/>
          <w:bCs/>
          <w:kern w:val="0"/>
          <w:sz w:val="24"/>
          <w:highlight w:val="none"/>
          <w:lang w:val="en-US" w:eastAsia="zh-CN"/>
        </w:rPr>
        <w:t>供应商</w:t>
      </w:r>
      <w:r>
        <w:rPr>
          <w:rFonts w:hint="eastAsia" w:ascii="宋体" w:hAnsi="宋体" w:cs="宋体"/>
          <w:bCs/>
          <w:kern w:val="0"/>
          <w:sz w:val="24"/>
          <w:highlight w:val="none"/>
        </w:rPr>
        <w:t>免费对</w:t>
      </w:r>
      <w:r>
        <w:rPr>
          <w:rFonts w:hint="eastAsia" w:ascii="宋体" w:hAnsi="宋体" w:cs="宋体"/>
          <w:bCs/>
          <w:kern w:val="0"/>
          <w:sz w:val="24"/>
          <w:highlight w:val="none"/>
          <w:lang w:val="en-US" w:eastAsia="zh-CN"/>
        </w:rPr>
        <w:t>采购人</w:t>
      </w:r>
      <w:r>
        <w:rPr>
          <w:rFonts w:hint="eastAsia" w:ascii="宋体" w:hAnsi="宋体" w:cs="宋体"/>
          <w:bCs/>
          <w:kern w:val="0"/>
          <w:sz w:val="24"/>
          <w:highlight w:val="none"/>
        </w:rPr>
        <w:t>进行技术培训，保证</w:t>
      </w:r>
      <w:r>
        <w:rPr>
          <w:rFonts w:hint="eastAsia" w:ascii="宋体" w:hAnsi="宋体" w:cs="宋体"/>
          <w:bCs/>
          <w:kern w:val="0"/>
          <w:sz w:val="24"/>
          <w:highlight w:val="none"/>
          <w:lang w:val="en-US" w:eastAsia="zh-CN"/>
        </w:rPr>
        <w:t>采购人</w:t>
      </w:r>
      <w:r>
        <w:rPr>
          <w:rFonts w:hint="eastAsia" w:ascii="宋体" w:hAnsi="宋体" w:cs="宋体"/>
          <w:bCs/>
          <w:kern w:val="0"/>
          <w:sz w:val="24"/>
          <w:highlight w:val="none"/>
        </w:rPr>
        <w:t>人员能够熟练独立操作，主要内容包括但不限于设备、软件的原理及功能、操作使用、维护、保养、</w:t>
      </w:r>
      <w:r>
        <w:rPr>
          <w:rFonts w:hint="eastAsia" w:ascii="宋体" w:hAnsi="宋体" w:cs="宋体"/>
          <w:bCs/>
          <w:kern w:val="0"/>
          <w:sz w:val="24"/>
        </w:rPr>
        <w:t>常见问题及解决办法等内容。</w:t>
      </w:r>
    </w:p>
    <w:bookmarkEnd w:id="268"/>
    <w:p w14:paraId="1FC745C5">
      <w:pPr>
        <w:rPr>
          <w:sz w:val="32"/>
          <w:szCs w:val="32"/>
        </w:rPr>
      </w:pPr>
      <w:bookmarkStart w:id="270" w:name="_Toc18132"/>
      <w:bookmarkStart w:id="271" w:name="_Toc7906"/>
      <w:bookmarkStart w:id="272" w:name="_Toc426369533"/>
      <w:bookmarkStart w:id="273" w:name="_Toc403122572"/>
      <w:r>
        <w:rPr>
          <w:rFonts w:hint="eastAsia"/>
          <w:sz w:val="32"/>
          <w:szCs w:val="32"/>
        </w:rPr>
        <w:br w:type="page"/>
      </w:r>
    </w:p>
    <w:p w14:paraId="3ACC55BB">
      <w:pPr>
        <w:pStyle w:val="9"/>
        <w:spacing w:before="0" w:after="0" w:line="500" w:lineRule="exact"/>
        <w:rPr>
          <w:sz w:val="32"/>
          <w:szCs w:val="32"/>
        </w:rPr>
      </w:pPr>
      <w:r>
        <w:rPr>
          <w:rFonts w:hint="eastAsia"/>
          <w:sz w:val="32"/>
          <w:szCs w:val="32"/>
        </w:rPr>
        <w:t>第六章 质疑与投诉</w:t>
      </w:r>
      <w:bookmarkEnd w:id="270"/>
    </w:p>
    <w:p w14:paraId="4C01C57E">
      <w:pPr>
        <w:spacing w:line="500" w:lineRule="exact"/>
      </w:pPr>
    </w:p>
    <w:p w14:paraId="7B025573">
      <w:pPr>
        <w:spacing w:line="500" w:lineRule="exact"/>
        <w:rPr>
          <w:b/>
          <w:bCs/>
          <w:sz w:val="28"/>
          <w:szCs w:val="28"/>
        </w:rPr>
      </w:pPr>
      <w:r>
        <w:rPr>
          <w:rFonts w:hint="eastAsia"/>
          <w:b/>
          <w:bCs/>
          <w:sz w:val="28"/>
          <w:szCs w:val="28"/>
        </w:rPr>
        <w:t>一、质疑与答复</w:t>
      </w:r>
    </w:p>
    <w:p w14:paraId="23952573">
      <w:pPr>
        <w:pStyle w:val="29"/>
        <w:spacing w:line="500" w:lineRule="exact"/>
        <w:ind w:firstLine="480" w:firstLineChars="200"/>
        <w:rPr>
          <w:rFonts w:ascii="宋体" w:hAnsi="宋体" w:eastAsia="宋体" w:cs="宋体"/>
          <w:sz w:val="24"/>
        </w:rPr>
      </w:pPr>
      <w:r>
        <w:rPr>
          <w:rFonts w:ascii="宋体" w:hAnsi="宋体" w:eastAsia="宋体" w:cs="宋体"/>
          <w:sz w:val="24"/>
        </w:rPr>
        <w:t>1. 参与政府采购活动的供应商认为采购文件、采购过程、中标或者成交结果使自己的权益受到损害的，可以在知道或者应知其权益受到损害之日起7个工作日内，以书面形式向采购人、采购代理机构提出质疑。</w:t>
      </w:r>
    </w:p>
    <w:p w14:paraId="2BCA6C3E">
      <w:pPr>
        <w:pStyle w:val="7"/>
        <w:spacing w:line="500" w:lineRule="exact"/>
        <w:ind w:firstLine="480"/>
        <w:rPr>
          <w:rFonts w:hint="eastAsia" w:ascii="宋体" w:hAnsi="宋体" w:cs="宋体"/>
          <w:sz w:val="24"/>
        </w:rPr>
      </w:pPr>
      <w:r>
        <w:rPr>
          <w:rFonts w:hint="eastAsia" w:ascii="宋体" w:hAnsi="宋体" w:cs="宋体"/>
          <w:sz w:val="24"/>
        </w:rPr>
        <w:t>2. 供应商提出质疑应当提交质疑函和必要的证明材料。政府采购供应商质疑函范本下载地址：</w:t>
      </w:r>
    </w:p>
    <w:p w14:paraId="0FA75A99">
      <w:pPr>
        <w:pStyle w:val="7"/>
        <w:spacing w:line="500" w:lineRule="exact"/>
        <w:ind w:left="420" w:leftChars="200" w:firstLine="0" w:firstLineChars="0"/>
        <w:rPr>
          <w:rFonts w:hint="eastAsia" w:ascii="宋体" w:hAnsi="宋体" w:cs="宋体"/>
          <w:sz w:val="24"/>
        </w:rPr>
      </w:pPr>
      <w:r>
        <w:fldChar w:fldCharType="begin"/>
      </w:r>
      <w:r>
        <w:instrText xml:space="preserve"> HYPERLINK "http://download.ccgp.gov.cn/2018/zhiyihanfanben.zip；" </w:instrText>
      </w:r>
      <w:r>
        <w:fldChar w:fldCharType="separate"/>
      </w:r>
      <w:r>
        <w:rPr>
          <w:rStyle w:val="33"/>
          <w:rFonts w:hint="eastAsia" w:ascii="宋体" w:hAnsi="宋体" w:cs="宋体"/>
          <w:color w:val="auto"/>
          <w:sz w:val="24"/>
        </w:rPr>
        <w:t>http://download.ccgp.gov.cn/2018/zhiyihanfanben.zip；</w:t>
      </w:r>
      <w:r>
        <w:rPr>
          <w:rStyle w:val="33"/>
          <w:rFonts w:hint="eastAsia" w:ascii="宋体" w:hAnsi="宋体" w:cs="宋体"/>
          <w:color w:val="auto"/>
          <w:sz w:val="24"/>
        </w:rPr>
        <w:fldChar w:fldCharType="end"/>
      </w:r>
    </w:p>
    <w:p w14:paraId="224B4B6B">
      <w:pPr>
        <w:numPr>
          <w:ilvl w:val="0"/>
          <w:numId w:val="7"/>
        </w:numPr>
        <w:spacing w:line="500" w:lineRule="exact"/>
        <w:ind w:firstLine="480" w:firstLineChars="200"/>
        <w:rPr>
          <w:rFonts w:hint="eastAsia" w:ascii="宋体" w:hAnsi="宋体" w:cs="宋体"/>
          <w:sz w:val="24"/>
        </w:rPr>
      </w:pPr>
      <w:r>
        <w:rPr>
          <w:rFonts w:hint="eastAsia" w:ascii="宋体" w:hAnsi="宋体" w:cs="宋体"/>
          <w:sz w:val="24"/>
        </w:rPr>
        <w:t>采购人、采购代理机构不得拒收质疑供应商在法定质疑期内发出的质疑函，应当在收到质疑函后7个工作日内作出答复，并以书面形式通知质疑供应商和其他有关供应商。</w:t>
      </w:r>
    </w:p>
    <w:p w14:paraId="3D990550">
      <w:pPr>
        <w:numPr>
          <w:ilvl w:val="0"/>
          <w:numId w:val="7"/>
        </w:numPr>
        <w:spacing w:line="500" w:lineRule="exact"/>
        <w:ind w:firstLine="480" w:firstLineChars="200"/>
        <w:rPr>
          <w:rFonts w:hint="eastAsia" w:ascii="宋体" w:hAnsi="宋体" w:cs="宋体"/>
          <w:sz w:val="24"/>
        </w:rPr>
      </w:pPr>
      <w:r>
        <w:rPr>
          <w:rFonts w:hint="eastAsia" w:ascii="宋体" w:hAnsi="宋体" w:cs="宋体"/>
          <w:sz w:val="24"/>
        </w:rPr>
        <w:t>供应商提出质疑应当提交质疑函和必要的证明材料。质疑函应当包括下列内容：</w:t>
      </w:r>
    </w:p>
    <w:p w14:paraId="326DA5CE">
      <w:pPr>
        <w:numPr>
          <w:ilvl w:val="1"/>
          <w:numId w:val="7"/>
        </w:numPr>
        <w:spacing w:line="500" w:lineRule="exact"/>
        <w:ind w:left="420" w:leftChars="200"/>
        <w:rPr>
          <w:rFonts w:hint="eastAsia" w:ascii="宋体" w:hAnsi="宋体" w:cs="宋体"/>
          <w:sz w:val="24"/>
        </w:rPr>
      </w:pPr>
      <w:r>
        <w:rPr>
          <w:rFonts w:hint="eastAsia" w:ascii="宋体" w:hAnsi="宋体" w:cs="宋体"/>
          <w:sz w:val="24"/>
        </w:rPr>
        <w:t>供应商的姓名或者名称、地址、邮编、联系人及联系电话；</w:t>
      </w:r>
    </w:p>
    <w:p w14:paraId="337E9E36">
      <w:pPr>
        <w:numPr>
          <w:ilvl w:val="1"/>
          <w:numId w:val="7"/>
        </w:numPr>
        <w:spacing w:line="500" w:lineRule="exact"/>
        <w:ind w:left="420" w:leftChars="200"/>
        <w:rPr>
          <w:rFonts w:hint="eastAsia" w:ascii="宋体" w:hAnsi="宋体" w:cs="宋体"/>
          <w:sz w:val="24"/>
        </w:rPr>
      </w:pPr>
      <w:r>
        <w:rPr>
          <w:rFonts w:hint="eastAsia" w:ascii="宋体" w:hAnsi="宋体" w:cs="宋体"/>
          <w:sz w:val="24"/>
        </w:rPr>
        <w:t>质疑项目的名称、编号；</w:t>
      </w:r>
    </w:p>
    <w:p w14:paraId="1B88574F">
      <w:pPr>
        <w:numPr>
          <w:ilvl w:val="1"/>
          <w:numId w:val="7"/>
        </w:numPr>
        <w:spacing w:line="500" w:lineRule="exact"/>
        <w:ind w:left="420" w:leftChars="200"/>
        <w:rPr>
          <w:rFonts w:hint="eastAsia" w:ascii="宋体" w:hAnsi="宋体" w:cs="宋体"/>
          <w:sz w:val="24"/>
        </w:rPr>
      </w:pPr>
      <w:r>
        <w:rPr>
          <w:rFonts w:hint="eastAsia" w:ascii="宋体" w:hAnsi="宋体" w:cs="宋体"/>
          <w:sz w:val="24"/>
        </w:rPr>
        <w:t>具体、明确的质疑事项和与质疑事项相关的请求；</w:t>
      </w:r>
    </w:p>
    <w:p w14:paraId="588A356F">
      <w:pPr>
        <w:numPr>
          <w:ilvl w:val="1"/>
          <w:numId w:val="7"/>
        </w:numPr>
        <w:spacing w:line="500" w:lineRule="exact"/>
        <w:ind w:left="420" w:leftChars="200"/>
        <w:rPr>
          <w:rFonts w:hint="eastAsia" w:ascii="宋体" w:hAnsi="宋体" w:cs="宋体"/>
          <w:sz w:val="24"/>
        </w:rPr>
      </w:pPr>
      <w:r>
        <w:rPr>
          <w:rFonts w:hint="eastAsia" w:ascii="宋体" w:hAnsi="宋体" w:cs="宋体"/>
          <w:sz w:val="24"/>
        </w:rPr>
        <w:t>事实依据；</w:t>
      </w:r>
    </w:p>
    <w:p w14:paraId="4930C4F5">
      <w:pPr>
        <w:numPr>
          <w:ilvl w:val="1"/>
          <w:numId w:val="7"/>
        </w:numPr>
        <w:spacing w:line="500" w:lineRule="exact"/>
        <w:ind w:left="420" w:leftChars="200"/>
        <w:rPr>
          <w:rFonts w:hint="eastAsia" w:ascii="宋体" w:hAnsi="宋体" w:cs="宋体"/>
          <w:sz w:val="24"/>
        </w:rPr>
      </w:pPr>
      <w:r>
        <w:rPr>
          <w:rFonts w:hint="eastAsia" w:ascii="宋体" w:hAnsi="宋体" w:cs="宋体"/>
          <w:sz w:val="24"/>
        </w:rPr>
        <w:t>必要的法律依据；</w:t>
      </w:r>
    </w:p>
    <w:p w14:paraId="6F00B87A">
      <w:pPr>
        <w:numPr>
          <w:ilvl w:val="1"/>
          <w:numId w:val="7"/>
        </w:numPr>
        <w:spacing w:line="500" w:lineRule="exact"/>
        <w:ind w:left="420" w:leftChars="200"/>
        <w:rPr>
          <w:rFonts w:hint="eastAsia" w:ascii="宋体" w:hAnsi="宋体" w:cs="宋体"/>
          <w:sz w:val="24"/>
        </w:rPr>
      </w:pPr>
      <w:r>
        <w:rPr>
          <w:rFonts w:hint="eastAsia" w:ascii="宋体" w:hAnsi="宋体" w:cs="宋体"/>
          <w:sz w:val="24"/>
        </w:rPr>
        <w:t>提出质疑的日期；</w:t>
      </w:r>
    </w:p>
    <w:p w14:paraId="09B2197C">
      <w:pPr>
        <w:numPr>
          <w:ilvl w:val="1"/>
          <w:numId w:val="7"/>
        </w:numPr>
        <w:spacing w:line="500" w:lineRule="exact"/>
        <w:ind w:left="420" w:leftChars="200"/>
        <w:rPr>
          <w:rFonts w:hint="eastAsia" w:ascii="宋体" w:hAnsi="宋体" w:cs="宋体"/>
          <w:sz w:val="24"/>
        </w:rPr>
      </w:pPr>
      <w:r>
        <w:rPr>
          <w:rFonts w:hint="eastAsia" w:ascii="宋体" w:hAnsi="宋体" w:cs="宋体"/>
          <w:sz w:val="24"/>
        </w:rPr>
        <w:t>获取招标文件的凭证；</w:t>
      </w:r>
    </w:p>
    <w:p w14:paraId="10885296">
      <w:pPr>
        <w:numPr>
          <w:ilvl w:val="1"/>
          <w:numId w:val="7"/>
        </w:numPr>
        <w:spacing w:line="500" w:lineRule="exact"/>
        <w:ind w:left="420" w:leftChars="200"/>
        <w:rPr>
          <w:rFonts w:hint="eastAsia" w:ascii="宋体" w:hAnsi="宋体" w:cs="宋体"/>
          <w:sz w:val="24"/>
        </w:rPr>
      </w:pPr>
      <w:r>
        <w:rPr>
          <w:rFonts w:hint="eastAsia" w:ascii="宋体" w:hAnsi="宋体" w:cs="宋体"/>
          <w:sz w:val="24"/>
        </w:rPr>
        <w:t>如有委托人需提供授权委托人与公司的劳动关系证明；</w:t>
      </w:r>
    </w:p>
    <w:p w14:paraId="58D5023B">
      <w:pPr>
        <w:numPr>
          <w:ilvl w:val="1"/>
          <w:numId w:val="7"/>
        </w:numPr>
        <w:spacing w:line="500" w:lineRule="exact"/>
        <w:ind w:left="420" w:leftChars="200"/>
        <w:rPr>
          <w:rFonts w:hint="eastAsia" w:ascii="宋体" w:hAnsi="宋体" w:cs="宋体"/>
          <w:sz w:val="24"/>
        </w:rPr>
      </w:pPr>
      <w:r>
        <w:rPr>
          <w:rFonts w:hint="eastAsia" w:ascii="宋体" w:hAnsi="宋体" w:cs="宋体"/>
          <w:sz w:val="24"/>
        </w:rPr>
        <w:t>以上资料一式二份（采购人、采购代理机构各执一份）。</w:t>
      </w:r>
    </w:p>
    <w:p w14:paraId="7EC3850B">
      <w:pPr>
        <w:spacing w:line="500" w:lineRule="exact"/>
        <w:ind w:firstLine="480" w:firstLineChars="200"/>
        <w:rPr>
          <w:rFonts w:hint="eastAsia" w:ascii="宋体" w:hAnsi="宋体" w:cs="宋体"/>
          <w:sz w:val="24"/>
        </w:rPr>
      </w:pPr>
      <w:r>
        <w:rPr>
          <w:rFonts w:hint="eastAsia" w:ascii="宋体" w:hAnsi="宋体" w:cs="宋体"/>
          <w:sz w:val="24"/>
        </w:rPr>
        <w:t>3.0投标人不得虚假质疑和恶意质疑，并对质疑内容的真实性承担责任。</w:t>
      </w:r>
    </w:p>
    <w:p w14:paraId="2DD4019D">
      <w:pPr>
        <w:spacing w:line="500" w:lineRule="exact"/>
        <w:rPr>
          <w:b/>
          <w:bCs/>
          <w:sz w:val="28"/>
          <w:szCs w:val="28"/>
        </w:rPr>
      </w:pPr>
      <w:r>
        <w:rPr>
          <w:rFonts w:hint="eastAsia"/>
          <w:b/>
          <w:bCs/>
          <w:sz w:val="28"/>
          <w:szCs w:val="28"/>
        </w:rPr>
        <w:t>二、投诉与处理</w:t>
      </w:r>
    </w:p>
    <w:p w14:paraId="394EBF60">
      <w:pPr>
        <w:pStyle w:val="29"/>
        <w:spacing w:line="500" w:lineRule="exact"/>
        <w:ind w:firstLine="480" w:firstLineChars="200"/>
        <w:rPr>
          <w:rFonts w:ascii="宋体" w:hAnsi="宋体" w:eastAsia="宋体" w:cs="宋体"/>
          <w:sz w:val="24"/>
        </w:rPr>
      </w:pPr>
      <w:r>
        <w:rPr>
          <w:rFonts w:ascii="宋体" w:hAnsi="宋体" w:eastAsia="宋体" w:cs="宋体"/>
          <w:sz w:val="24"/>
        </w:rPr>
        <w:t>1.质疑供应商对采购人、采购代理机构的答复不满意，或者采购人、采购代理机构未在规定时间内作出答复的，可以在答复期满后15个工作日内向本办法第六条规定的财政部门提起投诉。</w:t>
      </w:r>
    </w:p>
    <w:p w14:paraId="1D108976">
      <w:pPr>
        <w:spacing w:line="500" w:lineRule="exact"/>
        <w:ind w:firstLine="480" w:firstLineChars="200"/>
        <w:rPr>
          <w:rFonts w:hint="eastAsia" w:ascii="宋体" w:hAnsi="宋体" w:cs="宋体"/>
          <w:sz w:val="24"/>
        </w:rPr>
      </w:pPr>
      <w:r>
        <w:rPr>
          <w:rFonts w:hint="eastAsia" w:ascii="宋体" w:hAnsi="宋体" w:cs="宋体"/>
          <w:sz w:val="24"/>
        </w:rPr>
        <w:t>2.质疑供应商对采购人、采购代理机构的答复不满意，或者采购人、采购代理机构未在规定时间内作出答复的，可以在答复期满后15个工作日内向财政部门提起投诉。</w:t>
      </w:r>
    </w:p>
    <w:p w14:paraId="1E764791">
      <w:pPr>
        <w:pStyle w:val="29"/>
        <w:spacing w:line="500" w:lineRule="exact"/>
        <w:ind w:firstLine="480" w:firstLineChars="200"/>
        <w:rPr>
          <w:rFonts w:ascii="宋体" w:hAnsi="宋体" w:eastAsia="宋体" w:cs="宋体"/>
          <w:sz w:val="24"/>
        </w:rPr>
      </w:pPr>
      <w:r>
        <w:rPr>
          <w:rFonts w:ascii="宋体" w:hAnsi="宋体" w:eastAsia="宋体" w:cs="宋体"/>
          <w:sz w:val="24"/>
        </w:rPr>
        <w:t>3.投诉人投诉时,应当提交投诉书和必要的证明材料，并按照被投诉采购人、采购代理机构（以下简称被投诉人）和与投诉事项有关的供应商数量提供投诉书的副本。政府采购供应商投诉书范本下载地址：</w:t>
      </w:r>
    </w:p>
    <w:p w14:paraId="3AA43508">
      <w:pPr>
        <w:pStyle w:val="29"/>
        <w:spacing w:line="500" w:lineRule="exact"/>
        <w:ind w:firstLine="640" w:firstLineChars="200"/>
        <w:rPr>
          <w:rFonts w:ascii="宋体" w:hAnsi="宋体" w:eastAsia="宋体" w:cs="宋体"/>
          <w:sz w:val="24"/>
        </w:rPr>
      </w:pPr>
      <w:r>
        <w:fldChar w:fldCharType="begin"/>
      </w:r>
      <w:r>
        <w:instrText xml:space="preserve"> HYPERLINK "http://download.ccgp.gov.cn/2018/tousushufanben.zip" </w:instrText>
      </w:r>
      <w:r>
        <w:fldChar w:fldCharType="separate"/>
      </w:r>
      <w:r>
        <w:rPr>
          <w:rStyle w:val="33"/>
          <w:rFonts w:ascii="宋体" w:hAnsi="宋体" w:eastAsia="宋体" w:cs="宋体"/>
          <w:color w:val="auto"/>
          <w:sz w:val="24"/>
        </w:rPr>
        <w:t>http://download.ccgp.gov.cn/2018/tousushufanben.zip</w:t>
      </w:r>
      <w:r>
        <w:rPr>
          <w:rStyle w:val="33"/>
          <w:rFonts w:ascii="宋体" w:hAnsi="宋体" w:eastAsia="宋体" w:cs="宋体"/>
          <w:color w:val="auto"/>
          <w:sz w:val="24"/>
        </w:rPr>
        <w:fldChar w:fldCharType="end"/>
      </w:r>
    </w:p>
    <w:p w14:paraId="489345F4">
      <w:pPr>
        <w:spacing w:line="500" w:lineRule="exact"/>
        <w:ind w:firstLine="480" w:firstLineChars="200"/>
        <w:rPr>
          <w:rFonts w:hint="eastAsia" w:ascii="宋体" w:hAnsi="宋体" w:cs="宋体"/>
          <w:sz w:val="24"/>
        </w:rPr>
      </w:pPr>
      <w:r>
        <w:rPr>
          <w:rFonts w:hint="eastAsia" w:ascii="宋体" w:hAnsi="宋体" w:cs="宋体"/>
          <w:sz w:val="24"/>
        </w:rPr>
        <w:t>4.财政部门自收到投诉之日起30个工作日内，对投诉事项作出处理决定并公示。</w:t>
      </w:r>
    </w:p>
    <w:p w14:paraId="54EF7782">
      <w:pPr>
        <w:spacing w:line="500" w:lineRule="exact"/>
        <w:ind w:firstLine="480" w:firstLineChars="200"/>
        <w:rPr>
          <w:rFonts w:hint="eastAsia" w:ascii="宋体" w:hAnsi="宋体" w:cs="宋体"/>
          <w:sz w:val="24"/>
        </w:rPr>
      </w:pPr>
      <w:r>
        <w:rPr>
          <w:rFonts w:hint="eastAsia" w:ascii="宋体" w:hAnsi="宋体" w:cs="宋体"/>
          <w:sz w:val="24"/>
        </w:rPr>
        <w:t>投诉人在全国范围12个月内三次以上投诉查无实据的，由财政部门列入不良行为记录名单。</w:t>
      </w:r>
    </w:p>
    <w:p w14:paraId="01C89637">
      <w:pPr>
        <w:spacing w:line="500" w:lineRule="exact"/>
        <w:ind w:firstLine="480" w:firstLineChars="200"/>
        <w:rPr>
          <w:rFonts w:hint="eastAsia" w:ascii="宋体" w:hAnsi="宋体" w:cs="宋体"/>
          <w:sz w:val="24"/>
        </w:rPr>
      </w:pPr>
      <w:r>
        <w:rPr>
          <w:rFonts w:hint="eastAsia" w:ascii="宋体" w:hAnsi="宋体" w:cs="宋体"/>
          <w:sz w:val="24"/>
        </w:rPr>
        <w:t>投诉人有财政部94号令第三十七条情形的，属于虚假、恶意投诉，由财政部门列入不良行为记录名单，禁止其1至3年内参加政府采购活动。</w:t>
      </w:r>
    </w:p>
    <w:p w14:paraId="0737633F">
      <w:pPr>
        <w:pStyle w:val="7"/>
        <w:spacing w:line="500" w:lineRule="exact"/>
        <w:ind w:firstLine="480"/>
        <w:rPr>
          <w:rFonts w:hint="eastAsia" w:ascii="宋体" w:hAnsi="宋体" w:cs="宋体"/>
          <w:sz w:val="24"/>
        </w:rPr>
      </w:pPr>
    </w:p>
    <w:p w14:paraId="72E72241">
      <w:pPr>
        <w:spacing w:line="500" w:lineRule="exact"/>
        <w:rPr>
          <w:rFonts w:hint="eastAsia" w:ascii="宋体" w:hAnsi="宋体" w:cs="宋体"/>
          <w:sz w:val="24"/>
        </w:rPr>
      </w:pPr>
      <w:r>
        <w:rPr>
          <w:rFonts w:hint="eastAsia" w:ascii="宋体" w:hAnsi="宋体" w:cs="宋体"/>
          <w:sz w:val="24"/>
        </w:rPr>
        <w:t xml:space="preserve">投诉联系电话：0391-8683273  </w:t>
      </w:r>
    </w:p>
    <w:p w14:paraId="281A1B8E">
      <w:pPr>
        <w:spacing w:line="500" w:lineRule="exact"/>
        <w:rPr>
          <w:rFonts w:hint="eastAsia" w:ascii="宋体" w:hAnsi="宋体" w:cs="宋体"/>
          <w:b/>
          <w:bCs/>
          <w:sz w:val="24"/>
        </w:rPr>
      </w:pPr>
      <w:r>
        <w:rPr>
          <w:rFonts w:hint="eastAsia" w:ascii="宋体" w:hAnsi="宋体" w:cs="宋体"/>
          <w:sz w:val="24"/>
        </w:rPr>
        <w:t xml:space="preserve">地址：博爱县机关综合办公楼主楼1213室 </w:t>
      </w:r>
    </w:p>
    <w:p w14:paraId="0C9FDC33">
      <w:pPr>
        <w:rPr>
          <w:rFonts w:hint="eastAsia" w:ascii="宋体" w:hAnsi="宋体" w:cs="宋体"/>
          <w:szCs w:val="21"/>
        </w:rPr>
      </w:pPr>
    </w:p>
    <w:p w14:paraId="6BCF3A2F">
      <w:pPr>
        <w:rPr>
          <w:szCs w:val="21"/>
        </w:rPr>
      </w:pPr>
    </w:p>
    <w:p w14:paraId="07F81CFB">
      <w:pPr>
        <w:rPr>
          <w:szCs w:val="21"/>
        </w:rPr>
      </w:pPr>
    </w:p>
    <w:p w14:paraId="547C7F0E">
      <w:pPr>
        <w:rPr>
          <w:szCs w:val="21"/>
        </w:rPr>
      </w:pPr>
    </w:p>
    <w:p w14:paraId="47232CEE">
      <w:pPr>
        <w:rPr>
          <w:szCs w:val="21"/>
        </w:rPr>
      </w:pPr>
    </w:p>
    <w:p w14:paraId="2B7F6F11">
      <w:pPr>
        <w:rPr>
          <w:szCs w:val="21"/>
        </w:rPr>
      </w:pPr>
    </w:p>
    <w:p w14:paraId="52D4B963"/>
    <w:p w14:paraId="45D8FF7A"/>
    <w:p w14:paraId="30CDD678">
      <w:pPr>
        <w:pStyle w:val="4"/>
      </w:pPr>
    </w:p>
    <w:p w14:paraId="63A989B1">
      <w:pPr>
        <w:pStyle w:val="26"/>
      </w:pPr>
    </w:p>
    <w:p w14:paraId="7A142BCE">
      <w:pPr>
        <w:pStyle w:val="4"/>
      </w:pPr>
    </w:p>
    <w:p w14:paraId="72E17C3D">
      <w:pPr>
        <w:pStyle w:val="26"/>
      </w:pPr>
    </w:p>
    <w:p w14:paraId="4F681A7C">
      <w:pPr>
        <w:pStyle w:val="9"/>
        <w:spacing w:line="500" w:lineRule="exact"/>
        <w:rPr>
          <w:rFonts w:hint="eastAsia" w:ascii="宋体" w:hAnsi="宋体" w:cs="宋体"/>
        </w:rPr>
      </w:pPr>
      <w:bookmarkStart w:id="274" w:name="_Toc3861"/>
      <w:r>
        <w:rPr>
          <w:rFonts w:hint="eastAsia" w:ascii="宋体" w:hAnsi="宋体" w:cs="宋体"/>
          <w:sz w:val="32"/>
          <w:szCs w:val="32"/>
        </w:rPr>
        <w:t>第七章 履约验收</w:t>
      </w:r>
      <w:bookmarkEnd w:id="274"/>
    </w:p>
    <w:p w14:paraId="67CCD74B">
      <w:pPr>
        <w:pStyle w:val="29"/>
        <w:spacing w:line="500" w:lineRule="exact"/>
        <w:ind w:firstLine="480" w:firstLineChars="200"/>
        <w:rPr>
          <w:rFonts w:ascii="宋体" w:hAnsi="宋体" w:eastAsia="宋体" w:cs="宋体"/>
          <w:sz w:val="24"/>
        </w:rPr>
      </w:pPr>
      <w:r>
        <w:rPr>
          <w:rFonts w:ascii="宋体" w:hAnsi="宋体" w:eastAsia="宋体" w:cs="宋体"/>
          <w:sz w:val="24"/>
        </w:rPr>
        <w:t>供应商履约完成后，向采购人提出验收建议，采购人自收到验收建议之日起五个工作日内，采购人组织供应商参与，共同完成验收。技术复杂、专业性强等项目可适当延长验收时间。验收流程如下：</w:t>
      </w:r>
    </w:p>
    <w:p w14:paraId="386C46B1">
      <w:pPr>
        <w:pStyle w:val="29"/>
        <w:numPr>
          <w:ilvl w:val="0"/>
          <w:numId w:val="8"/>
        </w:numPr>
        <w:spacing w:line="500" w:lineRule="exact"/>
        <w:ind w:firstLine="480" w:firstLineChars="200"/>
        <w:rPr>
          <w:rFonts w:ascii="宋体" w:hAnsi="宋体" w:eastAsia="宋体" w:cs="宋体"/>
          <w:sz w:val="24"/>
        </w:rPr>
      </w:pPr>
      <w:r>
        <w:rPr>
          <w:rFonts w:ascii="宋体" w:hAnsi="宋体" w:eastAsia="宋体" w:cs="宋体"/>
          <w:sz w:val="24"/>
        </w:rPr>
        <w:t>编制验收方案。明确验收时间、方式、程序等内容。技术复杂、社会影响较大的货物类项目，可以根据需要设置出厂检验、到货检验、安装调试检验、配套服务检验等多重验收环节；服务类项目、可根据项目特点对服务期内的服务实施情况分期考核，结合考核情况和服务效果进行验收；工程类项目按照行业部门规定的标准、方法和内容进行验收。</w:t>
      </w:r>
    </w:p>
    <w:p w14:paraId="2CE0C41A">
      <w:pPr>
        <w:pStyle w:val="29"/>
        <w:numPr>
          <w:ilvl w:val="0"/>
          <w:numId w:val="8"/>
        </w:numPr>
        <w:spacing w:line="500" w:lineRule="exact"/>
        <w:ind w:firstLine="480" w:firstLineChars="200"/>
        <w:rPr>
          <w:rFonts w:ascii="宋体" w:hAnsi="宋体" w:eastAsia="宋体" w:cs="宋体"/>
          <w:sz w:val="24"/>
        </w:rPr>
      </w:pPr>
      <w:r>
        <w:rPr>
          <w:rFonts w:ascii="宋体" w:hAnsi="宋体" w:eastAsia="宋体" w:cs="宋体"/>
          <w:sz w:val="24"/>
        </w:rPr>
        <w:t>完善验收方式。对于采购人和使用人分离的采购项目，应邀请使用人参与验收。采购人可邀请参与本项目的其他供应商或第三方机构及专家参与验收。相关验收意见作为验收书的参考资料。政府向社会公众提供的公共服务项目，验收时应邀请服务对象参与并出具意见，验收结果应在焦作市政府采购网公示。</w:t>
      </w:r>
    </w:p>
    <w:p w14:paraId="45CFDE14">
      <w:pPr>
        <w:pStyle w:val="29"/>
        <w:numPr>
          <w:ilvl w:val="0"/>
          <w:numId w:val="8"/>
        </w:numPr>
        <w:spacing w:line="500" w:lineRule="exact"/>
        <w:ind w:firstLine="480" w:firstLineChars="200"/>
        <w:rPr>
          <w:rFonts w:ascii="宋体" w:hAnsi="宋体" w:eastAsia="宋体" w:cs="宋体"/>
          <w:sz w:val="24"/>
        </w:rPr>
      </w:pPr>
      <w:r>
        <w:rPr>
          <w:rFonts w:ascii="宋体" w:hAnsi="宋体" w:eastAsia="宋体" w:cs="宋体"/>
          <w:sz w:val="24"/>
        </w:rPr>
        <w:t>按照合同履约验收。验收时，应当按照采购合同的约定对每一项技术、服务、安全标准的履约情况进行确认。验收后，应当出具验收书，列明各项标准的验收情况及项目的总体评价，由验收双方共同签署。采购人将履约验收情况在焦作市政府采购网公示，履约验收各项资料采购人应当存档备查。</w:t>
      </w:r>
    </w:p>
    <w:p w14:paraId="52878DCA">
      <w:pPr>
        <w:pStyle w:val="29"/>
        <w:numPr>
          <w:ilvl w:val="0"/>
          <w:numId w:val="8"/>
        </w:numPr>
        <w:spacing w:line="500" w:lineRule="exact"/>
        <w:ind w:firstLine="480" w:firstLineChars="200"/>
        <w:rPr>
          <w:rFonts w:ascii="宋体" w:hAnsi="宋体" w:eastAsia="宋体" w:cs="宋体"/>
          <w:sz w:val="24"/>
        </w:rPr>
      </w:pPr>
      <w:r>
        <w:rPr>
          <w:rFonts w:ascii="宋体" w:hAnsi="宋体" w:eastAsia="宋体" w:cs="宋体"/>
          <w:sz w:val="24"/>
        </w:rPr>
        <w:t>落实履约验收责任。验收合格的项目，采购人应当按照合同约定及时支付资金。验收不合格的项目，采购人应当依法及时处理。合同履行、违约责任和解决争议的方式使用《中华人民共和国民法典》。供应商在履约过程中有政府采购法律法规规定的违法情形，采购人应及时报财政部门。</w:t>
      </w:r>
    </w:p>
    <w:p w14:paraId="35576722">
      <w:pPr>
        <w:pStyle w:val="4"/>
        <w:spacing w:line="500" w:lineRule="exact"/>
        <w:rPr>
          <w:rFonts w:hint="eastAsia" w:ascii="宋体" w:hAnsi="宋体" w:cs="宋体"/>
          <w:sz w:val="24"/>
        </w:rPr>
      </w:pPr>
    </w:p>
    <w:p w14:paraId="751C5AA4">
      <w:pPr>
        <w:pStyle w:val="26"/>
        <w:spacing w:line="500" w:lineRule="exact"/>
        <w:rPr>
          <w:rFonts w:hint="eastAsia" w:ascii="宋体" w:hAnsi="宋体" w:cs="宋体"/>
          <w:sz w:val="24"/>
        </w:rPr>
      </w:pPr>
    </w:p>
    <w:p w14:paraId="5BCE36DE">
      <w:pPr>
        <w:pStyle w:val="4"/>
        <w:rPr>
          <w:rFonts w:hint="eastAsia" w:asciiTheme="minorEastAsia" w:hAnsiTheme="minorEastAsia" w:eastAsiaTheme="minorEastAsia" w:cstheme="minorEastAsia"/>
          <w:szCs w:val="21"/>
        </w:rPr>
      </w:pPr>
    </w:p>
    <w:p w14:paraId="111BD511">
      <w:pPr>
        <w:pStyle w:val="26"/>
        <w:rPr>
          <w:rFonts w:hint="eastAsia" w:asciiTheme="minorEastAsia" w:hAnsiTheme="minorEastAsia" w:eastAsiaTheme="minorEastAsia" w:cstheme="minorEastAsia"/>
          <w:szCs w:val="21"/>
        </w:rPr>
      </w:pPr>
    </w:p>
    <w:p w14:paraId="73C9AEA9">
      <w:pPr>
        <w:pStyle w:val="4"/>
        <w:rPr>
          <w:rFonts w:hint="eastAsia" w:asciiTheme="minorEastAsia" w:hAnsiTheme="minorEastAsia" w:eastAsiaTheme="minorEastAsia" w:cstheme="minorEastAsia"/>
          <w:szCs w:val="21"/>
        </w:rPr>
      </w:pPr>
    </w:p>
    <w:p w14:paraId="1B3E8029">
      <w:pPr>
        <w:pStyle w:val="4"/>
      </w:pPr>
    </w:p>
    <w:p w14:paraId="47C754A0">
      <w:pPr>
        <w:pStyle w:val="9"/>
        <w:rPr>
          <w:sz w:val="32"/>
          <w:szCs w:val="32"/>
        </w:rPr>
      </w:pPr>
      <w:bookmarkStart w:id="275" w:name="_Toc21125"/>
      <w:bookmarkStart w:id="276" w:name="_Toc12999"/>
      <w:r>
        <w:rPr>
          <w:rFonts w:hint="eastAsia"/>
          <w:sz w:val="32"/>
          <w:szCs w:val="32"/>
        </w:rPr>
        <w:t>第八章  投标文件格式</w:t>
      </w:r>
      <w:bookmarkEnd w:id="271"/>
      <w:bookmarkEnd w:id="272"/>
      <w:bookmarkEnd w:id="273"/>
      <w:bookmarkEnd w:id="275"/>
      <w:bookmarkEnd w:id="276"/>
    </w:p>
    <w:p w14:paraId="45064CA6">
      <w:pPr>
        <w:rPr>
          <w:rFonts w:hint="eastAsia" w:asciiTheme="minorEastAsia" w:hAnsiTheme="minorEastAsia" w:eastAsiaTheme="minorEastAsia" w:cstheme="minorEastAsia"/>
        </w:rPr>
      </w:pPr>
      <w:bookmarkStart w:id="277" w:name="_Toc402961301"/>
      <w:bookmarkStart w:id="278" w:name="_Toc18905"/>
      <w:bookmarkStart w:id="279" w:name="_Toc403122573"/>
      <w:bookmarkStart w:id="280" w:name="_Toc27452"/>
    </w:p>
    <w:bookmarkEnd w:id="277"/>
    <w:bookmarkEnd w:id="278"/>
    <w:bookmarkEnd w:id="279"/>
    <w:bookmarkEnd w:id="280"/>
    <w:p w14:paraId="1DB763EF">
      <w:pPr>
        <w:ind w:firstLine="2891" w:firstLineChars="800"/>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6"/>
          <w:szCs w:val="36"/>
        </w:rPr>
        <w:t xml:space="preserve">（项目名称）              </w:t>
      </w:r>
    </w:p>
    <w:p w14:paraId="1F818352">
      <w:pPr>
        <w:spacing w:line="360" w:lineRule="auto"/>
        <w:jc w:val="center"/>
        <w:rPr>
          <w:rFonts w:hint="eastAsia" w:asciiTheme="minorEastAsia" w:hAnsiTheme="minorEastAsia" w:eastAsiaTheme="minorEastAsia" w:cstheme="minorEastAsia"/>
          <w:b/>
          <w:sz w:val="32"/>
          <w:szCs w:val="32"/>
        </w:rPr>
      </w:pPr>
    </w:p>
    <w:p w14:paraId="46979CCE">
      <w:pPr>
        <w:pStyle w:val="7"/>
      </w:pPr>
    </w:p>
    <w:p w14:paraId="416777A2">
      <w:pPr>
        <w:pStyle w:val="7"/>
      </w:pPr>
    </w:p>
    <w:p w14:paraId="396551CD">
      <w:pPr>
        <w:pStyle w:val="7"/>
      </w:pPr>
    </w:p>
    <w:p w14:paraId="7EFFF80A">
      <w:pPr>
        <w:spacing w:line="360" w:lineRule="auto"/>
        <w:jc w:val="center"/>
        <w:rPr>
          <w:rFonts w:hint="eastAsia" w:asciiTheme="minorEastAsia" w:hAnsiTheme="minorEastAsia" w:eastAsiaTheme="minorEastAsia" w:cstheme="minorEastAsia"/>
          <w:b/>
          <w:spacing w:val="24"/>
          <w:kern w:val="10"/>
          <w:sz w:val="52"/>
          <w:szCs w:val="52"/>
        </w:rPr>
      </w:pPr>
      <w:r>
        <w:rPr>
          <w:rFonts w:hint="eastAsia" w:asciiTheme="minorEastAsia" w:hAnsiTheme="minorEastAsia" w:eastAsiaTheme="minorEastAsia" w:cstheme="minorEastAsia"/>
          <w:b/>
          <w:spacing w:val="24"/>
          <w:kern w:val="10"/>
          <w:sz w:val="52"/>
          <w:szCs w:val="52"/>
        </w:rPr>
        <w:t>投  标  文  件</w:t>
      </w:r>
    </w:p>
    <w:p w14:paraId="3CDB9E48">
      <w:pPr>
        <w:jc w:val="center"/>
        <w:rPr>
          <w:rFonts w:hint="eastAsia" w:asciiTheme="minorEastAsia" w:hAnsiTheme="minorEastAsia" w:eastAsiaTheme="minorEastAsia" w:cstheme="minorEastAsia"/>
          <w:sz w:val="24"/>
        </w:rPr>
      </w:pPr>
    </w:p>
    <w:p w14:paraId="5053F35E">
      <w:pPr>
        <w:pStyle w:val="16"/>
        <w:ind w:firstLine="3360" w:firstLineChars="1400"/>
        <w:rPr>
          <w:rFonts w:eastAsiaTheme="minorEastAsia"/>
        </w:rPr>
      </w:pPr>
      <w:r>
        <w:rPr>
          <w:rFonts w:hint="eastAsia" w:asciiTheme="minorEastAsia" w:hAnsiTheme="minorEastAsia" w:eastAsiaTheme="minorEastAsia" w:cstheme="minorEastAsia"/>
        </w:rPr>
        <w:t xml:space="preserve"> </w:t>
      </w:r>
    </w:p>
    <w:p w14:paraId="3FAC345E">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（封面）</w:t>
      </w:r>
    </w:p>
    <w:p w14:paraId="4C61BE1C">
      <w:pPr>
        <w:jc w:val="center"/>
        <w:rPr>
          <w:rFonts w:hint="eastAsia" w:asciiTheme="minorEastAsia" w:hAnsiTheme="minorEastAsia" w:eastAsiaTheme="minorEastAsia" w:cstheme="minorEastAsia"/>
          <w:sz w:val="24"/>
        </w:rPr>
      </w:pPr>
    </w:p>
    <w:p w14:paraId="5CC70858">
      <w:pPr>
        <w:jc w:val="center"/>
        <w:rPr>
          <w:rFonts w:hint="eastAsia" w:asciiTheme="minorEastAsia" w:hAnsiTheme="minorEastAsia" w:eastAsiaTheme="minorEastAsia" w:cstheme="minorEastAsia"/>
          <w:sz w:val="24"/>
        </w:rPr>
      </w:pPr>
    </w:p>
    <w:p w14:paraId="5A97FF72">
      <w:pPr>
        <w:jc w:val="center"/>
        <w:rPr>
          <w:rFonts w:hint="eastAsia" w:asciiTheme="minorEastAsia" w:hAnsiTheme="minorEastAsia" w:eastAsiaTheme="minorEastAsia" w:cstheme="minorEastAsia"/>
          <w:sz w:val="24"/>
        </w:rPr>
      </w:pPr>
    </w:p>
    <w:p w14:paraId="142F8C56">
      <w:pPr>
        <w:rPr>
          <w:rFonts w:hint="eastAsia" w:asciiTheme="minorEastAsia" w:hAnsiTheme="minorEastAsia" w:eastAsiaTheme="minorEastAsia" w:cstheme="minorEastAsia"/>
          <w:sz w:val="24"/>
        </w:rPr>
      </w:pPr>
    </w:p>
    <w:p w14:paraId="7F278380">
      <w:pPr>
        <w:jc w:val="center"/>
        <w:rPr>
          <w:rFonts w:hint="eastAsia" w:asciiTheme="minorEastAsia" w:hAnsiTheme="minorEastAsia" w:eastAsiaTheme="minorEastAsia" w:cstheme="minorEastAsia"/>
          <w:sz w:val="24"/>
        </w:rPr>
      </w:pPr>
    </w:p>
    <w:p w14:paraId="29ECB18C">
      <w:pPr>
        <w:jc w:val="center"/>
        <w:rPr>
          <w:rFonts w:hint="eastAsia" w:asciiTheme="minorEastAsia" w:hAnsiTheme="minorEastAsia" w:eastAsiaTheme="minorEastAsia" w:cstheme="minorEastAsia"/>
          <w:sz w:val="24"/>
        </w:rPr>
      </w:pPr>
    </w:p>
    <w:p w14:paraId="78641EFF">
      <w:pPr>
        <w:jc w:val="center"/>
        <w:rPr>
          <w:rFonts w:hint="eastAsia" w:asciiTheme="minorEastAsia" w:hAnsiTheme="minorEastAsia" w:eastAsiaTheme="minorEastAsia" w:cstheme="minorEastAsia"/>
          <w:sz w:val="24"/>
        </w:rPr>
      </w:pPr>
    </w:p>
    <w:p w14:paraId="3406265B">
      <w:pPr>
        <w:jc w:val="center"/>
        <w:rPr>
          <w:rFonts w:hint="eastAsia" w:asciiTheme="minorEastAsia" w:hAnsiTheme="minorEastAsia" w:eastAsiaTheme="minorEastAsia" w:cstheme="minorEastAsia"/>
          <w:b/>
          <w:sz w:val="24"/>
        </w:rPr>
      </w:pPr>
    </w:p>
    <w:p w14:paraId="3D40E52C">
      <w:pPr>
        <w:jc w:val="center"/>
        <w:rPr>
          <w:rFonts w:hint="eastAsia" w:asciiTheme="minorEastAsia" w:hAnsiTheme="minorEastAsia" w:eastAsiaTheme="minorEastAsia" w:cstheme="minorEastAsia"/>
          <w:b/>
          <w:sz w:val="24"/>
        </w:rPr>
      </w:pPr>
    </w:p>
    <w:p w14:paraId="7820BD4F">
      <w:pPr>
        <w:jc w:val="center"/>
        <w:rPr>
          <w:rFonts w:hint="eastAsia" w:asciiTheme="minorEastAsia" w:hAnsiTheme="minorEastAsia" w:eastAsiaTheme="minorEastAsia" w:cstheme="minorEastAsia"/>
          <w:b/>
          <w:sz w:val="24"/>
        </w:rPr>
      </w:pPr>
    </w:p>
    <w:p w14:paraId="51360D06">
      <w:pPr>
        <w:jc w:val="center"/>
        <w:rPr>
          <w:rFonts w:hint="eastAsia" w:asciiTheme="minorEastAsia" w:hAnsiTheme="minorEastAsia" w:eastAsiaTheme="minorEastAsia" w:cstheme="minorEastAsia"/>
          <w:b/>
          <w:sz w:val="24"/>
        </w:rPr>
      </w:pPr>
    </w:p>
    <w:p w14:paraId="6AFA4580">
      <w:pPr>
        <w:pStyle w:val="3"/>
        <w:spacing w:line="600" w:lineRule="exact"/>
        <w:ind w:firstLine="2080" w:firstLineChars="700"/>
        <w:rPr>
          <w:rFonts w:asciiTheme="minorEastAsia" w:hAnsiTheme="minorEastAsia" w:eastAsiaTheme="minorEastAsia" w:cstheme="minorEastAsia"/>
          <w:b/>
          <w:bCs/>
          <w:sz w:val="28"/>
          <w:szCs w:val="28"/>
        </w:rPr>
      </w:pPr>
      <w:r>
        <w:rPr>
          <w:rFonts w:asciiTheme="minorEastAsia" w:hAnsiTheme="minorEastAsia" w:eastAsiaTheme="minorEastAsia" w:cstheme="minorEastAsia"/>
          <w:b/>
          <w:bCs/>
          <w:spacing w:val="8"/>
          <w:sz w:val="28"/>
          <w:szCs w:val="28"/>
        </w:rPr>
        <w:t>供  应  商：</w:t>
      </w:r>
      <w:r>
        <w:rPr>
          <w:rFonts w:asciiTheme="minorEastAsia" w:hAnsiTheme="minorEastAsia" w:eastAsiaTheme="minorEastAsia" w:cstheme="minorEastAsia"/>
          <w:b/>
          <w:bCs/>
          <w:sz w:val="28"/>
          <w:szCs w:val="28"/>
        </w:rPr>
        <w:t>（单位公章）</w:t>
      </w:r>
    </w:p>
    <w:p w14:paraId="1E49348A">
      <w:pPr>
        <w:pStyle w:val="3"/>
        <w:spacing w:line="600" w:lineRule="exact"/>
        <w:ind w:left="0" w:leftChars="0" w:firstLine="2108" w:firstLineChars="750"/>
        <w:rPr>
          <w:rFonts w:asciiTheme="minorEastAsia" w:hAnsiTheme="minorEastAsia" w:eastAsiaTheme="minorEastAsia" w:cstheme="minorEastAsia"/>
          <w:b/>
          <w:bCs/>
          <w:sz w:val="28"/>
          <w:szCs w:val="28"/>
        </w:rPr>
      </w:pPr>
      <w:r>
        <w:rPr>
          <w:rFonts w:asciiTheme="minorEastAsia" w:hAnsiTheme="minorEastAsia" w:eastAsiaTheme="minorEastAsia" w:cstheme="minorEastAsia"/>
          <w:b/>
          <w:bCs/>
          <w:sz w:val="28"/>
          <w:szCs w:val="28"/>
        </w:rPr>
        <w:t>法定代表人或</w:t>
      </w:r>
      <w:r>
        <w:rPr>
          <w:rFonts w:asciiTheme="minorEastAsia" w:hAnsiTheme="minorEastAsia" w:eastAsiaTheme="minorEastAsia" w:cstheme="minorEastAsia"/>
          <w:b/>
          <w:bCs/>
          <w:spacing w:val="12"/>
          <w:sz w:val="28"/>
          <w:szCs w:val="28"/>
        </w:rPr>
        <w:t>委托代理人：</w:t>
      </w:r>
      <w:r>
        <w:rPr>
          <w:rFonts w:asciiTheme="minorEastAsia" w:hAnsiTheme="minorEastAsia" w:eastAsiaTheme="minorEastAsia" w:cstheme="minorEastAsia"/>
          <w:b/>
          <w:bCs/>
          <w:sz w:val="28"/>
          <w:szCs w:val="28"/>
        </w:rPr>
        <w:t xml:space="preserve">（签字或盖章）  </w:t>
      </w:r>
    </w:p>
    <w:p w14:paraId="7971617B">
      <w:pPr>
        <w:pStyle w:val="3"/>
        <w:spacing w:line="600" w:lineRule="exact"/>
        <w:ind w:left="1050" w:leftChars="500" w:firstLine="1054" w:firstLineChars="375"/>
        <w:rPr>
          <w:rFonts w:asciiTheme="minorEastAsia" w:hAnsiTheme="minorEastAsia" w:eastAsiaTheme="minorEastAsia" w:cstheme="minorEastAsia"/>
          <w:b/>
          <w:bCs/>
          <w:sz w:val="28"/>
          <w:szCs w:val="28"/>
        </w:rPr>
      </w:pPr>
      <w:r>
        <w:rPr>
          <w:rFonts w:asciiTheme="minorEastAsia" w:hAnsiTheme="minorEastAsia" w:eastAsiaTheme="minorEastAsia" w:cstheme="minorEastAsia"/>
          <w:b/>
          <w:bCs/>
          <w:sz w:val="28"/>
          <w:szCs w:val="28"/>
        </w:rPr>
        <w:t>日       期：       年    月    日</w:t>
      </w:r>
    </w:p>
    <w:p w14:paraId="0DB5933D">
      <w:pPr>
        <w:ind w:firstLine="540" w:firstLineChars="192"/>
        <w:jc w:val="center"/>
        <w:rPr>
          <w:rFonts w:hint="eastAsia" w:asciiTheme="minorEastAsia" w:hAnsiTheme="minorEastAsia" w:eastAsiaTheme="minorEastAsia" w:cstheme="minorEastAsia"/>
          <w:b/>
          <w:bCs/>
          <w:sz w:val="28"/>
          <w:szCs w:val="28"/>
        </w:rPr>
      </w:pPr>
    </w:p>
    <w:p w14:paraId="09DE3FD7">
      <w:pPr>
        <w:ind w:firstLine="848" w:firstLineChars="192"/>
        <w:jc w:val="center"/>
        <w:rPr>
          <w:rFonts w:hint="eastAsia" w:asciiTheme="minorEastAsia" w:hAnsiTheme="minorEastAsia" w:eastAsiaTheme="minorEastAsia" w:cstheme="minorEastAsia"/>
          <w:b/>
          <w:bCs/>
          <w:sz w:val="44"/>
          <w:szCs w:val="44"/>
        </w:rPr>
      </w:pPr>
    </w:p>
    <w:p w14:paraId="2191D008">
      <w:pPr>
        <w:jc w:val="center"/>
        <w:rPr>
          <w:rFonts w:hint="eastAsia" w:asciiTheme="minorEastAsia" w:hAnsiTheme="minorEastAsia" w:eastAsiaTheme="minorEastAsia" w:cstheme="minorEastAsia"/>
          <w:b/>
          <w:bCs/>
          <w:sz w:val="44"/>
          <w:szCs w:val="44"/>
        </w:rPr>
      </w:pPr>
    </w:p>
    <w:p w14:paraId="556698C9">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sz w:val="44"/>
          <w:szCs w:val="44"/>
        </w:rPr>
        <w:t>目    录</w:t>
      </w:r>
    </w:p>
    <w:p w14:paraId="5C002C49">
      <w:pPr>
        <w:spacing w:line="600" w:lineRule="exact"/>
        <w:jc w:val="center"/>
        <w:outlineLvl w:val="1"/>
        <w:rPr>
          <w:rFonts w:hint="eastAsia" w:asciiTheme="minorEastAsia" w:hAnsiTheme="minorEastAsia" w:eastAsiaTheme="minorEastAsia" w:cstheme="minorEastAsia"/>
          <w:b/>
          <w:bCs/>
          <w:sz w:val="28"/>
          <w:szCs w:val="28"/>
        </w:rPr>
      </w:pPr>
      <w:bookmarkStart w:id="281" w:name="_Toc31547"/>
      <w:bookmarkStart w:id="282" w:name="_Toc2130"/>
      <w:r>
        <w:rPr>
          <w:rFonts w:hint="eastAsia" w:asciiTheme="minorEastAsia" w:hAnsiTheme="minorEastAsia" w:eastAsiaTheme="minorEastAsia" w:cstheme="minorEastAsia"/>
          <w:szCs w:val="21"/>
        </w:rPr>
        <w:t>（自拟）</w:t>
      </w:r>
      <w:r>
        <w:rPr>
          <w:rFonts w:hint="eastAsia" w:asciiTheme="minorEastAsia" w:hAnsiTheme="minorEastAsia" w:eastAsiaTheme="minorEastAsia" w:cstheme="minorEastAsia"/>
          <w:szCs w:val="21"/>
        </w:rPr>
        <w:br w:type="page"/>
      </w:r>
      <w:bookmarkStart w:id="283" w:name="_Toc1921"/>
      <w:r>
        <w:rPr>
          <w:rFonts w:hint="eastAsia" w:asciiTheme="minorEastAsia" w:hAnsiTheme="minorEastAsia" w:eastAsiaTheme="minorEastAsia" w:cstheme="minorEastAsia"/>
          <w:b/>
          <w:bCs/>
          <w:sz w:val="30"/>
          <w:szCs w:val="30"/>
        </w:rPr>
        <w:t>一、投标函</w:t>
      </w:r>
      <w:bookmarkEnd w:id="281"/>
      <w:r>
        <w:rPr>
          <w:rFonts w:hint="eastAsia" w:asciiTheme="minorEastAsia" w:hAnsiTheme="minorEastAsia" w:eastAsiaTheme="minorEastAsia" w:cstheme="minorEastAsia"/>
          <w:b/>
          <w:bCs/>
          <w:sz w:val="30"/>
          <w:szCs w:val="30"/>
        </w:rPr>
        <w:t>及开标一览表</w:t>
      </w:r>
      <w:bookmarkEnd w:id="282"/>
      <w:bookmarkEnd w:id="283"/>
    </w:p>
    <w:p w14:paraId="0DAFE17C">
      <w:pPr>
        <w:numPr>
          <w:ilvl w:val="0"/>
          <w:numId w:val="9"/>
        </w:numPr>
        <w:spacing w:line="600" w:lineRule="exact"/>
        <w:jc w:val="center"/>
        <w:outlineLvl w:val="2"/>
        <w:rPr>
          <w:rFonts w:hint="eastAsia" w:asciiTheme="minorEastAsia" w:hAnsiTheme="minorEastAsia" w:eastAsiaTheme="minorEastAsia" w:cstheme="minorEastAsia"/>
          <w:b/>
          <w:sz w:val="28"/>
          <w:szCs w:val="28"/>
        </w:rPr>
      </w:pPr>
      <w:bookmarkStart w:id="284" w:name="_Toc12044"/>
      <w:bookmarkStart w:id="285" w:name="_Toc600"/>
      <w:bookmarkStart w:id="286" w:name="_Toc27218"/>
      <w:bookmarkStart w:id="287" w:name="_Toc28684"/>
      <w:r>
        <w:rPr>
          <w:rFonts w:hint="eastAsia" w:asciiTheme="minorEastAsia" w:hAnsiTheme="minorEastAsia" w:eastAsiaTheme="minorEastAsia" w:cstheme="minorEastAsia"/>
          <w:b/>
          <w:sz w:val="28"/>
          <w:szCs w:val="28"/>
        </w:rPr>
        <w:t>投标函</w:t>
      </w:r>
      <w:bookmarkEnd w:id="284"/>
      <w:bookmarkEnd w:id="285"/>
      <w:bookmarkEnd w:id="286"/>
      <w:bookmarkEnd w:id="287"/>
    </w:p>
    <w:p w14:paraId="2F6A1A47">
      <w:pPr>
        <w:pStyle w:val="7"/>
        <w:ind w:firstLine="0" w:firstLineChars="0"/>
      </w:pPr>
    </w:p>
    <w:p w14:paraId="147EF388">
      <w:pPr>
        <w:widowControl/>
        <w:spacing w:line="360" w:lineRule="auto"/>
        <w:rPr>
          <w:rFonts w:hint="eastAsia" w:ascii="宋体" w:hAnsi="宋体"/>
          <w:b/>
          <w:bCs/>
          <w:kern w:val="0"/>
          <w:sz w:val="28"/>
          <w:szCs w:val="28"/>
          <w:u w:val="single"/>
        </w:rPr>
      </w:pPr>
      <w:r>
        <w:rPr>
          <w:rFonts w:hint="eastAsia" w:ascii="宋体" w:hAnsi="宋体"/>
          <w:b/>
          <w:bCs/>
          <w:kern w:val="0"/>
          <w:sz w:val="28"/>
          <w:szCs w:val="28"/>
        </w:rPr>
        <w:t>致：</w:t>
      </w:r>
      <w:r>
        <w:rPr>
          <w:rFonts w:hint="eastAsia" w:ascii="宋体" w:hAnsi="宋体"/>
          <w:b/>
          <w:bCs/>
          <w:kern w:val="0"/>
          <w:sz w:val="28"/>
          <w:szCs w:val="28"/>
          <w:u w:val="single"/>
        </w:rPr>
        <w:t xml:space="preserve">              （采购人名称） </w:t>
      </w:r>
    </w:p>
    <w:p w14:paraId="655164CC">
      <w:pPr>
        <w:pStyle w:val="29"/>
        <w:spacing w:line="360" w:lineRule="auto"/>
        <w:ind w:left="239" w:leftChars="114" w:firstLine="240"/>
        <w:rPr>
          <w:rFonts w:ascii="宋体" w:hAnsi="宋体" w:eastAsia="宋体"/>
          <w:sz w:val="24"/>
        </w:rPr>
      </w:pPr>
      <w:r>
        <w:rPr>
          <w:rFonts w:ascii="宋体" w:hAnsi="宋体" w:eastAsia="宋体"/>
          <w:sz w:val="24"/>
        </w:rPr>
        <w:t>我单位已收到的</w:t>
      </w:r>
      <w:r>
        <w:rPr>
          <w:rFonts w:ascii="宋体" w:hAnsi="宋体" w:eastAsia="宋体"/>
          <w:sz w:val="24"/>
          <w:u w:val="single"/>
        </w:rPr>
        <w:t xml:space="preserve">                           </w:t>
      </w:r>
      <w:r>
        <w:rPr>
          <w:rFonts w:ascii="宋体" w:hAnsi="宋体" w:eastAsia="宋体"/>
          <w:sz w:val="24"/>
        </w:rPr>
        <w:t xml:space="preserve"> 项目（采购编号：</w:t>
      </w:r>
      <w:r>
        <w:rPr>
          <w:rFonts w:ascii="宋体" w:hAnsi="宋体" w:eastAsia="宋体"/>
          <w:sz w:val="24"/>
          <w:u w:val="single"/>
        </w:rPr>
        <w:t xml:space="preserve">博政采购（2025） </w:t>
      </w:r>
      <w:r>
        <w:rPr>
          <w:rFonts w:hint="eastAsia" w:ascii="宋体" w:hAnsi="宋体" w:eastAsia="宋体"/>
          <w:sz w:val="24"/>
          <w:highlight w:val="none"/>
          <w:u w:val="single"/>
          <w:lang w:val="en-US" w:eastAsia="zh-CN"/>
        </w:rPr>
        <w:t>80</w:t>
      </w:r>
      <w:r>
        <w:rPr>
          <w:rFonts w:ascii="宋体" w:hAnsi="宋体" w:eastAsia="宋体"/>
          <w:sz w:val="24"/>
          <w:highlight w:val="none"/>
          <w:u w:val="single"/>
        </w:rPr>
        <w:t>号</w:t>
      </w:r>
      <w:r>
        <w:rPr>
          <w:rFonts w:ascii="宋体" w:hAnsi="宋体" w:eastAsia="宋体"/>
          <w:sz w:val="24"/>
          <w:highlight w:val="none"/>
        </w:rPr>
        <w:t>）</w:t>
      </w:r>
      <w:r>
        <w:rPr>
          <w:rFonts w:ascii="宋体" w:hAnsi="宋体" w:eastAsia="宋体"/>
          <w:sz w:val="24"/>
        </w:rPr>
        <w:t>采购文件及有关纪要通知，现对参与投标及中标后工作，做出如下郑重承诺：</w:t>
      </w:r>
    </w:p>
    <w:p w14:paraId="7E94CF61">
      <w:pPr>
        <w:spacing w:line="360" w:lineRule="auto"/>
        <w:ind w:firstLine="480" w:firstLineChars="200"/>
        <w:rPr>
          <w:rFonts w:hint="eastAsia" w:ascii="宋体" w:hAnsi="宋体"/>
          <w:sz w:val="24"/>
        </w:rPr>
      </w:pPr>
      <w:r>
        <w:rPr>
          <w:rFonts w:hint="eastAsia" w:ascii="宋体" w:hAnsi="宋体"/>
          <w:sz w:val="24"/>
        </w:rPr>
        <w:t>1.我方愿以总价为人民币（大写）</w:t>
      </w:r>
      <w:r>
        <w:rPr>
          <w:rFonts w:hint="eastAsia" w:ascii="宋体" w:hAnsi="宋体"/>
          <w:sz w:val="24"/>
          <w:u w:val="single"/>
        </w:rPr>
        <w:t xml:space="preserve">             </w:t>
      </w:r>
      <w:r>
        <w:rPr>
          <w:rFonts w:hint="eastAsia" w:ascii="宋体" w:hAnsi="宋体"/>
          <w:sz w:val="24"/>
        </w:rPr>
        <w:t xml:space="preserve">（小写）￥ </w:t>
      </w:r>
      <w:r>
        <w:rPr>
          <w:rFonts w:hint="eastAsia" w:ascii="宋体" w:hAnsi="宋体"/>
          <w:sz w:val="24"/>
          <w:u w:val="single"/>
        </w:rPr>
        <w:t xml:space="preserve">           </w:t>
      </w:r>
      <w:r>
        <w:rPr>
          <w:rFonts w:hint="eastAsia" w:ascii="宋体" w:hAnsi="宋体"/>
          <w:sz w:val="24"/>
        </w:rPr>
        <w:t>元，合同履行期限（供货及安装期）：</w:t>
      </w:r>
      <w:r>
        <w:rPr>
          <w:rFonts w:hint="eastAsia" w:ascii="宋体" w:hAnsi="宋体"/>
          <w:sz w:val="24"/>
          <w:u w:val="single"/>
        </w:rPr>
        <w:t xml:space="preserve">           </w:t>
      </w:r>
      <w:r>
        <w:rPr>
          <w:rFonts w:hint="eastAsia" w:ascii="宋体" w:hAnsi="宋体"/>
          <w:sz w:val="24"/>
        </w:rPr>
        <w:t xml:space="preserve"> ，按合同约定实施和完成本项目。 </w:t>
      </w:r>
    </w:p>
    <w:p w14:paraId="2DE4C44F">
      <w:pPr>
        <w:widowControl/>
        <w:spacing w:line="360" w:lineRule="auto"/>
        <w:ind w:firstLine="480" w:firstLineChars="200"/>
        <w:rPr>
          <w:rFonts w:hint="eastAsia" w:ascii="宋体" w:hAnsi="宋体" w:cs="宋体"/>
          <w:strike/>
          <w:sz w:val="24"/>
        </w:rPr>
      </w:pPr>
      <w:r>
        <w:rPr>
          <w:rFonts w:hint="eastAsia" w:ascii="宋体" w:hAnsi="宋体" w:cs="宋体"/>
          <w:sz w:val="24"/>
        </w:rPr>
        <w:t>2.</w:t>
      </w:r>
      <w:r>
        <w:rPr>
          <w:rFonts w:hint="eastAsia" w:ascii="宋体" w:hAnsi="宋体"/>
          <w:sz w:val="24"/>
        </w:rPr>
        <w:t>在响应性文件递交截止时间后至确定成交人的</w:t>
      </w:r>
      <w:r>
        <w:fldChar w:fldCharType="begin"/>
      </w:r>
      <w:r>
        <w:instrText xml:space="preserve"> HYPERLINK "https://baike.so.com/doc/5394983-5632135.html" \t "https://baike.so.com/doc/_blank" </w:instrText>
      </w:r>
      <w:r>
        <w:fldChar w:fldCharType="separate"/>
      </w:r>
      <w:r>
        <w:rPr>
          <w:rFonts w:ascii="宋体" w:hAnsi="宋体"/>
          <w:sz w:val="24"/>
        </w:rPr>
        <w:t>投标有效期</w:t>
      </w:r>
      <w:r>
        <w:rPr>
          <w:rFonts w:ascii="宋体" w:hAnsi="宋体"/>
          <w:sz w:val="24"/>
        </w:rPr>
        <w:fldChar w:fldCharType="end"/>
      </w:r>
      <w:r>
        <w:rPr>
          <w:rFonts w:ascii="宋体" w:hAnsi="宋体"/>
          <w:sz w:val="24"/>
        </w:rPr>
        <w:t>内</w:t>
      </w:r>
      <w:r>
        <w:rPr>
          <w:rFonts w:hint="eastAsia" w:ascii="宋体" w:hAnsi="宋体"/>
          <w:sz w:val="24"/>
        </w:rPr>
        <w:t>，我单位不得要求退出竞标或者修改响应性文件。</w:t>
      </w:r>
    </w:p>
    <w:p w14:paraId="3C4BDF25">
      <w:pPr>
        <w:widowControl/>
        <w:spacing w:line="360" w:lineRule="auto"/>
        <w:ind w:firstLine="480" w:firstLineChars="200"/>
        <w:rPr>
          <w:rFonts w:hint="eastAsia" w:ascii="宋体" w:hAnsi="宋体" w:cs="宋体"/>
          <w:sz w:val="24"/>
        </w:rPr>
      </w:pPr>
      <w:r>
        <w:rPr>
          <w:rFonts w:hint="eastAsia" w:ascii="宋体" w:hAnsi="宋体" w:cs="宋体"/>
          <w:sz w:val="24"/>
        </w:rPr>
        <w:t>3.我方明白采购人不一定接纳最低投标报价的采购，也不需要采购人解释选择或否决任何供应商的原因和理由。</w:t>
      </w:r>
    </w:p>
    <w:p w14:paraId="45BC5D1E">
      <w:pPr>
        <w:widowControl/>
        <w:spacing w:line="360" w:lineRule="auto"/>
        <w:ind w:firstLine="480" w:firstLineChars="200"/>
        <w:rPr>
          <w:rFonts w:hint="eastAsia" w:ascii="宋体" w:hAnsi="宋体" w:cs="宋体"/>
          <w:sz w:val="24"/>
        </w:rPr>
      </w:pPr>
      <w:r>
        <w:rPr>
          <w:rFonts w:hint="eastAsia" w:ascii="宋体" w:hAnsi="宋体" w:cs="宋体"/>
          <w:sz w:val="24"/>
        </w:rPr>
        <w:t>4.我方参与本项目投标的所有资料真实有效，未在响应文件中提供虚假材料，无陪标、串标等违法行为。若相关部门查实或被不见面开标系统提示为“投标文件制作机器码一致”的，同意被视为投标无效，接受报监管部门依法作出的处理。</w:t>
      </w:r>
    </w:p>
    <w:p w14:paraId="664D1718">
      <w:pPr>
        <w:spacing w:line="360" w:lineRule="auto"/>
        <w:ind w:firstLine="480" w:firstLineChars="200"/>
        <w:jc w:val="left"/>
      </w:pPr>
      <w:r>
        <w:rPr>
          <w:rFonts w:hint="eastAsia" w:ascii="宋体" w:hAnsi="宋体" w:cs="宋体"/>
          <w:sz w:val="24"/>
        </w:rPr>
        <w:t>5.一旦我方中标，我方在收到中标通知书后15日内，依据采购文件、响应文件与采购人签订合同。若由于我方原因在15日内因非不可抗力拒绝与采购人签订合同的，愿意接受相关部门依法作出的处罚。合同签订后严格按照合同履约，并配合采购人完成履约验收。</w:t>
      </w:r>
    </w:p>
    <w:p w14:paraId="367BF3B2">
      <w:pPr>
        <w:adjustRightInd w:val="0"/>
        <w:snapToGrid w:val="0"/>
        <w:spacing w:before="190" w:beforeLines="50" w:line="360" w:lineRule="auto"/>
        <w:ind w:right="960" w:firstLine="2880" w:firstLineChars="1200"/>
        <w:rPr>
          <w:rFonts w:hint="eastAsia" w:ascii="宋体" w:hAnsi="宋体" w:cs="宋体"/>
          <w:sz w:val="24"/>
        </w:rPr>
      </w:pPr>
      <w:r>
        <w:rPr>
          <w:rFonts w:hint="eastAsia" w:ascii="宋体" w:hAnsi="宋体" w:cs="宋体"/>
          <w:sz w:val="24"/>
        </w:rPr>
        <w:t>供应商名称（单位电子签章）：</w:t>
      </w:r>
    </w:p>
    <w:p w14:paraId="4C40D6CB">
      <w:pPr>
        <w:adjustRightInd w:val="0"/>
        <w:snapToGrid w:val="0"/>
        <w:spacing w:before="190" w:beforeLines="50" w:line="360" w:lineRule="auto"/>
        <w:ind w:right="420" w:firstLine="2880" w:firstLineChars="1200"/>
        <w:rPr>
          <w:rFonts w:hint="eastAsia" w:ascii="宋体" w:hAnsi="宋体" w:cs="宋体"/>
          <w:sz w:val="24"/>
        </w:rPr>
      </w:pPr>
      <w:r>
        <w:rPr>
          <w:rFonts w:hint="eastAsia" w:ascii="宋体" w:hAnsi="宋体"/>
          <w:kern w:val="0"/>
          <w:sz w:val="24"/>
        </w:rPr>
        <w:t>法定代表人或授权委托代理人：（签字或盖章）</w:t>
      </w:r>
    </w:p>
    <w:p w14:paraId="6E7D0F7F">
      <w:pPr>
        <w:adjustRightInd w:val="0"/>
        <w:snapToGrid w:val="0"/>
        <w:spacing w:line="440" w:lineRule="exact"/>
        <w:ind w:firstLine="5400" w:firstLineChars="2250"/>
        <w:rPr>
          <w:rFonts w:hint="eastAsia" w:ascii="宋体" w:hAnsi="宋体" w:cs="宋体"/>
          <w:sz w:val="24"/>
        </w:rPr>
      </w:pPr>
      <w:r>
        <w:rPr>
          <w:rFonts w:hint="eastAsia" w:ascii="宋体" w:hAnsi="宋体" w:cs="宋体"/>
          <w:sz w:val="24"/>
        </w:rPr>
        <w:t>年   月    日</w:t>
      </w:r>
    </w:p>
    <w:p w14:paraId="4EC86E9A">
      <w:pPr>
        <w:spacing w:line="500" w:lineRule="exact"/>
        <w:jc w:val="center"/>
        <w:outlineLvl w:val="2"/>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bookmarkStart w:id="288" w:name="_Toc31291"/>
      <w:bookmarkStart w:id="289" w:name="_Toc208"/>
      <w:bookmarkStart w:id="290" w:name="_Toc9543"/>
      <w:bookmarkStart w:id="291" w:name="_Toc14778"/>
      <w:r>
        <w:rPr>
          <w:rFonts w:hint="eastAsia" w:asciiTheme="minorEastAsia" w:hAnsiTheme="minorEastAsia" w:eastAsiaTheme="minorEastAsia" w:cstheme="minorEastAsia"/>
          <w:b/>
          <w:bCs/>
          <w:sz w:val="28"/>
          <w:szCs w:val="28"/>
        </w:rPr>
        <w:t>（二） 开标一览表</w:t>
      </w:r>
      <w:bookmarkEnd w:id="288"/>
      <w:bookmarkEnd w:id="289"/>
      <w:bookmarkEnd w:id="290"/>
      <w:bookmarkEnd w:id="291"/>
    </w:p>
    <w:p w14:paraId="7A47E056">
      <w:pPr>
        <w:jc w:val="center"/>
        <w:rPr>
          <w:rFonts w:hint="eastAsia" w:asciiTheme="minorEastAsia" w:hAnsiTheme="minorEastAsia" w:eastAsiaTheme="minorEastAsia" w:cstheme="minorEastAsia"/>
          <w:b/>
          <w:bCs/>
          <w:sz w:val="28"/>
        </w:rPr>
      </w:pPr>
    </w:p>
    <w:tbl>
      <w:tblPr>
        <w:tblStyle w:val="30"/>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6"/>
        <w:gridCol w:w="6003"/>
      </w:tblGrid>
      <w:tr w14:paraId="767E4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jc w:val="center"/>
        </w:trPr>
        <w:tc>
          <w:tcPr>
            <w:tcW w:w="2656" w:type="dxa"/>
            <w:vAlign w:val="center"/>
          </w:tcPr>
          <w:p w14:paraId="32762DA4">
            <w:pPr>
              <w:spacing w:line="3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6003" w:type="dxa"/>
            <w:vAlign w:val="center"/>
          </w:tcPr>
          <w:p w14:paraId="7AC1C3B7">
            <w:pPr>
              <w:pStyle w:val="8"/>
              <w:spacing w:line="400" w:lineRule="exact"/>
              <w:ind w:firstLine="480"/>
              <w:rPr>
                <w:rFonts w:hint="eastAsia" w:asciiTheme="minorEastAsia" w:hAnsiTheme="minorEastAsia" w:eastAsiaTheme="minorEastAsia" w:cstheme="minorEastAsia"/>
                <w:sz w:val="24"/>
                <w:szCs w:val="20"/>
              </w:rPr>
            </w:pPr>
          </w:p>
        </w:tc>
      </w:tr>
      <w:tr w14:paraId="482DC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2656" w:type="dxa"/>
            <w:vAlign w:val="center"/>
          </w:tcPr>
          <w:p w14:paraId="666471F8">
            <w:pPr>
              <w:spacing w:line="3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 标 人</w:t>
            </w:r>
          </w:p>
        </w:tc>
        <w:tc>
          <w:tcPr>
            <w:tcW w:w="6003" w:type="dxa"/>
            <w:vAlign w:val="center"/>
          </w:tcPr>
          <w:p w14:paraId="36752C35">
            <w:pPr>
              <w:pStyle w:val="8"/>
              <w:spacing w:line="400" w:lineRule="exact"/>
              <w:ind w:firstLine="480"/>
              <w:rPr>
                <w:rFonts w:hint="eastAsia" w:asciiTheme="minorEastAsia" w:hAnsiTheme="minorEastAsia" w:eastAsiaTheme="minorEastAsia" w:cstheme="minorEastAsia"/>
                <w:sz w:val="24"/>
                <w:szCs w:val="20"/>
              </w:rPr>
            </w:pPr>
          </w:p>
        </w:tc>
      </w:tr>
      <w:tr w14:paraId="63054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6" w:hRule="atLeast"/>
          <w:jc w:val="center"/>
        </w:trPr>
        <w:tc>
          <w:tcPr>
            <w:tcW w:w="2656" w:type="dxa"/>
            <w:vAlign w:val="center"/>
          </w:tcPr>
          <w:p w14:paraId="1EAEDBBB">
            <w:pPr>
              <w:spacing w:line="3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投标总报价</w:t>
            </w:r>
          </w:p>
        </w:tc>
        <w:tc>
          <w:tcPr>
            <w:tcW w:w="6003" w:type="dxa"/>
            <w:vAlign w:val="center"/>
          </w:tcPr>
          <w:p w14:paraId="35305213">
            <w:pPr>
              <w:pStyle w:val="8"/>
              <w:spacing w:line="400" w:lineRule="exact"/>
              <w:ind w:firstLine="480"/>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 xml:space="preserve">（大写）                                </w:t>
            </w:r>
          </w:p>
          <w:p w14:paraId="19C98523">
            <w:pPr>
              <w:pStyle w:val="8"/>
              <w:spacing w:line="400" w:lineRule="exact"/>
              <w:ind w:firstLine="480"/>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 xml:space="preserve">（小写）                                </w:t>
            </w:r>
          </w:p>
        </w:tc>
      </w:tr>
      <w:tr w14:paraId="6C21D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2656" w:type="dxa"/>
            <w:vAlign w:val="center"/>
          </w:tcPr>
          <w:p w14:paraId="5CB017CE">
            <w:pPr>
              <w:spacing w:line="3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质量标准</w:t>
            </w:r>
          </w:p>
        </w:tc>
        <w:tc>
          <w:tcPr>
            <w:tcW w:w="6003" w:type="dxa"/>
            <w:vAlign w:val="center"/>
          </w:tcPr>
          <w:p w14:paraId="6A8E3205">
            <w:pPr>
              <w:pStyle w:val="8"/>
              <w:spacing w:line="400" w:lineRule="exact"/>
              <w:ind w:firstLine="480"/>
              <w:rPr>
                <w:rFonts w:hint="eastAsia" w:asciiTheme="minorEastAsia" w:hAnsiTheme="minorEastAsia" w:eastAsiaTheme="minorEastAsia" w:cstheme="minorEastAsia"/>
                <w:sz w:val="24"/>
                <w:szCs w:val="20"/>
              </w:rPr>
            </w:pPr>
          </w:p>
        </w:tc>
      </w:tr>
      <w:tr w14:paraId="0C41E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2656" w:type="dxa"/>
            <w:vAlign w:val="center"/>
          </w:tcPr>
          <w:p w14:paraId="68613E6C">
            <w:pPr>
              <w:spacing w:line="3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合同履行期限</w:t>
            </w:r>
          </w:p>
          <w:p w14:paraId="75A4A83F">
            <w:pPr>
              <w:spacing w:line="300" w:lineRule="exact"/>
              <w:jc w:val="center"/>
              <w:rPr>
                <w:rFonts w:hint="eastAsia" w:asciiTheme="minorEastAsia" w:hAnsiTheme="minorEastAsia" w:eastAsiaTheme="minorEastAsia" w:cstheme="minorEastAsia"/>
                <w:sz w:val="24"/>
                <w:highlight w:val="yellow"/>
              </w:rPr>
            </w:pPr>
            <w:r>
              <w:rPr>
                <w:rFonts w:hint="eastAsia" w:asciiTheme="minorEastAsia" w:hAnsiTheme="minorEastAsia" w:eastAsiaTheme="minorEastAsia" w:cstheme="minorEastAsia"/>
                <w:sz w:val="24"/>
              </w:rPr>
              <w:t>（供货及安装期）</w:t>
            </w:r>
          </w:p>
        </w:tc>
        <w:tc>
          <w:tcPr>
            <w:tcW w:w="6003" w:type="dxa"/>
            <w:vAlign w:val="center"/>
          </w:tcPr>
          <w:p w14:paraId="48D7721F">
            <w:pPr>
              <w:pStyle w:val="8"/>
              <w:spacing w:line="400" w:lineRule="exact"/>
              <w:ind w:firstLine="480"/>
              <w:rPr>
                <w:rFonts w:hint="eastAsia" w:asciiTheme="minorEastAsia" w:hAnsiTheme="minorEastAsia" w:eastAsiaTheme="minorEastAsia" w:cstheme="minorEastAsia"/>
                <w:sz w:val="24"/>
                <w:szCs w:val="20"/>
              </w:rPr>
            </w:pPr>
          </w:p>
        </w:tc>
      </w:tr>
      <w:tr w14:paraId="3E80C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2656" w:type="dxa"/>
            <w:vAlign w:val="center"/>
          </w:tcPr>
          <w:p w14:paraId="5702E2D7">
            <w:pPr>
              <w:spacing w:line="300" w:lineRule="exact"/>
              <w:jc w:val="center"/>
              <w:rPr>
                <w:rFonts w:hint="eastAsia" w:asciiTheme="minorEastAsia" w:hAnsiTheme="minorEastAsia" w:eastAsiaTheme="minorEastAsia" w:cstheme="minorEastAsia"/>
                <w:bCs/>
                <w:iCs/>
                <w:sz w:val="24"/>
                <w:highlight w:val="yellow"/>
              </w:rPr>
            </w:pPr>
            <w:r>
              <w:rPr>
                <w:rFonts w:hint="eastAsia" w:asciiTheme="minorEastAsia" w:hAnsiTheme="minorEastAsia" w:eastAsiaTheme="minorEastAsia" w:cstheme="minorEastAsia"/>
                <w:bCs/>
                <w:iCs/>
                <w:sz w:val="24"/>
              </w:rPr>
              <w:t>质保期</w:t>
            </w:r>
          </w:p>
        </w:tc>
        <w:tc>
          <w:tcPr>
            <w:tcW w:w="6003" w:type="dxa"/>
            <w:vAlign w:val="center"/>
          </w:tcPr>
          <w:p w14:paraId="24C541FA">
            <w:pPr>
              <w:pStyle w:val="8"/>
              <w:spacing w:line="400" w:lineRule="exact"/>
              <w:ind w:firstLine="480"/>
              <w:rPr>
                <w:rFonts w:hint="eastAsia" w:asciiTheme="minorEastAsia" w:hAnsiTheme="minorEastAsia" w:eastAsiaTheme="minorEastAsia" w:cstheme="minorEastAsia"/>
                <w:sz w:val="24"/>
                <w:szCs w:val="20"/>
              </w:rPr>
            </w:pPr>
          </w:p>
        </w:tc>
      </w:tr>
      <w:tr w14:paraId="3DF2E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2656" w:type="dxa"/>
            <w:vAlign w:val="center"/>
          </w:tcPr>
          <w:p w14:paraId="6E8153BC">
            <w:pPr>
              <w:spacing w:line="300" w:lineRule="exact"/>
              <w:jc w:val="center"/>
              <w:rPr>
                <w:rFonts w:hint="eastAsia" w:asciiTheme="minorEastAsia" w:hAnsiTheme="minorEastAsia" w:eastAsiaTheme="minorEastAsia" w:cstheme="minorEastAsia"/>
                <w:bCs/>
                <w:iCs/>
                <w:sz w:val="24"/>
                <w:highlight w:val="yellow"/>
              </w:rPr>
            </w:pPr>
            <w:r>
              <w:rPr>
                <w:rFonts w:hint="eastAsia" w:asciiTheme="minorEastAsia" w:hAnsiTheme="minorEastAsia" w:eastAsiaTheme="minorEastAsia" w:cstheme="minorEastAsia"/>
                <w:bCs/>
                <w:iCs/>
                <w:sz w:val="24"/>
              </w:rPr>
              <w:t>投标有效期</w:t>
            </w:r>
          </w:p>
        </w:tc>
        <w:tc>
          <w:tcPr>
            <w:tcW w:w="6003" w:type="dxa"/>
            <w:vAlign w:val="center"/>
          </w:tcPr>
          <w:p w14:paraId="727642F0">
            <w:pPr>
              <w:pStyle w:val="8"/>
              <w:spacing w:line="400" w:lineRule="exact"/>
              <w:ind w:firstLine="480"/>
              <w:rPr>
                <w:rFonts w:hint="eastAsia" w:asciiTheme="minorEastAsia" w:hAnsiTheme="minorEastAsia" w:eastAsiaTheme="minorEastAsia" w:cstheme="minorEastAsia"/>
                <w:sz w:val="24"/>
                <w:szCs w:val="20"/>
              </w:rPr>
            </w:pPr>
          </w:p>
        </w:tc>
      </w:tr>
      <w:tr w14:paraId="1A8C1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2656" w:type="dxa"/>
            <w:vAlign w:val="center"/>
          </w:tcPr>
          <w:p w14:paraId="2A1DF25B">
            <w:pPr>
              <w:pStyle w:val="8"/>
              <w:spacing w:line="400" w:lineRule="exact"/>
              <w:ind w:firstLine="0" w:firstLineChars="0"/>
              <w:jc w:val="center"/>
              <w:rPr>
                <w:rFonts w:hint="eastAsia" w:asciiTheme="minorEastAsia" w:hAnsiTheme="minorEastAsia" w:eastAsiaTheme="minorEastAsia" w:cstheme="minorEastAsia"/>
                <w:bCs/>
                <w:iCs/>
                <w:sz w:val="24"/>
              </w:rPr>
            </w:pPr>
            <w:r>
              <w:rPr>
                <w:rFonts w:hint="eastAsia" w:asciiTheme="minorEastAsia" w:hAnsiTheme="minorEastAsia" w:eastAsiaTheme="minorEastAsia" w:cstheme="minorEastAsia"/>
                <w:sz w:val="24"/>
                <w:szCs w:val="20"/>
              </w:rPr>
              <w:t>备注</w:t>
            </w:r>
          </w:p>
        </w:tc>
        <w:tc>
          <w:tcPr>
            <w:tcW w:w="6003" w:type="dxa"/>
            <w:vAlign w:val="center"/>
          </w:tcPr>
          <w:p w14:paraId="59E753F1">
            <w:pPr>
              <w:pStyle w:val="8"/>
              <w:spacing w:line="400" w:lineRule="exact"/>
              <w:ind w:firstLine="480"/>
              <w:rPr>
                <w:rFonts w:hint="eastAsia" w:asciiTheme="minorEastAsia" w:hAnsiTheme="minorEastAsia" w:eastAsiaTheme="minorEastAsia" w:cstheme="minorEastAsia"/>
                <w:sz w:val="24"/>
                <w:szCs w:val="20"/>
              </w:rPr>
            </w:pPr>
          </w:p>
        </w:tc>
      </w:tr>
    </w:tbl>
    <w:p w14:paraId="7371021D">
      <w:pPr>
        <w:spacing w:line="360" w:lineRule="exact"/>
        <w:jc w:val="right"/>
        <w:rPr>
          <w:rFonts w:hint="eastAsia" w:asciiTheme="minorEastAsia" w:hAnsiTheme="minorEastAsia" w:eastAsiaTheme="minorEastAsia" w:cstheme="minorEastAsia"/>
          <w:sz w:val="24"/>
        </w:rPr>
      </w:pPr>
    </w:p>
    <w:p w14:paraId="516B009B">
      <w:pPr>
        <w:ind w:firstLine="3240" w:firstLineChars="1350"/>
        <w:rPr>
          <w:rFonts w:hint="eastAsia" w:asciiTheme="minorEastAsia" w:hAnsiTheme="minorEastAsia" w:eastAsiaTheme="minorEastAsia" w:cstheme="minorEastAsia"/>
          <w:sz w:val="24"/>
        </w:rPr>
      </w:pPr>
    </w:p>
    <w:p w14:paraId="11030DB5">
      <w:pPr>
        <w:ind w:firstLine="3240" w:firstLineChars="1350"/>
        <w:rPr>
          <w:rFonts w:hint="eastAsia" w:asciiTheme="minorEastAsia" w:hAnsiTheme="minorEastAsia" w:eastAsiaTheme="minorEastAsia" w:cstheme="minorEastAsia"/>
          <w:sz w:val="24"/>
        </w:rPr>
      </w:pPr>
    </w:p>
    <w:p w14:paraId="3D319299">
      <w:pPr>
        <w:pStyle w:val="4"/>
      </w:pPr>
    </w:p>
    <w:p w14:paraId="31D1DA1D">
      <w:pPr>
        <w:adjustRightInd w:val="0"/>
        <w:snapToGrid w:val="0"/>
        <w:spacing w:before="190" w:beforeLines="50" w:line="500" w:lineRule="exact"/>
        <w:ind w:right="960" w:firstLine="3360" w:firstLineChars="1400"/>
        <w:rPr>
          <w:rFonts w:hint="eastAsia" w:ascii="宋体" w:hAnsi="宋体" w:cs="宋体"/>
          <w:sz w:val="24"/>
        </w:rPr>
      </w:pPr>
      <w:r>
        <w:rPr>
          <w:rFonts w:hint="eastAsia" w:ascii="宋体" w:hAnsi="宋体" w:cs="宋体"/>
          <w:sz w:val="24"/>
        </w:rPr>
        <w:t>供应商名称（单位电子签章）：</w:t>
      </w:r>
    </w:p>
    <w:p w14:paraId="5AA95EE7">
      <w:pPr>
        <w:adjustRightInd w:val="0"/>
        <w:snapToGrid w:val="0"/>
        <w:spacing w:line="500" w:lineRule="exact"/>
        <w:ind w:firstLine="3360" w:firstLineChars="1400"/>
        <w:rPr>
          <w:rFonts w:hint="eastAsia" w:ascii="宋体" w:hAnsi="宋体"/>
          <w:kern w:val="0"/>
          <w:sz w:val="24"/>
        </w:rPr>
      </w:pPr>
      <w:r>
        <w:rPr>
          <w:rFonts w:hint="eastAsia" w:ascii="宋体" w:hAnsi="宋体"/>
          <w:kern w:val="0"/>
          <w:sz w:val="24"/>
        </w:rPr>
        <w:t>法定代表人或授权委托代理人：（签字或盖章）</w:t>
      </w:r>
    </w:p>
    <w:p w14:paraId="2EAAB1FD">
      <w:pPr>
        <w:adjustRightInd w:val="0"/>
        <w:snapToGrid w:val="0"/>
        <w:spacing w:line="500" w:lineRule="exact"/>
        <w:ind w:firstLine="4320" w:firstLineChars="1800"/>
        <w:rPr>
          <w:rFonts w:hint="eastAsia" w:ascii="宋体" w:hAnsi="宋体" w:cs="宋体"/>
          <w:sz w:val="24"/>
        </w:rPr>
      </w:pPr>
      <w:r>
        <w:rPr>
          <w:rFonts w:hint="eastAsia" w:ascii="宋体" w:hAnsi="宋体" w:cs="宋体"/>
          <w:sz w:val="24"/>
        </w:rPr>
        <w:t>日   期：   年   月    日</w:t>
      </w:r>
    </w:p>
    <w:p w14:paraId="657B0A3A">
      <w:pPr>
        <w:rPr>
          <w:rFonts w:hint="eastAsia" w:asciiTheme="minorEastAsia" w:hAnsiTheme="minorEastAsia" w:eastAsiaTheme="minorEastAsia" w:cstheme="minorEastAsia"/>
        </w:rPr>
      </w:pPr>
    </w:p>
    <w:p w14:paraId="3C4452AC">
      <w:pPr>
        <w:pStyle w:val="5"/>
        <w:spacing w:before="120" w:after="120" w:line="500" w:lineRule="exact"/>
        <w:ind w:right="29" w:rightChars="14"/>
        <w:outlineLvl w:val="9"/>
        <w:rPr>
          <w:rFonts w:hint="eastAsia" w:asciiTheme="minorEastAsia" w:hAnsiTheme="minorEastAsia" w:eastAsiaTheme="minorEastAsia" w:cstheme="minorEastAsia"/>
          <w:sz w:val="24"/>
        </w:rPr>
      </w:pPr>
    </w:p>
    <w:p w14:paraId="24247723">
      <w:pPr>
        <w:pStyle w:val="5"/>
        <w:spacing w:before="120" w:after="120" w:line="500" w:lineRule="exact"/>
        <w:ind w:right="29" w:rightChars="14"/>
        <w:outlineLvl w:val="1"/>
        <w:rPr>
          <w:rFonts w:hint="eastAsia" w:asciiTheme="minorEastAsia" w:hAnsiTheme="minorEastAsia" w:eastAsiaTheme="minorEastAsia" w:cstheme="minorEastAsia"/>
          <w:sz w:val="24"/>
        </w:rPr>
        <w:sectPr>
          <w:headerReference r:id="rId4" w:type="default"/>
          <w:footerReference r:id="rId5" w:type="default"/>
          <w:pgSz w:w="11907" w:h="16840"/>
          <w:pgMar w:top="1440" w:right="1519" w:bottom="1440" w:left="1576" w:header="850" w:footer="998" w:gutter="0"/>
          <w:pgNumType w:fmt="numberInDash"/>
          <w:cols w:space="720" w:num="1"/>
          <w:docGrid w:type="lines" w:linePitch="380" w:charSpace="0"/>
        </w:sectPr>
      </w:pPr>
    </w:p>
    <w:p w14:paraId="25FB4DB6">
      <w:pPr>
        <w:spacing w:line="500" w:lineRule="exact"/>
        <w:jc w:val="center"/>
        <w:outlineLvl w:val="2"/>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（三）报价明细表</w:t>
      </w:r>
    </w:p>
    <w:p w14:paraId="34E10A59">
      <w:pPr>
        <w:spacing w:line="440" w:lineRule="exact"/>
        <w:ind w:firstLine="308" w:firstLineChars="147"/>
        <w:rPr>
          <w:rFonts w:hint="eastAsia" w:ascii="宋体" w:hAnsi="宋体" w:cs="宋体"/>
          <w:bCs/>
          <w:szCs w:val="21"/>
        </w:rPr>
      </w:pPr>
    </w:p>
    <w:tbl>
      <w:tblPr>
        <w:tblStyle w:val="30"/>
        <w:tblW w:w="9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949"/>
        <w:gridCol w:w="968"/>
        <w:gridCol w:w="2348"/>
        <w:gridCol w:w="818"/>
        <w:gridCol w:w="764"/>
        <w:gridCol w:w="818"/>
        <w:gridCol w:w="884"/>
        <w:gridCol w:w="1059"/>
      </w:tblGrid>
      <w:tr w14:paraId="4DF24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1090" w:type="dxa"/>
            <w:vMerge w:val="restart"/>
            <w:tcBorders>
              <w:top w:val="single" w:color="auto" w:sz="4" w:space="0"/>
              <w:left w:val="single" w:color="auto" w:sz="4" w:space="0"/>
              <w:right w:val="single" w:color="auto" w:sz="4" w:space="0"/>
            </w:tcBorders>
            <w:noWrap/>
            <w:vAlign w:val="center"/>
          </w:tcPr>
          <w:p w14:paraId="3856B9E5">
            <w:pPr>
              <w:pStyle w:val="27"/>
              <w:widowControl w:val="0"/>
              <w:adjustRightInd w:val="0"/>
              <w:spacing w:before="0" w:beforeAutospacing="0" w:after="0" w:afterAutospacing="0" w:line="480" w:lineRule="exact"/>
              <w:jc w:val="center"/>
              <w:rPr>
                <w:rFonts w:hint="eastAsia"/>
                <w:bCs/>
                <w:highlight w:val="none"/>
              </w:rPr>
            </w:pPr>
            <w:r>
              <w:rPr>
                <w:rFonts w:hint="eastAsia"/>
                <w:bCs/>
                <w:highlight w:val="none"/>
              </w:rPr>
              <w:t>名称</w:t>
            </w:r>
          </w:p>
        </w:tc>
        <w:tc>
          <w:tcPr>
            <w:tcW w:w="4265" w:type="dxa"/>
            <w:gridSpan w:val="3"/>
            <w:tcBorders>
              <w:top w:val="single" w:color="auto" w:sz="4" w:space="0"/>
              <w:left w:val="single" w:color="auto" w:sz="4" w:space="0"/>
              <w:bottom w:val="single" w:color="auto" w:sz="4" w:space="0"/>
              <w:right w:val="single" w:color="auto" w:sz="4" w:space="0"/>
            </w:tcBorders>
            <w:noWrap/>
            <w:vAlign w:val="center"/>
          </w:tcPr>
          <w:p w14:paraId="72265D8E">
            <w:pPr>
              <w:pStyle w:val="27"/>
              <w:widowControl w:val="0"/>
              <w:adjustRightInd w:val="0"/>
              <w:spacing w:before="0" w:beforeAutospacing="0" w:after="0" w:afterAutospacing="0" w:line="480" w:lineRule="exact"/>
              <w:jc w:val="center"/>
              <w:rPr>
                <w:rFonts w:hint="eastAsia"/>
                <w:bCs/>
                <w:highlight w:val="none"/>
              </w:rPr>
            </w:pPr>
            <w:r>
              <w:rPr>
                <w:rFonts w:hint="eastAsia"/>
                <w:bCs/>
                <w:highlight w:val="none"/>
              </w:rPr>
              <w:t>所投设备</w:t>
            </w:r>
          </w:p>
        </w:tc>
        <w:tc>
          <w:tcPr>
            <w:tcW w:w="818" w:type="dxa"/>
            <w:vMerge w:val="restart"/>
            <w:tcBorders>
              <w:top w:val="single" w:color="auto" w:sz="4" w:space="0"/>
              <w:left w:val="single" w:color="auto" w:sz="4" w:space="0"/>
              <w:right w:val="single" w:color="auto" w:sz="4" w:space="0"/>
            </w:tcBorders>
            <w:noWrap/>
            <w:vAlign w:val="center"/>
          </w:tcPr>
          <w:p w14:paraId="44E008D9">
            <w:pPr>
              <w:pStyle w:val="27"/>
              <w:widowControl w:val="0"/>
              <w:adjustRightInd w:val="0"/>
              <w:spacing w:before="0" w:beforeAutospacing="0" w:after="0" w:afterAutospacing="0" w:line="480" w:lineRule="exact"/>
              <w:jc w:val="center"/>
              <w:rPr>
                <w:rFonts w:hint="eastAsia"/>
                <w:bCs/>
                <w:highlight w:val="none"/>
              </w:rPr>
            </w:pPr>
            <w:r>
              <w:rPr>
                <w:rFonts w:hint="eastAsia"/>
                <w:bCs/>
                <w:highlight w:val="none"/>
              </w:rPr>
              <w:t>数量</w:t>
            </w:r>
          </w:p>
        </w:tc>
        <w:tc>
          <w:tcPr>
            <w:tcW w:w="764" w:type="dxa"/>
            <w:vMerge w:val="restart"/>
            <w:tcBorders>
              <w:top w:val="single" w:color="auto" w:sz="4" w:space="0"/>
              <w:left w:val="single" w:color="auto" w:sz="4" w:space="0"/>
              <w:right w:val="single" w:color="auto" w:sz="4" w:space="0"/>
            </w:tcBorders>
            <w:noWrap/>
            <w:vAlign w:val="center"/>
          </w:tcPr>
          <w:p w14:paraId="61C034D6">
            <w:pPr>
              <w:pStyle w:val="27"/>
              <w:widowControl w:val="0"/>
              <w:adjustRightInd w:val="0"/>
              <w:spacing w:before="0" w:beforeAutospacing="0" w:after="0" w:afterAutospacing="0" w:line="480" w:lineRule="exact"/>
              <w:jc w:val="center"/>
              <w:rPr>
                <w:rFonts w:hint="eastAsia"/>
                <w:bCs/>
                <w:highlight w:val="none"/>
              </w:rPr>
            </w:pPr>
            <w:r>
              <w:rPr>
                <w:rFonts w:hint="eastAsia"/>
                <w:bCs/>
                <w:highlight w:val="none"/>
              </w:rPr>
              <w:t>单位</w:t>
            </w:r>
          </w:p>
        </w:tc>
        <w:tc>
          <w:tcPr>
            <w:tcW w:w="818" w:type="dxa"/>
            <w:vMerge w:val="restart"/>
            <w:tcBorders>
              <w:top w:val="single" w:color="auto" w:sz="4" w:space="0"/>
              <w:left w:val="single" w:color="auto" w:sz="4" w:space="0"/>
              <w:right w:val="single" w:color="auto" w:sz="4" w:space="0"/>
            </w:tcBorders>
            <w:noWrap/>
            <w:vAlign w:val="center"/>
          </w:tcPr>
          <w:p w14:paraId="25B7E4F0">
            <w:pPr>
              <w:pStyle w:val="27"/>
              <w:widowControl w:val="0"/>
              <w:adjustRightInd w:val="0"/>
              <w:spacing w:before="0" w:beforeAutospacing="0" w:after="0" w:afterAutospacing="0" w:line="480" w:lineRule="exact"/>
              <w:ind w:firstLine="235" w:firstLineChars="98"/>
              <w:jc w:val="center"/>
              <w:rPr>
                <w:rFonts w:hint="eastAsia"/>
                <w:bCs/>
                <w:highlight w:val="none"/>
              </w:rPr>
            </w:pPr>
          </w:p>
          <w:p w14:paraId="1AD693F2">
            <w:pPr>
              <w:pStyle w:val="27"/>
              <w:widowControl w:val="0"/>
              <w:adjustRightInd w:val="0"/>
              <w:spacing w:before="0" w:beforeAutospacing="0" w:after="0" w:afterAutospacing="0" w:line="480" w:lineRule="exact"/>
              <w:jc w:val="center"/>
              <w:rPr>
                <w:rFonts w:hint="eastAsia"/>
                <w:bCs/>
                <w:highlight w:val="none"/>
              </w:rPr>
            </w:pPr>
            <w:r>
              <w:rPr>
                <w:rFonts w:hint="eastAsia"/>
                <w:bCs/>
                <w:highlight w:val="none"/>
              </w:rPr>
              <w:t>单价（元）</w:t>
            </w:r>
          </w:p>
          <w:p w14:paraId="34F66CB4">
            <w:pPr>
              <w:pStyle w:val="27"/>
              <w:widowControl w:val="0"/>
              <w:adjustRightInd w:val="0"/>
              <w:spacing w:before="0" w:beforeAutospacing="0" w:after="0" w:afterAutospacing="0" w:line="480" w:lineRule="exact"/>
              <w:ind w:firstLine="235" w:firstLineChars="98"/>
              <w:jc w:val="center"/>
              <w:rPr>
                <w:rFonts w:hint="eastAsia"/>
                <w:bCs/>
                <w:highlight w:val="none"/>
              </w:rPr>
            </w:pPr>
          </w:p>
        </w:tc>
        <w:tc>
          <w:tcPr>
            <w:tcW w:w="884" w:type="dxa"/>
            <w:vMerge w:val="restart"/>
            <w:tcBorders>
              <w:top w:val="single" w:color="auto" w:sz="4" w:space="0"/>
              <w:left w:val="single" w:color="auto" w:sz="4" w:space="0"/>
              <w:right w:val="single" w:color="auto" w:sz="4" w:space="0"/>
            </w:tcBorders>
            <w:noWrap/>
            <w:vAlign w:val="center"/>
          </w:tcPr>
          <w:p w14:paraId="6CB4FB4C">
            <w:pPr>
              <w:pStyle w:val="27"/>
              <w:widowControl w:val="0"/>
              <w:adjustRightInd w:val="0"/>
              <w:spacing w:before="0" w:beforeAutospacing="0" w:after="0" w:afterAutospacing="0" w:line="480" w:lineRule="exact"/>
              <w:jc w:val="center"/>
              <w:rPr>
                <w:rFonts w:hint="eastAsia"/>
                <w:bCs/>
                <w:highlight w:val="none"/>
              </w:rPr>
            </w:pPr>
            <w:r>
              <w:rPr>
                <w:rFonts w:hint="eastAsia"/>
                <w:bCs/>
                <w:highlight w:val="none"/>
              </w:rPr>
              <w:t>合价（元）</w:t>
            </w:r>
          </w:p>
        </w:tc>
        <w:tc>
          <w:tcPr>
            <w:tcW w:w="1059" w:type="dxa"/>
            <w:vMerge w:val="restart"/>
            <w:tcBorders>
              <w:top w:val="single" w:color="auto" w:sz="4" w:space="0"/>
              <w:left w:val="single" w:color="auto" w:sz="4" w:space="0"/>
              <w:right w:val="single" w:color="auto" w:sz="4" w:space="0"/>
            </w:tcBorders>
            <w:noWrap/>
          </w:tcPr>
          <w:p w14:paraId="4B170A48">
            <w:pPr>
              <w:pStyle w:val="27"/>
              <w:widowControl w:val="0"/>
              <w:adjustRightInd w:val="0"/>
              <w:spacing w:before="0" w:beforeAutospacing="0" w:after="0" w:afterAutospacing="0" w:line="480" w:lineRule="exact"/>
              <w:jc w:val="both"/>
              <w:rPr>
                <w:rFonts w:hint="default" w:eastAsia="宋体"/>
                <w:bCs/>
                <w:highlight w:val="none"/>
                <w:lang w:val="en-US" w:eastAsia="zh-CN"/>
              </w:rPr>
            </w:pPr>
            <w:r>
              <w:rPr>
                <w:rFonts w:hint="eastAsia"/>
                <w:bCs/>
                <w:highlight w:val="none"/>
                <w:lang w:val="en-US" w:eastAsia="zh-CN"/>
              </w:rPr>
              <w:t>执行标准</w:t>
            </w:r>
          </w:p>
        </w:tc>
      </w:tr>
      <w:tr w14:paraId="7233A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atLeast"/>
          <w:jc w:val="center"/>
        </w:trPr>
        <w:tc>
          <w:tcPr>
            <w:tcW w:w="1090" w:type="dxa"/>
            <w:vMerge w:val="continue"/>
            <w:tcBorders>
              <w:left w:val="single" w:color="auto" w:sz="4" w:space="0"/>
              <w:bottom w:val="single" w:color="auto" w:sz="4" w:space="0"/>
              <w:right w:val="single" w:color="auto" w:sz="4" w:space="0"/>
            </w:tcBorders>
            <w:noWrap/>
            <w:vAlign w:val="center"/>
          </w:tcPr>
          <w:p w14:paraId="63099295">
            <w:pPr>
              <w:pStyle w:val="27"/>
              <w:widowControl w:val="0"/>
              <w:adjustRightInd w:val="0"/>
              <w:spacing w:before="0" w:beforeAutospacing="0" w:after="0" w:afterAutospacing="0" w:line="480" w:lineRule="exact"/>
              <w:jc w:val="center"/>
              <w:rPr>
                <w:rFonts w:hint="eastAsia"/>
                <w:bCs/>
                <w:highlight w:val="none"/>
              </w:rPr>
            </w:pPr>
          </w:p>
        </w:tc>
        <w:tc>
          <w:tcPr>
            <w:tcW w:w="949" w:type="dxa"/>
            <w:tcBorders>
              <w:top w:val="single" w:color="auto" w:sz="4" w:space="0"/>
              <w:left w:val="single" w:color="auto" w:sz="4" w:space="0"/>
              <w:bottom w:val="single" w:color="auto" w:sz="4" w:space="0"/>
              <w:right w:val="single" w:color="auto" w:sz="4" w:space="0"/>
            </w:tcBorders>
            <w:noWrap/>
            <w:vAlign w:val="center"/>
          </w:tcPr>
          <w:p w14:paraId="01494768">
            <w:pPr>
              <w:pStyle w:val="27"/>
              <w:widowControl w:val="0"/>
              <w:adjustRightInd w:val="0"/>
              <w:spacing w:before="0" w:beforeAutospacing="0" w:after="0" w:afterAutospacing="0" w:line="480" w:lineRule="exact"/>
              <w:jc w:val="center"/>
              <w:rPr>
                <w:rFonts w:hint="eastAsia"/>
                <w:bCs/>
                <w:highlight w:val="none"/>
              </w:rPr>
            </w:pPr>
            <w:r>
              <w:rPr>
                <w:rFonts w:hint="eastAsia"/>
                <w:bCs/>
                <w:highlight w:val="none"/>
              </w:rPr>
              <w:t>品牌</w:t>
            </w:r>
          </w:p>
        </w:tc>
        <w:tc>
          <w:tcPr>
            <w:tcW w:w="968" w:type="dxa"/>
            <w:tcBorders>
              <w:top w:val="single" w:color="auto" w:sz="4" w:space="0"/>
              <w:left w:val="single" w:color="auto" w:sz="4" w:space="0"/>
              <w:bottom w:val="single" w:color="auto" w:sz="4" w:space="0"/>
              <w:right w:val="single" w:color="auto" w:sz="4" w:space="0"/>
            </w:tcBorders>
            <w:noWrap/>
            <w:vAlign w:val="center"/>
          </w:tcPr>
          <w:p w14:paraId="73451C1F">
            <w:pPr>
              <w:pStyle w:val="27"/>
              <w:widowControl w:val="0"/>
              <w:adjustRightInd w:val="0"/>
              <w:spacing w:before="0" w:beforeAutospacing="0" w:after="0" w:afterAutospacing="0" w:line="480" w:lineRule="exact"/>
              <w:jc w:val="center"/>
              <w:rPr>
                <w:rFonts w:hint="eastAsia"/>
                <w:bCs/>
                <w:highlight w:val="none"/>
              </w:rPr>
            </w:pPr>
            <w:r>
              <w:rPr>
                <w:rFonts w:hint="eastAsia"/>
                <w:bCs/>
                <w:highlight w:val="none"/>
              </w:rPr>
              <w:t>型号</w:t>
            </w:r>
          </w:p>
        </w:tc>
        <w:tc>
          <w:tcPr>
            <w:tcW w:w="2348" w:type="dxa"/>
            <w:tcBorders>
              <w:top w:val="single" w:color="auto" w:sz="4" w:space="0"/>
              <w:left w:val="single" w:color="auto" w:sz="4" w:space="0"/>
              <w:bottom w:val="single" w:color="auto" w:sz="4" w:space="0"/>
              <w:right w:val="single" w:color="auto" w:sz="4" w:space="0"/>
            </w:tcBorders>
            <w:noWrap/>
            <w:vAlign w:val="center"/>
          </w:tcPr>
          <w:p w14:paraId="3D54CC12">
            <w:pPr>
              <w:pStyle w:val="27"/>
              <w:widowControl w:val="0"/>
              <w:adjustRightInd w:val="0"/>
              <w:spacing w:before="0" w:beforeAutospacing="0" w:after="0" w:afterAutospacing="0" w:line="480" w:lineRule="exact"/>
              <w:jc w:val="center"/>
              <w:rPr>
                <w:rFonts w:hint="eastAsia"/>
                <w:bCs/>
                <w:highlight w:val="none"/>
              </w:rPr>
            </w:pPr>
            <w:r>
              <w:rPr>
                <w:rFonts w:hint="eastAsia"/>
                <w:bCs/>
                <w:highlight w:val="none"/>
              </w:rPr>
              <w:t>技术参数</w:t>
            </w:r>
          </w:p>
        </w:tc>
        <w:tc>
          <w:tcPr>
            <w:tcW w:w="818" w:type="dxa"/>
            <w:vMerge w:val="continue"/>
            <w:tcBorders>
              <w:left w:val="single" w:color="auto" w:sz="4" w:space="0"/>
              <w:bottom w:val="single" w:color="auto" w:sz="4" w:space="0"/>
              <w:right w:val="single" w:color="auto" w:sz="4" w:space="0"/>
            </w:tcBorders>
            <w:noWrap/>
            <w:vAlign w:val="center"/>
          </w:tcPr>
          <w:p w14:paraId="7925A8D3">
            <w:pPr>
              <w:pStyle w:val="27"/>
              <w:widowControl w:val="0"/>
              <w:adjustRightInd w:val="0"/>
              <w:spacing w:before="0" w:beforeAutospacing="0" w:after="0" w:afterAutospacing="0" w:line="480" w:lineRule="exact"/>
              <w:jc w:val="center"/>
              <w:rPr>
                <w:rFonts w:hint="eastAsia"/>
                <w:bCs/>
                <w:highlight w:val="none"/>
              </w:rPr>
            </w:pPr>
          </w:p>
        </w:tc>
        <w:tc>
          <w:tcPr>
            <w:tcW w:w="764" w:type="dxa"/>
            <w:vMerge w:val="continue"/>
            <w:tcBorders>
              <w:left w:val="single" w:color="auto" w:sz="4" w:space="0"/>
              <w:bottom w:val="single" w:color="auto" w:sz="4" w:space="0"/>
              <w:right w:val="single" w:color="auto" w:sz="4" w:space="0"/>
            </w:tcBorders>
            <w:noWrap/>
            <w:vAlign w:val="center"/>
          </w:tcPr>
          <w:p w14:paraId="34CAA223">
            <w:pPr>
              <w:pStyle w:val="27"/>
              <w:widowControl w:val="0"/>
              <w:adjustRightInd w:val="0"/>
              <w:spacing w:before="0" w:beforeAutospacing="0" w:after="0" w:afterAutospacing="0" w:line="480" w:lineRule="exact"/>
              <w:jc w:val="center"/>
              <w:rPr>
                <w:rFonts w:hint="eastAsia"/>
                <w:bCs/>
                <w:highlight w:val="none"/>
              </w:rPr>
            </w:pPr>
          </w:p>
        </w:tc>
        <w:tc>
          <w:tcPr>
            <w:tcW w:w="818" w:type="dxa"/>
            <w:vMerge w:val="continue"/>
            <w:tcBorders>
              <w:left w:val="single" w:color="auto" w:sz="4" w:space="0"/>
              <w:bottom w:val="single" w:color="auto" w:sz="4" w:space="0"/>
              <w:right w:val="single" w:color="auto" w:sz="4" w:space="0"/>
            </w:tcBorders>
            <w:noWrap/>
            <w:vAlign w:val="center"/>
          </w:tcPr>
          <w:p w14:paraId="5CBAD960">
            <w:pPr>
              <w:pStyle w:val="27"/>
              <w:widowControl w:val="0"/>
              <w:adjustRightInd w:val="0"/>
              <w:spacing w:before="0" w:beforeAutospacing="0" w:after="0" w:afterAutospacing="0" w:line="480" w:lineRule="exact"/>
              <w:ind w:firstLine="235" w:firstLineChars="98"/>
              <w:jc w:val="center"/>
              <w:rPr>
                <w:rFonts w:hint="eastAsia"/>
                <w:bCs/>
                <w:highlight w:val="none"/>
              </w:rPr>
            </w:pPr>
          </w:p>
        </w:tc>
        <w:tc>
          <w:tcPr>
            <w:tcW w:w="884" w:type="dxa"/>
            <w:vMerge w:val="continue"/>
            <w:tcBorders>
              <w:left w:val="single" w:color="auto" w:sz="4" w:space="0"/>
              <w:bottom w:val="single" w:color="auto" w:sz="4" w:space="0"/>
              <w:right w:val="single" w:color="auto" w:sz="4" w:space="0"/>
            </w:tcBorders>
            <w:noWrap/>
            <w:vAlign w:val="center"/>
          </w:tcPr>
          <w:p w14:paraId="07322EB7">
            <w:pPr>
              <w:pStyle w:val="27"/>
              <w:widowControl w:val="0"/>
              <w:adjustRightInd w:val="0"/>
              <w:spacing w:before="0" w:beforeAutospacing="0" w:after="0" w:afterAutospacing="0" w:line="480" w:lineRule="exact"/>
              <w:jc w:val="center"/>
              <w:rPr>
                <w:rFonts w:hint="eastAsia"/>
                <w:bCs/>
                <w:highlight w:val="none"/>
              </w:rPr>
            </w:pPr>
          </w:p>
        </w:tc>
        <w:tc>
          <w:tcPr>
            <w:tcW w:w="1059" w:type="dxa"/>
            <w:vMerge w:val="continue"/>
            <w:tcBorders>
              <w:left w:val="single" w:color="auto" w:sz="4" w:space="0"/>
              <w:bottom w:val="single" w:color="auto" w:sz="4" w:space="0"/>
              <w:right w:val="single" w:color="auto" w:sz="4" w:space="0"/>
            </w:tcBorders>
            <w:noWrap/>
          </w:tcPr>
          <w:p w14:paraId="2B36D91B">
            <w:pPr>
              <w:pStyle w:val="27"/>
              <w:widowControl w:val="0"/>
              <w:adjustRightInd w:val="0"/>
              <w:spacing w:before="0" w:beforeAutospacing="0" w:after="0" w:afterAutospacing="0" w:line="480" w:lineRule="exact"/>
              <w:ind w:left="105" w:leftChars="50" w:firstLine="115" w:firstLineChars="48"/>
              <w:jc w:val="center"/>
              <w:rPr>
                <w:rFonts w:hint="eastAsia"/>
                <w:bCs/>
                <w:highlight w:val="none"/>
              </w:rPr>
            </w:pPr>
          </w:p>
        </w:tc>
      </w:tr>
      <w:tr w14:paraId="19FA5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4" w:hRule="atLeast"/>
          <w:jc w:val="center"/>
        </w:trPr>
        <w:tc>
          <w:tcPr>
            <w:tcW w:w="1090" w:type="dxa"/>
            <w:tcBorders>
              <w:top w:val="single" w:color="auto" w:sz="4" w:space="0"/>
              <w:left w:val="single" w:color="auto" w:sz="4" w:space="0"/>
              <w:bottom w:val="single" w:color="auto" w:sz="4" w:space="0"/>
              <w:right w:val="single" w:color="auto" w:sz="4" w:space="0"/>
            </w:tcBorders>
            <w:noWrap/>
          </w:tcPr>
          <w:p w14:paraId="4230CAA5">
            <w:pPr>
              <w:spacing w:line="480" w:lineRule="exact"/>
              <w:jc w:val="center"/>
              <w:rPr>
                <w:rFonts w:hint="eastAsia" w:ascii="宋体" w:hAnsi="宋体" w:cs="宋体"/>
                <w:bCs/>
                <w:sz w:val="24"/>
                <w:highlight w:val="none"/>
              </w:rPr>
            </w:pPr>
          </w:p>
        </w:tc>
        <w:tc>
          <w:tcPr>
            <w:tcW w:w="949" w:type="dxa"/>
            <w:tcBorders>
              <w:top w:val="single" w:color="auto" w:sz="4" w:space="0"/>
              <w:left w:val="single" w:color="auto" w:sz="4" w:space="0"/>
              <w:bottom w:val="single" w:color="auto" w:sz="4" w:space="0"/>
              <w:right w:val="single" w:color="auto" w:sz="4" w:space="0"/>
            </w:tcBorders>
            <w:noWrap/>
          </w:tcPr>
          <w:p w14:paraId="64DAF9F9">
            <w:pPr>
              <w:spacing w:line="480" w:lineRule="exact"/>
              <w:jc w:val="center"/>
              <w:rPr>
                <w:rFonts w:hint="eastAsia" w:ascii="宋体" w:hAnsi="宋体" w:cs="宋体"/>
                <w:bCs/>
                <w:sz w:val="24"/>
                <w:highlight w:val="none"/>
              </w:rPr>
            </w:pPr>
          </w:p>
        </w:tc>
        <w:tc>
          <w:tcPr>
            <w:tcW w:w="968" w:type="dxa"/>
            <w:tcBorders>
              <w:top w:val="single" w:color="auto" w:sz="4" w:space="0"/>
              <w:left w:val="single" w:color="auto" w:sz="4" w:space="0"/>
              <w:bottom w:val="single" w:color="auto" w:sz="4" w:space="0"/>
              <w:right w:val="single" w:color="auto" w:sz="4" w:space="0"/>
            </w:tcBorders>
            <w:noWrap/>
          </w:tcPr>
          <w:p w14:paraId="3FB4C416">
            <w:pPr>
              <w:spacing w:line="480" w:lineRule="exact"/>
              <w:jc w:val="center"/>
              <w:rPr>
                <w:rFonts w:hint="eastAsia" w:ascii="宋体" w:hAnsi="宋体" w:cs="宋体"/>
                <w:bCs/>
                <w:sz w:val="24"/>
                <w:highlight w:val="none"/>
              </w:rPr>
            </w:pPr>
          </w:p>
        </w:tc>
        <w:tc>
          <w:tcPr>
            <w:tcW w:w="2348" w:type="dxa"/>
            <w:tcBorders>
              <w:top w:val="single" w:color="auto" w:sz="4" w:space="0"/>
              <w:left w:val="single" w:color="auto" w:sz="4" w:space="0"/>
              <w:bottom w:val="single" w:color="auto" w:sz="4" w:space="0"/>
              <w:right w:val="single" w:color="auto" w:sz="4" w:space="0"/>
            </w:tcBorders>
            <w:noWrap/>
          </w:tcPr>
          <w:p w14:paraId="14D358C9">
            <w:pPr>
              <w:spacing w:line="480" w:lineRule="exact"/>
              <w:jc w:val="center"/>
              <w:rPr>
                <w:rFonts w:hint="eastAsia" w:ascii="宋体" w:hAnsi="宋体" w:cs="宋体"/>
                <w:bCs/>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14:paraId="0B01D3DD">
            <w:pPr>
              <w:spacing w:line="480" w:lineRule="exact"/>
              <w:jc w:val="center"/>
              <w:rPr>
                <w:rFonts w:hint="eastAsia" w:ascii="宋体" w:hAnsi="宋体" w:cs="宋体"/>
                <w:bCs/>
                <w:sz w:val="24"/>
                <w:highlight w:val="none"/>
              </w:rPr>
            </w:pPr>
          </w:p>
        </w:tc>
        <w:tc>
          <w:tcPr>
            <w:tcW w:w="764" w:type="dxa"/>
            <w:tcBorders>
              <w:top w:val="single" w:color="auto" w:sz="4" w:space="0"/>
              <w:left w:val="single" w:color="auto" w:sz="4" w:space="0"/>
              <w:bottom w:val="single" w:color="auto" w:sz="4" w:space="0"/>
              <w:right w:val="single" w:color="auto" w:sz="4" w:space="0"/>
            </w:tcBorders>
            <w:noWrap/>
          </w:tcPr>
          <w:p w14:paraId="60298BA4">
            <w:pPr>
              <w:spacing w:line="480" w:lineRule="exact"/>
              <w:jc w:val="center"/>
              <w:rPr>
                <w:rFonts w:hint="eastAsia" w:ascii="宋体" w:hAnsi="宋体" w:cs="宋体"/>
                <w:bCs/>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14:paraId="34DF01EC">
            <w:pPr>
              <w:spacing w:line="480" w:lineRule="exact"/>
              <w:jc w:val="center"/>
              <w:rPr>
                <w:rFonts w:hint="eastAsia" w:ascii="宋体" w:hAnsi="宋体" w:cs="宋体"/>
                <w:bCs/>
                <w:sz w:val="24"/>
                <w:highlight w:val="none"/>
              </w:rPr>
            </w:pPr>
          </w:p>
        </w:tc>
        <w:tc>
          <w:tcPr>
            <w:tcW w:w="884" w:type="dxa"/>
            <w:tcBorders>
              <w:top w:val="single" w:color="auto" w:sz="4" w:space="0"/>
              <w:left w:val="single" w:color="auto" w:sz="4" w:space="0"/>
              <w:bottom w:val="single" w:color="auto" w:sz="4" w:space="0"/>
              <w:right w:val="single" w:color="auto" w:sz="4" w:space="0"/>
            </w:tcBorders>
            <w:noWrap/>
          </w:tcPr>
          <w:p w14:paraId="6A59916D">
            <w:pPr>
              <w:spacing w:line="480" w:lineRule="exact"/>
              <w:jc w:val="center"/>
              <w:rPr>
                <w:rFonts w:hint="eastAsia" w:ascii="宋体" w:hAnsi="宋体" w:cs="宋体"/>
                <w:bCs/>
                <w:sz w:val="24"/>
                <w:highlight w:val="none"/>
              </w:rPr>
            </w:pPr>
          </w:p>
        </w:tc>
        <w:tc>
          <w:tcPr>
            <w:tcW w:w="1059" w:type="dxa"/>
            <w:tcBorders>
              <w:top w:val="single" w:color="auto" w:sz="4" w:space="0"/>
              <w:left w:val="single" w:color="auto" w:sz="4" w:space="0"/>
              <w:bottom w:val="single" w:color="auto" w:sz="4" w:space="0"/>
              <w:right w:val="single" w:color="auto" w:sz="4" w:space="0"/>
            </w:tcBorders>
            <w:noWrap/>
          </w:tcPr>
          <w:p w14:paraId="092CE282">
            <w:pPr>
              <w:spacing w:line="480" w:lineRule="exact"/>
              <w:jc w:val="center"/>
              <w:rPr>
                <w:rFonts w:hint="default" w:ascii="宋体" w:hAnsi="宋体" w:eastAsia="宋体" w:cs="宋体"/>
                <w:bCs/>
                <w:sz w:val="24"/>
                <w:highlight w:val="none"/>
                <w:lang w:val="en-US" w:eastAsia="zh-CN"/>
              </w:rPr>
            </w:pPr>
            <w:r>
              <w:rPr>
                <w:rFonts w:hint="eastAsia" w:ascii="宋体" w:hAnsi="宋体" w:cs="宋体"/>
                <w:bCs/>
                <w:sz w:val="24"/>
                <w:highlight w:val="none"/>
                <w:lang w:val="en-US" w:eastAsia="zh-CN"/>
              </w:rPr>
              <w:t>如：国家/行业标准...</w:t>
            </w:r>
          </w:p>
        </w:tc>
      </w:tr>
      <w:tr w14:paraId="2ECB8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090" w:type="dxa"/>
            <w:tcBorders>
              <w:top w:val="single" w:color="auto" w:sz="4" w:space="0"/>
              <w:left w:val="single" w:color="auto" w:sz="4" w:space="0"/>
              <w:bottom w:val="single" w:color="auto" w:sz="4" w:space="0"/>
              <w:right w:val="single" w:color="auto" w:sz="4" w:space="0"/>
            </w:tcBorders>
            <w:noWrap/>
          </w:tcPr>
          <w:p w14:paraId="34A3D1F5">
            <w:pPr>
              <w:spacing w:line="480" w:lineRule="exact"/>
              <w:jc w:val="center"/>
              <w:rPr>
                <w:rFonts w:hint="eastAsia" w:ascii="宋体" w:hAnsi="宋体" w:cs="宋体"/>
                <w:bCs/>
                <w:sz w:val="24"/>
                <w:highlight w:val="none"/>
              </w:rPr>
            </w:pPr>
          </w:p>
        </w:tc>
        <w:tc>
          <w:tcPr>
            <w:tcW w:w="949" w:type="dxa"/>
            <w:tcBorders>
              <w:top w:val="single" w:color="auto" w:sz="4" w:space="0"/>
              <w:left w:val="single" w:color="auto" w:sz="4" w:space="0"/>
              <w:bottom w:val="single" w:color="auto" w:sz="4" w:space="0"/>
              <w:right w:val="single" w:color="auto" w:sz="4" w:space="0"/>
            </w:tcBorders>
            <w:noWrap/>
          </w:tcPr>
          <w:p w14:paraId="0BBA6A37">
            <w:pPr>
              <w:spacing w:line="480" w:lineRule="exact"/>
              <w:jc w:val="center"/>
              <w:rPr>
                <w:rFonts w:hint="eastAsia" w:ascii="宋体" w:hAnsi="宋体" w:cs="宋体"/>
                <w:bCs/>
                <w:sz w:val="24"/>
                <w:highlight w:val="none"/>
              </w:rPr>
            </w:pPr>
          </w:p>
        </w:tc>
        <w:tc>
          <w:tcPr>
            <w:tcW w:w="968" w:type="dxa"/>
            <w:tcBorders>
              <w:top w:val="single" w:color="auto" w:sz="4" w:space="0"/>
              <w:left w:val="single" w:color="auto" w:sz="4" w:space="0"/>
              <w:bottom w:val="single" w:color="auto" w:sz="4" w:space="0"/>
              <w:right w:val="single" w:color="auto" w:sz="4" w:space="0"/>
            </w:tcBorders>
            <w:noWrap/>
          </w:tcPr>
          <w:p w14:paraId="09897B07">
            <w:pPr>
              <w:spacing w:line="480" w:lineRule="exact"/>
              <w:jc w:val="center"/>
              <w:rPr>
                <w:rFonts w:hint="eastAsia" w:ascii="宋体" w:hAnsi="宋体" w:cs="宋体"/>
                <w:bCs/>
                <w:sz w:val="24"/>
                <w:highlight w:val="none"/>
              </w:rPr>
            </w:pPr>
          </w:p>
        </w:tc>
        <w:tc>
          <w:tcPr>
            <w:tcW w:w="2348" w:type="dxa"/>
            <w:tcBorders>
              <w:top w:val="single" w:color="auto" w:sz="4" w:space="0"/>
              <w:left w:val="single" w:color="auto" w:sz="4" w:space="0"/>
              <w:bottom w:val="single" w:color="auto" w:sz="4" w:space="0"/>
              <w:right w:val="single" w:color="auto" w:sz="4" w:space="0"/>
            </w:tcBorders>
            <w:noWrap/>
          </w:tcPr>
          <w:p w14:paraId="7A41741C">
            <w:pPr>
              <w:spacing w:line="480" w:lineRule="exact"/>
              <w:jc w:val="center"/>
              <w:rPr>
                <w:rFonts w:hint="eastAsia" w:ascii="宋体" w:hAnsi="宋体" w:cs="宋体"/>
                <w:bCs/>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14:paraId="3C105BB2">
            <w:pPr>
              <w:spacing w:line="480" w:lineRule="exact"/>
              <w:jc w:val="center"/>
              <w:rPr>
                <w:rFonts w:hint="eastAsia" w:ascii="宋体" w:hAnsi="宋体" w:cs="宋体"/>
                <w:bCs/>
                <w:sz w:val="24"/>
                <w:highlight w:val="none"/>
              </w:rPr>
            </w:pPr>
          </w:p>
        </w:tc>
        <w:tc>
          <w:tcPr>
            <w:tcW w:w="764" w:type="dxa"/>
            <w:tcBorders>
              <w:top w:val="single" w:color="auto" w:sz="4" w:space="0"/>
              <w:left w:val="single" w:color="auto" w:sz="4" w:space="0"/>
              <w:bottom w:val="single" w:color="auto" w:sz="4" w:space="0"/>
              <w:right w:val="single" w:color="auto" w:sz="4" w:space="0"/>
            </w:tcBorders>
            <w:noWrap/>
          </w:tcPr>
          <w:p w14:paraId="5A9A8983">
            <w:pPr>
              <w:spacing w:line="480" w:lineRule="exact"/>
              <w:jc w:val="center"/>
              <w:rPr>
                <w:rFonts w:hint="eastAsia" w:ascii="宋体" w:hAnsi="宋体" w:cs="宋体"/>
                <w:bCs/>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14:paraId="759A5C39">
            <w:pPr>
              <w:spacing w:line="480" w:lineRule="exact"/>
              <w:jc w:val="center"/>
              <w:rPr>
                <w:rFonts w:hint="eastAsia" w:ascii="宋体" w:hAnsi="宋体" w:cs="宋体"/>
                <w:bCs/>
                <w:sz w:val="24"/>
                <w:highlight w:val="none"/>
              </w:rPr>
            </w:pPr>
          </w:p>
        </w:tc>
        <w:tc>
          <w:tcPr>
            <w:tcW w:w="884" w:type="dxa"/>
            <w:tcBorders>
              <w:top w:val="single" w:color="auto" w:sz="4" w:space="0"/>
              <w:left w:val="single" w:color="auto" w:sz="4" w:space="0"/>
              <w:bottom w:val="single" w:color="auto" w:sz="4" w:space="0"/>
              <w:right w:val="single" w:color="auto" w:sz="4" w:space="0"/>
            </w:tcBorders>
            <w:noWrap/>
          </w:tcPr>
          <w:p w14:paraId="3DD0FDA7">
            <w:pPr>
              <w:spacing w:line="480" w:lineRule="exact"/>
              <w:jc w:val="center"/>
              <w:rPr>
                <w:rFonts w:hint="eastAsia" w:ascii="宋体" w:hAnsi="宋体" w:cs="宋体"/>
                <w:bCs/>
                <w:sz w:val="24"/>
                <w:highlight w:val="none"/>
              </w:rPr>
            </w:pPr>
          </w:p>
        </w:tc>
        <w:tc>
          <w:tcPr>
            <w:tcW w:w="1059" w:type="dxa"/>
            <w:tcBorders>
              <w:top w:val="single" w:color="auto" w:sz="4" w:space="0"/>
              <w:left w:val="single" w:color="auto" w:sz="4" w:space="0"/>
              <w:bottom w:val="single" w:color="auto" w:sz="4" w:space="0"/>
              <w:right w:val="single" w:color="auto" w:sz="4" w:space="0"/>
            </w:tcBorders>
            <w:noWrap/>
          </w:tcPr>
          <w:p w14:paraId="159FCEC1">
            <w:pPr>
              <w:spacing w:line="480" w:lineRule="exact"/>
              <w:jc w:val="center"/>
              <w:rPr>
                <w:rFonts w:hint="eastAsia" w:ascii="宋体" w:hAnsi="宋体" w:cs="宋体"/>
                <w:bCs/>
                <w:sz w:val="24"/>
                <w:highlight w:val="none"/>
              </w:rPr>
            </w:pPr>
          </w:p>
        </w:tc>
      </w:tr>
      <w:tr w14:paraId="3ECB7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090" w:type="dxa"/>
            <w:tcBorders>
              <w:top w:val="single" w:color="auto" w:sz="4" w:space="0"/>
              <w:left w:val="single" w:color="auto" w:sz="4" w:space="0"/>
              <w:bottom w:val="single" w:color="auto" w:sz="4" w:space="0"/>
              <w:right w:val="single" w:color="auto" w:sz="4" w:space="0"/>
            </w:tcBorders>
            <w:noWrap/>
          </w:tcPr>
          <w:p w14:paraId="514DB24A">
            <w:pPr>
              <w:spacing w:line="480" w:lineRule="exact"/>
              <w:jc w:val="center"/>
              <w:rPr>
                <w:rFonts w:hint="eastAsia" w:ascii="宋体" w:hAnsi="宋体" w:cs="宋体"/>
                <w:bCs/>
                <w:sz w:val="24"/>
                <w:highlight w:val="none"/>
              </w:rPr>
            </w:pPr>
          </w:p>
        </w:tc>
        <w:tc>
          <w:tcPr>
            <w:tcW w:w="949" w:type="dxa"/>
            <w:tcBorders>
              <w:top w:val="single" w:color="auto" w:sz="4" w:space="0"/>
              <w:left w:val="single" w:color="auto" w:sz="4" w:space="0"/>
              <w:bottom w:val="single" w:color="auto" w:sz="4" w:space="0"/>
              <w:right w:val="single" w:color="auto" w:sz="4" w:space="0"/>
            </w:tcBorders>
            <w:noWrap/>
          </w:tcPr>
          <w:p w14:paraId="2CBDA956">
            <w:pPr>
              <w:spacing w:line="480" w:lineRule="exact"/>
              <w:jc w:val="center"/>
              <w:rPr>
                <w:rFonts w:hint="eastAsia" w:ascii="宋体" w:hAnsi="宋体" w:cs="宋体"/>
                <w:bCs/>
                <w:sz w:val="24"/>
                <w:highlight w:val="none"/>
              </w:rPr>
            </w:pPr>
          </w:p>
        </w:tc>
        <w:tc>
          <w:tcPr>
            <w:tcW w:w="968" w:type="dxa"/>
            <w:tcBorders>
              <w:top w:val="single" w:color="auto" w:sz="4" w:space="0"/>
              <w:left w:val="single" w:color="auto" w:sz="4" w:space="0"/>
              <w:bottom w:val="single" w:color="auto" w:sz="4" w:space="0"/>
              <w:right w:val="single" w:color="auto" w:sz="4" w:space="0"/>
            </w:tcBorders>
            <w:noWrap/>
          </w:tcPr>
          <w:p w14:paraId="031603AA">
            <w:pPr>
              <w:spacing w:line="480" w:lineRule="exact"/>
              <w:jc w:val="center"/>
              <w:rPr>
                <w:rFonts w:hint="eastAsia" w:ascii="宋体" w:hAnsi="宋体" w:cs="宋体"/>
                <w:bCs/>
                <w:sz w:val="24"/>
                <w:highlight w:val="none"/>
              </w:rPr>
            </w:pPr>
          </w:p>
        </w:tc>
        <w:tc>
          <w:tcPr>
            <w:tcW w:w="2348" w:type="dxa"/>
            <w:tcBorders>
              <w:top w:val="single" w:color="auto" w:sz="4" w:space="0"/>
              <w:left w:val="single" w:color="auto" w:sz="4" w:space="0"/>
              <w:bottom w:val="single" w:color="auto" w:sz="4" w:space="0"/>
              <w:right w:val="single" w:color="auto" w:sz="4" w:space="0"/>
            </w:tcBorders>
            <w:noWrap/>
          </w:tcPr>
          <w:p w14:paraId="7E9745CE">
            <w:pPr>
              <w:spacing w:line="480" w:lineRule="exact"/>
              <w:jc w:val="center"/>
              <w:rPr>
                <w:rFonts w:hint="eastAsia" w:ascii="宋体" w:hAnsi="宋体" w:cs="宋体"/>
                <w:bCs/>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14:paraId="0C5DE0C2">
            <w:pPr>
              <w:spacing w:line="480" w:lineRule="exact"/>
              <w:jc w:val="center"/>
              <w:rPr>
                <w:rFonts w:hint="eastAsia" w:ascii="宋体" w:hAnsi="宋体" w:cs="宋体"/>
                <w:bCs/>
                <w:sz w:val="24"/>
                <w:highlight w:val="none"/>
              </w:rPr>
            </w:pPr>
          </w:p>
        </w:tc>
        <w:tc>
          <w:tcPr>
            <w:tcW w:w="764" w:type="dxa"/>
            <w:tcBorders>
              <w:top w:val="single" w:color="auto" w:sz="4" w:space="0"/>
              <w:left w:val="single" w:color="auto" w:sz="4" w:space="0"/>
              <w:bottom w:val="single" w:color="auto" w:sz="4" w:space="0"/>
              <w:right w:val="single" w:color="auto" w:sz="4" w:space="0"/>
            </w:tcBorders>
            <w:noWrap/>
          </w:tcPr>
          <w:p w14:paraId="088432B2">
            <w:pPr>
              <w:spacing w:line="480" w:lineRule="exact"/>
              <w:jc w:val="center"/>
              <w:rPr>
                <w:rFonts w:hint="eastAsia" w:ascii="宋体" w:hAnsi="宋体" w:cs="宋体"/>
                <w:bCs/>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14:paraId="52997D54">
            <w:pPr>
              <w:spacing w:line="480" w:lineRule="exact"/>
              <w:jc w:val="center"/>
              <w:rPr>
                <w:rFonts w:hint="eastAsia" w:ascii="宋体" w:hAnsi="宋体" w:cs="宋体"/>
                <w:bCs/>
                <w:sz w:val="24"/>
                <w:highlight w:val="none"/>
              </w:rPr>
            </w:pPr>
          </w:p>
        </w:tc>
        <w:tc>
          <w:tcPr>
            <w:tcW w:w="884" w:type="dxa"/>
            <w:tcBorders>
              <w:top w:val="single" w:color="auto" w:sz="4" w:space="0"/>
              <w:left w:val="single" w:color="auto" w:sz="4" w:space="0"/>
              <w:bottom w:val="single" w:color="auto" w:sz="4" w:space="0"/>
              <w:right w:val="single" w:color="auto" w:sz="4" w:space="0"/>
            </w:tcBorders>
            <w:noWrap/>
          </w:tcPr>
          <w:p w14:paraId="6569CEDD">
            <w:pPr>
              <w:spacing w:line="480" w:lineRule="exact"/>
              <w:jc w:val="center"/>
              <w:rPr>
                <w:rFonts w:hint="eastAsia" w:ascii="宋体" w:hAnsi="宋体" w:cs="宋体"/>
                <w:bCs/>
                <w:sz w:val="24"/>
                <w:highlight w:val="none"/>
              </w:rPr>
            </w:pPr>
          </w:p>
        </w:tc>
        <w:tc>
          <w:tcPr>
            <w:tcW w:w="1059" w:type="dxa"/>
            <w:tcBorders>
              <w:top w:val="single" w:color="auto" w:sz="4" w:space="0"/>
              <w:left w:val="single" w:color="auto" w:sz="4" w:space="0"/>
              <w:bottom w:val="single" w:color="auto" w:sz="4" w:space="0"/>
              <w:right w:val="single" w:color="auto" w:sz="4" w:space="0"/>
            </w:tcBorders>
            <w:noWrap/>
          </w:tcPr>
          <w:p w14:paraId="2731DBD7">
            <w:pPr>
              <w:spacing w:line="480" w:lineRule="exact"/>
              <w:jc w:val="center"/>
              <w:rPr>
                <w:rFonts w:hint="eastAsia" w:ascii="宋体" w:hAnsi="宋体" w:cs="宋体"/>
                <w:bCs/>
                <w:sz w:val="24"/>
                <w:highlight w:val="none"/>
              </w:rPr>
            </w:pPr>
          </w:p>
        </w:tc>
      </w:tr>
      <w:tr w14:paraId="33BAD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090" w:type="dxa"/>
            <w:tcBorders>
              <w:top w:val="single" w:color="auto" w:sz="4" w:space="0"/>
              <w:left w:val="single" w:color="auto" w:sz="4" w:space="0"/>
              <w:bottom w:val="single" w:color="auto" w:sz="4" w:space="0"/>
              <w:right w:val="single" w:color="auto" w:sz="4" w:space="0"/>
            </w:tcBorders>
            <w:noWrap/>
          </w:tcPr>
          <w:p w14:paraId="1F52B5FE">
            <w:pPr>
              <w:spacing w:line="480" w:lineRule="exact"/>
              <w:jc w:val="center"/>
              <w:rPr>
                <w:rFonts w:hint="eastAsia" w:ascii="宋体" w:hAnsi="宋体" w:cs="宋体"/>
                <w:bCs/>
                <w:sz w:val="24"/>
                <w:highlight w:val="none"/>
              </w:rPr>
            </w:pPr>
          </w:p>
        </w:tc>
        <w:tc>
          <w:tcPr>
            <w:tcW w:w="949" w:type="dxa"/>
            <w:tcBorders>
              <w:top w:val="single" w:color="auto" w:sz="4" w:space="0"/>
              <w:left w:val="single" w:color="auto" w:sz="4" w:space="0"/>
              <w:bottom w:val="single" w:color="auto" w:sz="4" w:space="0"/>
              <w:right w:val="single" w:color="auto" w:sz="4" w:space="0"/>
            </w:tcBorders>
            <w:noWrap/>
          </w:tcPr>
          <w:p w14:paraId="431C9755">
            <w:pPr>
              <w:spacing w:line="480" w:lineRule="exact"/>
              <w:jc w:val="center"/>
              <w:rPr>
                <w:rFonts w:hint="eastAsia" w:ascii="宋体" w:hAnsi="宋体" w:cs="宋体"/>
                <w:bCs/>
                <w:sz w:val="24"/>
                <w:highlight w:val="none"/>
              </w:rPr>
            </w:pPr>
          </w:p>
        </w:tc>
        <w:tc>
          <w:tcPr>
            <w:tcW w:w="968" w:type="dxa"/>
            <w:tcBorders>
              <w:top w:val="single" w:color="auto" w:sz="4" w:space="0"/>
              <w:left w:val="single" w:color="auto" w:sz="4" w:space="0"/>
              <w:bottom w:val="single" w:color="auto" w:sz="4" w:space="0"/>
              <w:right w:val="single" w:color="auto" w:sz="4" w:space="0"/>
            </w:tcBorders>
            <w:noWrap/>
          </w:tcPr>
          <w:p w14:paraId="3AE66B5A">
            <w:pPr>
              <w:spacing w:line="480" w:lineRule="exact"/>
              <w:jc w:val="center"/>
              <w:rPr>
                <w:rFonts w:hint="eastAsia" w:ascii="宋体" w:hAnsi="宋体" w:cs="宋体"/>
                <w:bCs/>
                <w:sz w:val="24"/>
                <w:highlight w:val="none"/>
              </w:rPr>
            </w:pPr>
          </w:p>
        </w:tc>
        <w:tc>
          <w:tcPr>
            <w:tcW w:w="2348" w:type="dxa"/>
            <w:tcBorders>
              <w:top w:val="single" w:color="auto" w:sz="4" w:space="0"/>
              <w:left w:val="single" w:color="auto" w:sz="4" w:space="0"/>
              <w:bottom w:val="single" w:color="auto" w:sz="4" w:space="0"/>
              <w:right w:val="single" w:color="auto" w:sz="4" w:space="0"/>
            </w:tcBorders>
            <w:noWrap/>
          </w:tcPr>
          <w:p w14:paraId="34B11C82">
            <w:pPr>
              <w:spacing w:line="480" w:lineRule="exact"/>
              <w:jc w:val="center"/>
              <w:rPr>
                <w:rFonts w:hint="eastAsia" w:ascii="宋体" w:hAnsi="宋体" w:cs="宋体"/>
                <w:bCs/>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14:paraId="099F85A4">
            <w:pPr>
              <w:spacing w:line="480" w:lineRule="exact"/>
              <w:jc w:val="center"/>
              <w:rPr>
                <w:rFonts w:hint="eastAsia" w:ascii="宋体" w:hAnsi="宋体" w:cs="宋体"/>
                <w:bCs/>
                <w:sz w:val="24"/>
                <w:highlight w:val="none"/>
              </w:rPr>
            </w:pPr>
          </w:p>
        </w:tc>
        <w:tc>
          <w:tcPr>
            <w:tcW w:w="764" w:type="dxa"/>
            <w:tcBorders>
              <w:top w:val="single" w:color="auto" w:sz="4" w:space="0"/>
              <w:left w:val="single" w:color="auto" w:sz="4" w:space="0"/>
              <w:bottom w:val="single" w:color="auto" w:sz="4" w:space="0"/>
              <w:right w:val="single" w:color="auto" w:sz="4" w:space="0"/>
            </w:tcBorders>
            <w:noWrap/>
          </w:tcPr>
          <w:p w14:paraId="47D692F5">
            <w:pPr>
              <w:spacing w:line="480" w:lineRule="exact"/>
              <w:jc w:val="center"/>
              <w:rPr>
                <w:rFonts w:hint="eastAsia" w:ascii="宋体" w:hAnsi="宋体" w:cs="宋体"/>
                <w:bCs/>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14:paraId="0DD0AB8E">
            <w:pPr>
              <w:spacing w:line="480" w:lineRule="exact"/>
              <w:jc w:val="center"/>
              <w:rPr>
                <w:rFonts w:hint="eastAsia" w:ascii="宋体" w:hAnsi="宋体" w:cs="宋体"/>
                <w:bCs/>
                <w:sz w:val="24"/>
                <w:highlight w:val="none"/>
              </w:rPr>
            </w:pPr>
          </w:p>
        </w:tc>
        <w:tc>
          <w:tcPr>
            <w:tcW w:w="884" w:type="dxa"/>
            <w:tcBorders>
              <w:top w:val="single" w:color="auto" w:sz="4" w:space="0"/>
              <w:left w:val="single" w:color="auto" w:sz="4" w:space="0"/>
              <w:bottom w:val="single" w:color="auto" w:sz="4" w:space="0"/>
              <w:right w:val="single" w:color="auto" w:sz="4" w:space="0"/>
            </w:tcBorders>
            <w:noWrap/>
          </w:tcPr>
          <w:p w14:paraId="1952254E">
            <w:pPr>
              <w:spacing w:line="480" w:lineRule="exact"/>
              <w:jc w:val="center"/>
              <w:rPr>
                <w:rFonts w:hint="eastAsia" w:ascii="宋体" w:hAnsi="宋体" w:cs="宋体"/>
                <w:bCs/>
                <w:sz w:val="24"/>
                <w:highlight w:val="none"/>
              </w:rPr>
            </w:pPr>
          </w:p>
        </w:tc>
        <w:tc>
          <w:tcPr>
            <w:tcW w:w="1059" w:type="dxa"/>
            <w:tcBorders>
              <w:top w:val="single" w:color="auto" w:sz="4" w:space="0"/>
              <w:left w:val="single" w:color="auto" w:sz="4" w:space="0"/>
              <w:bottom w:val="single" w:color="auto" w:sz="4" w:space="0"/>
              <w:right w:val="single" w:color="auto" w:sz="4" w:space="0"/>
            </w:tcBorders>
            <w:noWrap/>
          </w:tcPr>
          <w:p w14:paraId="7F6DD615">
            <w:pPr>
              <w:spacing w:line="480" w:lineRule="exact"/>
              <w:jc w:val="center"/>
              <w:rPr>
                <w:rFonts w:hint="eastAsia" w:ascii="宋体" w:hAnsi="宋体" w:cs="宋体"/>
                <w:bCs/>
                <w:sz w:val="24"/>
                <w:highlight w:val="none"/>
              </w:rPr>
            </w:pPr>
          </w:p>
        </w:tc>
      </w:tr>
      <w:tr w14:paraId="202C5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090" w:type="dxa"/>
            <w:tcBorders>
              <w:top w:val="single" w:color="auto" w:sz="4" w:space="0"/>
              <w:left w:val="single" w:color="auto" w:sz="4" w:space="0"/>
              <w:bottom w:val="single" w:color="auto" w:sz="4" w:space="0"/>
              <w:right w:val="single" w:color="auto" w:sz="4" w:space="0"/>
            </w:tcBorders>
            <w:noWrap/>
          </w:tcPr>
          <w:p w14:paraId="230B3C68">
            <w:pPr>
              <w:spacing w:line="480" w:lineRule="exact"/>
              <w:jc w:val="center"/>
              <w:rPr>
                <w:rFonts w:hint="eastAsia" w:ascii="宋体" w:hAnsi="宋体" w:cs="宋体"/>
                <w:bCs/>
                <w:sz w:val="24"/>
                <w:highlight w:val="none"/>
              </w:rPr>
            </w:pPr>
          </w:p>
        </w:tc>
        <w:tc>
          <w:tcPr>
            <w:tcW w:w="949" w:type="dxa"/>
            <w:tcBorders>
              <w:top w:val="single" w:color="auto" w:sz="4" w:space="0"/>
              <w:left w:val="single" w:color="auto" w:sz="4" w:space="0"/>
              <w:bottom w:val="single" w:color="auto" w:sz="4" w:space="0"/>
              <w:right w:val="single" w:color="auto" w:sz="4" w:space="0"/>
            </w:tcBorders>
            <w:noWrap/>
          </w:tcPr>
          <w:p w14:paraId="011916FC">
            <w:pPr>
              <w:spacing w:line="480" w:lineRule="exact"/>
              <w:jc w:val="center"/>
              <w:rPr>
                <w:rFonts w:hint="eastAsia" w:ascii="宋体" w:hAnsi="宋体" w:cs="宋体"/>
                <w:bCs/>
                <w:sz w:val="24"/>
                <w:highlight w:val="none"/>
              </w:rPr>
            </w:pPr>
          </w:p>
        </w:tc>
        <w:tc>
          <w:tcPr>
            <w:tcW w:w="968" w:type="dxa"/>
            <w:tcBorders>
              <w:top w:val="single" w:color="auto" w:sz="4" w:space="0"/>
              <w:left w:val="single" w:color="auto" w:sz="4" w:space="0"/>
              <w:bottom w:val="single" w:color="auto" w:sz="4" w:space="0"/>
              <w:right w:val="single" w:color="auto" w:sz="4" w:space="0"/>
            </w:tcBorders>
            <w:noWrap/>
          </w:tcPr>
          <w:p w14:paraId="3A9373AD">
            <w:pPr>
              <w:spacing w:line="480" w:lineRule="exact"/>
              <w:jc w:val="center"/>
              <w:rPr>
                <w:rFonts w:hint="eastAsia" w:ascii="宋体" w:hAnsi="宋体" w:cs="宋体"/>
                <w:bCs/>
                <w:sz w:val="24"/>
                <w:highlight w:val="none"/>
              </w:rPr>
            </w:pPr>
          </w:p>
        </w:tc>
        <w:tc>
          <w:tcPr>
            <w:tcW w:w="2348" w:type="dxa"/>
            <w:tcBorders>
              <w:top w:val="single" w:color="auto" w:sz="4" w:space="0"/>
              <w:left w:val="single" w:color="auto" w:sz="4" w:space="0"/>
              <w:bottom w:val="single" w:color="auto" w:sz="4" w:space="0"/>
              <w:right w:val="single" w:color="auto" w:sz="4" w:space="0"/>
            </w:tcBorders>
            <w:noWrap/>
          </w:tcPr>
          <w:p w14:paraId="45C97B2E">
            <w:pPr>
              <w:spacing w:line="480" w:lineRule="exact"/>
              <w:jc w:val="center"/>
              <w:rPr>
                <w:rFonts w:hint="eastAsia" w:ascii="宋体" w:hAnsi="宋体" w:cs="宋体"/>
                <w:bCs/>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14:paraId="5D877604">
            <w:pPr>
              <w:spacing w:line="480" w:lineRule="exact"/>
              <w:jc w:val="center"/>
              <w:rPr>
                <w:rFonts w:hint="eastAsia" w:ascii="宋体" w:hAnsi="宋体" w:cs="宋体"/>
                <w:bCs/>
                <w:sz w:val="24"/>
                <w:highlight w:val="none"/>
              </w:rPr>
            </w:pPr>
          </w:p>
        </w:tc>
        <w:tc>
          <w:tcPr>
            <w:tcW w:w="764" w:type="dxa"/>
            <w:tcBorders>
              <w:top w:val="single" w:color="auto" w:sz="4" w:space="0"/>
              <w:left w:val="single" w:color="auto" w:sz="4" w:space="0"/>
              <w:bottom w:val="single" w:color="auto" w:sz="4" w:space="0"/>
              <w:right w:val="single" w:color="auto" w:sz="4" w:space="0"/>
            </w:tcBorders>
            <w:noWrap/>
          </w:tcPr>
          <w:p w14:paraId="30C75D48">
            <w:pPr>
              <w:spacing w:line="480" w:lineRule="exact"/>
              <w:jc w:val="center"/>
              <w:rPr>
                <w:rFonts w:hint="eastAsia" w:ascii="宋体" w:hAnsi="宋体" w:cs="宋体"/>
                <w:bCs/>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14:paraId="6B526739">
            <w:pPr>
              <w:spacing w:line="480" w:lineRule="exact"/>
              <w:jc w:val="center"/>
              <w:rPr>
                <w:rFonts w:hint="eastAsia" w:ascii="宋体" w:hAnsi="宋体" w:cs="宋体"/>
                <w:bCs/>
                <w:sz w:val="24"/>
                <w:highlight w:val="none"/>
              </w:rPr>
            </w:pPr>
          </w:p>
        </w:tc>
        <w:tc>
          <w:tcPr>
            <w:tcW w:w="884" w:type="dxa"/>
            <w:tcBorders>
              <w:top w:val="single" w:color="auto" w:sz="4" w:space="0"/>
              <w:left w:val="single" w:color="auto" w:sz="4" w:space="0"/>
              <w:bottom w:val="single" w:color="auto" w:sz="4" w:space="0"/>
              <w:right w:val="single" w:color="auto" w:sz="4" w:space="0"/>
            </w:tcBorders>
            <w:noWrap/>
          </w:tcPr>
          <w:p w14:paraId="534EEE44">
            <w:pPr>
              <w:spacing w:line="480" w:lineRule="exact"/>
              <w:jc w:val="center"/>
              <w:rPr>
                <w:rFonts w:hint="eastAsia" w:ascii="宋体" w:hAnsi="宋体" w:cs="宋体"/>
                <w:bCs/>
                <w:sz w:val="24"/>
                <w:highlight w:val="none"/>
              </w:rPr>
            </w:pPr>
          </w:p>
        </w:tc>
        <w:tc>
          <w:tcPr>
            <w:tcW w:w="1059" w:type="dxa"/>
            <w:tcBorders>
              <w:top w:val="single" w:color="auto" w:sz="4" w:space="0"/>
              <w:left w:val="single" w:color="auto" w:sz="4" w:space="0"/>
              <w:bottom w:val="single" w:color="auto" w:sz="4" w:space="0"/>
              <w:right w:val="single" w:color="auto" w:sz="4" w:space="0"/>
            </w:tcBorders>
            <w:noWrap/>
          </w:tcPr>
          <w:p w14:paraId="16178A96">
            <w:pPr>
              <w:spacing w:line="480" w:lineRule="exact"/>
              <w:jc w:val="center"/>
              <w:rPr>
                <w:rFonts w:hint="eastAsia" w:ascii="宋体" w:hAnsi="宋体" w:cs="宋体"/>
                <w:bCs/>
                <w:sz w:val="24"/>
                <w:highlight w:val="none"/>
              </w:rPr>
            </w:pPr>
          </w:p>
        </w:tc>
      </w:tr>
      <w:tr w14:paraId="56021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1090" w:type="dxa"/>
            <w:tcBorders>
              <w:top w:val="single" w:color="auto" w:sz="4" w:space="0"/>
              <w:left w:val="single" w:color="auto" w:sz="4" w:space="0"/>
              <w:bottom w:val="single" w:color="auto" w:sz="4" w:space="0"/>
              <w:right w:val="single" w:color="auto" w:sz="4" w:space="0"/>
            </w:tcBorders>
            <w:noWrap/>
          </w:tcPr>
          <w:p w14:paraId="5FBF865C">
            <w:pPr>
              <w:spacing w:line="480" w:lineRule="exact"/>
              <w:jc w:val="center"/>
              <w:rPr>
                <w:rFonts w:hint="eastAsia" w:ascii="宋体" w:hAnsi="宋体" w:cs="宋体"/>
                <w:bCs/>
                <w:sz w:val="24"/>
                <w:highlight w:val="none"/>
              </w:rPr>
            </w:pPr>
          </w:p>
        </w:tc>
        <w:tc>
          <w:tcPr>
            <w:tcW w:w="949" w:type="dxa"/>
            <w:tcBorders>
              <w:top w:val="single" w:color="auto" w:sz="4" w:space="0"/>
              <w:left w:val="single" w:color="auto" w:sz="4" w:space="0"/>
              <w:bottom w:val="single" w:color="auto" w:sz="4" w:space="0"/>
              <w:right w:val="single" w:color="auto" w:sz="4" w:space="0"/>
            </w:tcBorders>
            <w:noWrap/>
          </w:tcPr>
          <w:p w14:paraId="5192517C">
            <w:pPr>
              <w:spacing w:line="480" w:lineRule="exact"/>
              <w:jc w:val="center"/>
              <w:rPr>
                <w:rFonts w:hint="eastAsia" w:ascii="宋体" w:hAnsi="宋体" w:cs="宋体"/>
                <w:bCs/>
                <w:sz w:val="24"/>
                <w:highlight w:val="none"/>
              </w:rPr>
            </w:pPr>
          </w:p>
        </w:tc>
        <w:tc>
          <w:tcPr>
            <w:tcW w:w="968" w:type="dxa"/>
            <w:tcBorders>
              <w:top w:val="single" w:color="auto" w:sz="4" w:space="0"/>
              <w:left w:val="single" w:color="auto" w:sz="4" w:space="0"/>
              <w:bottom w:val="single" w:color="auto" w:sz="4" w:space="0"/>
              <w:right w:val="single" w:color="auto" w:sz="4" w:space="0"/>
            </w:tcBorders>
            <w:noWrap/>
          </w:tcPr>
          <w:p w14:paraId="754CE89F">
            <w:pPr>
              <w:spacing w:line="480" w:lineRule="exact"/>
              <w:jc w:val="center"/>
              <w:rPr>
                <w:rFonts w:hint="eastAsia" w:ascii="宋体" w:hAnsi="宋体" w:cs="宋体"/>
                <w:bCs/>
                <w:sz w:val="24"/>
                <w:highlight w:val="none"/>
              </w:rPr>
            </w:pPr>
          </w:p>
        </w:tc>
        <w:tc>
          <w:tcPr>
            <w:tcW w:w="2348" w:type="dxa"/>
            <w:tcBorders>
              <w:top w:val="single" w:color="auto" w:sz="4" w:space="0"/>
              <w:left w:val="single" w:color="auto" w:sz="4" w:space="0"/>
              <w:bottom w:val="single" w:color="auto" w:sz="4" w:space="0"/>
              <w:right w:val="single" w:color="auto" w:sz="4" w:space="0"/>
            </w:tcBorders>
            <w:noWrap/>
          </w:tcPr>
          <w:p w14:paraId="22850F27">
            <w:pPr>
              <w:spacing w:line="480" w:lineRule="exact"/>
              <w:jc w:val="center"/>
              <w:rPr>
                <w:rFonts w:hint="eastAsia" w:ascii="宋体" w:hAnsi="宋体" w:cs="宋体"/>
                <w:bCs/>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14:paraId="65A31A84">
            <w:pPr>
              <w:spacing w:line="480" w:lineRule="exact"/>
              <w:jc w:val="center"/>
              <w:rPr>
                <w:rFonts w:hint="eastAsia" w:ascii="宋体" w:hAnsi="宋体" w:cs="宋体"/>
                <w:bCs/>
                <w:sz w:val="24"/>
                <w:highlight w:val="none"/>
              </w:rPr>
            </w:pPr>
          </w:p>
        </w:tc>
        <w:tc>
          <w:tcPr>
            <w:tcW w:w="764" w:type="dxa"/>
            <w:tcBorders>
              <w:top w:val="single" w:color="auto" w:sz="4" w:space="0"/>
              <w:left w:val="single" w:color="auto" w:sz="4" w:space="0"/>
              <w:bottom w:val="single" w:color="auto" w:sz="4" w:space="0"/>
              <w:right w:val="single" w:color="auto" w:sz="4" w:space="0"/>
            </w:tcBorders>
            <w:noWrap/>
          </w:tcPr>
          <w:p w14:paraId="3D3D2181">
            <w:pPr>
              <w:spacing w:line="480" w:lineRule="exact"/>
              <w:jc w:val="center"/>
              <w:rPr>
                <w:rFonts w:hint="eastAsia" w:ascii="宋体" w:hAnsi="宋体" w:cs="宋体"/>
                <w:bCs/>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14:paraId="6D3B2CC0">
            <w:pPr>
              <w:spacing w:line="480" w:lineRule="exact"/>
              <w:jc w:val="center"/>
              <w:rPr>
                <w:rFonts w:hint="eastAsia" w:ascii="宋体" w:hAnsi="宋体" w:cs="宋体"/>
                <w:bCs/>
                <w:sz w:val="24"/>
                <w:highlight w:val="none"/>
              </w:rPr>
            </w:pPr>
          </w:p>
        </w:tc>
        <w:tc>
          <w:tcPr>
            <w:tcW w:w="884" w:type="dxa"/>
            <w:tcBorders>
              <w:top w:val="single" w:color="auto" w:sz="4" w:space="0"/>
              <w:left w:val="single" w:color="auto" w:sz="4" w:space="0"/>
              <w:bottom w:val="single" w:color="auto" w:sz="4" w:space="0"/>
              <w:right w:val="single" w:color="auto" w:sz="4" w:space="0"/>
            </w:tcBorders>
            <w:noWrap/>
          </w:tcPr>
          <w:p w14:paraId="1230A841">
            <w:pPr>
              <w:spacing w:line="480" w:lineRule="exact"/>
              <w:jc w:val="center"/>
              <w:rPr>
                <w:rFonts w:hint="eastAsia" w:ascii="宋体" w:hAnsi="宋体" w:cs="宋体"/>
                <w:bCs/>
                <w:sz w:val="24"/>
                <w:highlight w:val="none"/>
              </w:rPr>
            </w:pPr>
          </w:p>
        </w:tc>
        <w:tc>
          <w:tcPr>
            <w:tcW w:w="1059" w:type="dxa"/>
            <w:tcBorders>
              <w:top w:val="single" w:color="auto" w:sz="4" w:space="0"/>
              <w:left w:val="single" w:color="auto" w:sz="4" w:space="0"/>
              <w:bottom w:val="single" w:color="auto" w:sz="4" w:space="0"/>
              <w:right w:val="single" w:color="auto" w:sz="4" w:space="0"/>
            </w:tcBorders>
            <w:noWrap/>
          </w:tcPr>
          <w:p w14:paraId="6FB38BAB">
            <w:pPr>
              <w:spacing w:line="480" w:lineRule="exact"/>
              <w:jc w:val="center"/>
              <w:rPr>
                <w:rFonts w:hint="eastAsia" w:ascii="宋体" w:hAnsi="宋体" w:cs="宋体"/>
                <w:bCs/>
                <w:sz w:val="24"/>
                <w:highlight w:val="none"/>
              </w:rPr>
            </w:pPr>
          </w:p>
        </w:tc>
      </w:tr>
      <w:tr w14:paraId="264FE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1090" w:type="dxa"/>
            <w:tcBorders>
              <w:top w:val="single" w:color="auto" w:sz="4" w:space="0"/>
              <w:left w:val="single" w:color="auto" w:sz="4" w:space="0"/>
              <w:bottom w:val="single" w:color="auto" w:sz="4" w:space="0"/>
              <w:right w:val="single" w:color="auto" w:sz="4" w:space="0"/>
            </w:tcBorders>
            <w:noWrap/>
          </w:tcPr>
          <w:p w14:paraId="29842FF8">
            <w:pPr>
              <w:spacing w:line="480" w:lineRule="exact"/>
              <w:rPr>
                <w:rFonts w:hint="eastAsia" w:ascii="宋体" w:hAnsi="宋体" w:cs="宋体"/>
                <w:bCs/>
                <w:sz w:val="24"/>
                <w:highlight w:val="none"/>
              </w:rPr>
            </w:pPr>
            <w:r>
              <w:rPr>
                <w:rFonts w:hint="eastAsia" w:ascii="宋体" w:hAnsi="宋体" w:cs="宋体"/>
                <w:bCs/>
                <w:sz w:val="24"/>
                <w:highlight w:val="none"/>
              </w:rPr>
              <w:t>合计（元）</w:t>
            </w:r>
          </w:p>
        </w:tc>
        <w:tc>
          <w:tcPr>
            <w:tcW w:w="8608" w:type="dxa"/>
            <w:gridSpan w:val="8"/>
            <w:tcBorders>
              <w:top w:val="single" w:color="auto" w:sz="4" w:space="0"/>
              <w:left w:val="single" w:color="auto" w:sz="4" w:space="0"/>
              <w:bottom w:val="single" w:color="auto" w:sz="4" w:space="0"/>
              <w:right w:val="single" w:color="auto" w:sz="4" w:space="0"/>
            </w:tcBorders>
            <w:noWrap/>
          </w:tcPr>
          <w:p w14:paraId="4F310314">
            <w:pPr>
              <w:spacing w:line="480" w:lineRule="exact"/>
              <w:rPr>
                <w:rFonts w:hint="eastAsia" w:ascii="宋体" w:hAnsi="宋体" w:cs="宋体"/>
                <w:bCs/>
                <w:sz w:val="24"/>
                <w:highlight w:val="none"/>
              </w:rPr>
            </w:pPr>
            <w:r>
              <w:rPr>
                <w:rFonts w:hint="eastAsia" w:ascii="宋体" w:hAnsi="宋体" w:cs="宋体"/>
                <w:bCs/>
                <w:sz w:val="24"/>
                <w:highlight w:val="none"/>
              </w:rPr>
              <w:t>大写：                                 小写：</w:t>
            </w:r>
          </w:p>
        </w:tc>
      </w:tr>
      <w:tr w14:paraId="133CC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9698" w:type="dxa"/>
            <w:gridSpan w:val="9"/>
            <w:tcBorders>
              <w:top w:val="single" w:color="auto" w:sz="4" w:space="0"/>
              <w:left w:val="single" w:color="auto" w:sz="4" w:space="0"/>
              <w:bottom w:val="single" w:color="auto" w:sz="4" w:space="0"/>
              <w:right w:val="single" w:color="auto" w:sz="4" w:space="0"/>
            </w:tcBorders>
            <w:noWrap/>
          </w:tcPr>
          <w:p w14:paraId="54CB4E7E">
            <w:pPr>
              <w:spacing w:line="480" w:lineRule="exact"/>
              <w:rPr>
                <w:rFonts w:hint="default" w:ascii="宋体" w:hAnsi="宋体" w:eastAsia="宋体" w:cs="宋体"/>
                <w:bCs/>
                <w:sz w:val="24"/>
                <w:highlight w:val="red"/>
                <w:lang w:val="en-US" w:eastAsia="zh-CN"/>
              </w:rPr>
            </w:pPr>
            <w:r>
              <w:rPr>
                <w:rFonts w:hint="eastAsia" w:ascii="宋体" w:hAnsi="宋体" w:cs="宋体"/>
                <w:bCs/>
                <w:sz w:val="24"/>
                <w:highlight w:val="none"/>
                <w:lang w:val="en-US" w:eastAsia="zh-CN"/>
              </w:rPr>
              <w:t>重要提示:1、本表的每一页须加盖企业印章;2、涉及有国家标准的产品，须填写名称、品牌、型号及技术参数、报价等本表内容(若品牌、型号等填写的与实际不符，按照无效标处理）</w:t>
            </w:r>
          </w:p>
        </w:tc>
      </w:tr>
    </w:tbl>
    <w:p w14:paraId="1B27E7A3">
      <w:pPr>
        <w:adjustRightInd w:val="0"/>
        <w:snapToGrid w:val="0"/>
        <w:spacing w:before="189" w:beforeLines="50" w:line="360" w:lineRule="auto"/>
        <w:ind w:right="960"/>
        <w:rPr>
          <w:rFonts w:hint="eastAsia" w:ascii="宋体" w:hAnsi="宋体" w:cs="宋体"/>
          <w:sz w:val="24"/>
        </w:rPr>
      </w:pPr>
    </w:p>
    <w:p w14:paraId="51A6BAAC">
      <w:pPr>
        <w:adjustRightInd w:val="0"/>
        <w:snapToGrid w:val="0"/>
        <w:spacing w:before="189" w:beforeLines="50" w:line="360" w:lineRule="auto"/>
        <w:ind w:right="960"/>
        <w:rPr>
          <w:rFonts w:hint="eastAsia" w:ascii="宋体" w:hAnsi="宋体" w:cs="宋体"/>
          <w:sz w:val="24"/>
        </w:rPr>
      </w:pPr>
    </w:p>
    <w:p w14:paraId="68834008">
      <w:pPr>
        <w:adjustRightInd w:val="0"/>
        <w:snapToGrid w:val="0"/>
        <w:spacing w:before="189" w:beforeLines="50" w:line="360" w:lineRule="auto"/>
        <w:ind w:right="960" w:firstLine="3120" w:firstLineChars="1300"/>
        <w:rPr>
          <w:rFonts w:hint="eastAsia" w:ascii="宋体" w:hAnsi="宋体" w:cs="宋体"/>
          <w:sz w:val="24"/>
        </w:rPr>
      </w:pPr>
      <w:r>
        <w:rPr>
          <w:rFonts w:hint="eastAsia" w:ascii="宋体" w:hAnsi="宋体" w:cs="宋体"/>
          <w:sz w:val="24"/>
        </w:rPr>
        <w:t>供应商名称（单位电子签章）：</w:t>
      </w:r>
    </w:p>
    <w:p w14:paraId="0E3C7236">
      <w:pPr>
        <w:spacing w:line="480" w:lineRule="exact"/>
        <w:ind w:firstLine="3120" w:firstLineChars="1300"/>
        <w:rPr>
          <w:rFonts w:hint="eastAsia" w:ascii="宋体" w:hAnsi="宋体" w:cs="宋体"/>
          <w:bCs/>
          <w:sz w:val="24"/>
        </w:rPr>
      </w:pPr>
      <w:r>
        <w:rPr>
          <w:rFonts w:hint="eastAsia" w:ascii="宋体" w:hAnsi="宋体" w:cs="宋体"/>
          <w:bCs/>
          <w:sz w:val="24"/>
        </w:rPr>
        <w:t>法定代表人</w:t>
      </w:r>
      <w:r>
        <w:rPr>
          <w:rFonts w:hint="eastAsia" w:ascii="宋体" w:hAnsi="宋体" w:cs="宋体"/>
          <w:bCs/>
          <w:sz w:val="24"/>
          <w:szCs w:val="20"/>
        </w:rPr>
        <w:t>或其委托代理人</w:t>
      </w:r>
      <w:r>
        <w:rPr>
          <w:rFonts w:hint="eastAsia" w:ascii="宋体" w:hAnsi="宋体" w:cs="宋体"/>
          <w:bCs/>
          <w:sz w:val="24"/>
        </w:rPr>
        <w:t>：（签字或盖章）</w:t>
      </w:r>
    </w:p>
    <w:p w14:paraId="585851EE">
      <w:pPr>
        <w:ind w:left="1050" w:leftChars="500"/>
        <w:jc w:val="right"/>
        <w:rPr>
          <w:rFonts w:hint="eastAsia" w:ascii="宋体" w:hAnsi="宋体" w:cs="宋体"/>
          <w:bCs/>
          <w:sz w:val="24"/>
        </w:rPr>
      </w:pPr>
    </w:p>
    <w:p w14:paraId="66DDA32B">
      <w:pPr>
        <w:ind w:left="1050" w:leftChars="500"/>
        <w:jc w:val="right"/>
        <w:rPr>
          <w:rFonts w:hint="eastAsia" w:ascii="宋体" w:hAnsi="宋体" w:cs="宋体"/>
          <w:bCs/>
          <w:sz w:val="24"/>
        </w:rPr>
      </w:pPr>
      <w:r>
        <w:rPr>
          <w:rFonts w:hint="eastAsia" w:ascii="宋体" w:hAnsi="宋体" w:cs="宋体"/>
          <w:bCs/>
          <w:sz w:val="24"/>
        </w:rPr>
        <w:t xml:space="preserve"> 日  期：     年   月   日</w:t>
      </w:r>
    </w:p>
    <w:p w14:paraId="5FC998B6">
      <w:pPr>
        <w:autoSpaceDE w:val="0"/>
        <w:autoSpaceDN w:val="0"/>
        <w:adjustRightInd w:val="0"/>
        <w:spacing w:line="440" w:lineRule="exact"/>
        <w:jc w:val="center"/>
        <w:rPr>
          <w:rFonts w:hint="eastAsia" w:ascii="宋体" w:hAnsi="宋体" w:cs="宋体"/>
          <w:b/>
          <w:sz w:val="30"/>
          <w:szCs w:val="30"/>
        </w:rPr>
      </w:pPr>
    </w:p>
    <w:p w14:paraId="27900376">
      <w:pPr>
        <w:autoSpaceDE w:val="0"/>
        <w:autoSpaceDN w:val="0"/>
        <w:adjustRightInd w:val="0"/>
        <w:spacing w:line="440" w:lineRule="exact"/>
        <w:jc w:val="center"/>
        <w:rPr>
          <w:rFonts w:hint="eastAsia" w:ascii="宋体" w:hAnsi="宋体" w:cs="宋体"/>
          <w:b/>
          <w:sz w:val="30"/>
          <w:szCs w:val="30"/>
        </w:rPr>
      </w:pPr>
      <w:r>
        <w:rPr>
          <w:rFonts w:hint="eastAsia" w:ascii="宋体" w:hAnsi="宋体" w:cs="宋体"/>
          <w:b/>
          <w:sz w:val="30"/>
          <w:szCs w:val="30"/>
        </w:rPr>
        <w:t>（四）技术偏离表</w:t>
      </w:r>
    </w:p>
    <w:p w14:paraId="5AE193A4">
      <w:pPr>
        <w:spacing w:line="440" w:lineRule="exact"/>
        <w:rPr>
          <w:rFonts w:hint="eastAsia" w:ascii="宋体" w:hAnsi="宋体" w:cs="宋体"/>
          <w:sz w:val="32"/>
        </w:rPr>
      </w:pPr>
    </w:p>
    <w:tbl>
      <w:tblPr>
        <w:tblStyle w:val="30"/>
        <w:tblW w:w="100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
        <w:gridCol w:w="2005"/>
        <w:gridCol w:w="2137"/>
        <w:gridCol w:w="2270"/>
        <w:gridCol w:w="2718"/>
      </w:tblGrid>
      <w:tr w14:paraId="6DEC35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6" w:hRule="atLeast"/>
          <w:jc w:val="center"/>
        </w:trPr>
        <w:tc>
          <w:tcPr>
            <w:tcW w:w="907" w:type="dxa"/>
            <w:tcBorders>
              <w:top w:val="single" w:color="auto" w:sz="12" w:space="0"/>
              <w:left w:val="single" w:color="auto" w:sz="12" w:space="0"/>
              <w:bottom w:val="single" w:color="auto" w:sz="6" w:space="0"/>
              <w:right w:val="single" w:color="auto" w:sz="6" w:space="0"/>
            </w:tcBorders>
            <w:noWrap/>
            <w:vAlign w:val="center"/>
          </w:tcPr>
          <w:p w14:paraId="1AE9E940">
            <w:pPr>
              <w:spacing w:line="440" w:lineRule="exact"/>
              <w:ind w:left="-141"/>
              <w:jc w:val="center"/>
              <w:rPr>
                <w:rFonts w:hint="eastAsia" w:ascii="宋体" w:hAnsi="宋体" w:cs="宋体"/>
                <w:b/>
                <w:sz w:val="24"/>
              </w:rPr>
            </w:pPr>
            <w:r>
              <w:rPr>
                <w:rFonts w:hint="eastAsia" w:ascii="宋体" w:hAnsi="宋体" w:cs="宋体"/>
                <w:b/>
                <w:sz w:val="24"/>
              </w:rPr>
              <w:t>序号</w:t>
            </w:r>
          </w:p>
        </w:tc>
        <w:tc>
          <w:tcPr>
            <w:tcW w:w="2005" w:type="dxa"/>
            <w:tcBorders>
              <w:top w:val="single" w:color="auto" w:sz="12" w:space="0"/>
              <w:left w:val="single" w:color="auto" w:sz="6" w:space="0"/>
              <w:bottom w:val="single" w:color="auto" w:sz="6" w:space="0"/>
              <w:right w:val="single" w:color="auto" w:sz="6" w:space="0"/>
            </w:tcBorders>
            <w:noWrap/>
            <w:vAlign w:val="center"/>
          </w:tcPr>
          <w:p w14:paraId="1AA5FA98">
            <w:pPr>
              <w:spacing w:line="440" w:lineRule="exact"/>
              <w:jc w:val="center"/>
              <w:rPr>
                <w:rFonts w:hint="eastAsia" w:ascii="宋体" w:hAnsi="宋体" w:cs="宋体"/>
                <w:b/>
                <w:sz w:val="24"/>
              </w:rPr>
            </w:pPr>
            <w:r>
              <w:rPr>
                <w:rFonts w:hint="eastAsia" w:ascii="宋体" w:hAnsi="宋体" w:cs="宋体"/>
                <w:b/>
                <w:sz w:val="24"/>
              </w:rPr>
              <w:t>货物名称</w:t>
            </w:r>
          </w:p>
        </w:tc>
        <w:tc>
          <w:tcPr>
            <w:tcW w:w="2137" w:type="dxa"/>
            <w:tcBorders>
              <w:top w:val="single" w:color="auto" w:sz="12" w:space="0"/>
              <w:left w:val="single" w:color="auto" w:sz="6" w:space="0"/>
              <w:bottom w:val="single" w:color="auto" w:sz="6" w:space="0"/>
              <w:right w:val="single" w:color="auto" w:sz="6" w:space="0"/>
            </w:tcBorders>
            <w:noWrap/>
            <w:vAlign w:val="center"/>
          </w:tcPr>
          <w:p w14:paraId="6C8B517D">
            <w:pPr>
              <w:spacing w:line="440" w:lineRule="exact"/>
              <w:jc w:val="center"/>
              <w:rPr>
                <w:rFonts w:hint="eastAsia" w:ascii="宋体" w:hAnsi="宋体" w:cs="宋体"/>
                <w:b/>
                <w:sz w:val="24"/>
              </w:rPr>
            </w:pPr>
            <w:r>
              <w:rPr>
                <w:rFonts w:hint="eastAsia" w:ascii="宋体" w:hAnsi="宋体" w:cs="宋体"/>
                <w:b/>
                <w:sz w:val="24"/>
              </w:rPr>
              <w:t>招标技术要求</w:t>
            </w:r>
          </w:p>
        </w:tc>
        <w:tc>
          <w:tcPr>
            <w:tcW w:w="2270" w:type="dxa"/>
            <w:tcBorders>
              <w:top w:val="single" w:color="auto" w:sz="12" w:space="0"/>
              <w:left w:val="single" w:color="auto" w:sz="6" w:space="0"/>
              <w:bottom w:val="single" w:color="auto" w:sz="6" w:space="0"/>
              <w:right w:val="single" w:color="auto" w:sz="6" w:space="0"/>
            </w:tcBorders>
            <w:noWrap/>
            <w:vAlign w:val="center"/>
          </w:tcPr>
          <w:p w14:paraId="37C2120F">
            <w:pPr>
              <w:widowControl/>
              <w:spacing w:line="440" w:lineRule="exact"/>
              <w:jc w:val="center"/>
              <w:rPr>
                <w:rFonts w:hint="eastAsia" w:ascii="宋体" w:hAnsi="宋体" w:cs="宋体"/>
                <w:b/>
                <w:sz w:val="24"/>
              </w:rPr>
            </w:pPr>
            <w:r>
              <w:rPr>
                <w:rFonts w:hint="eastAsia" w:ascii="宋体" w:hAnsi="宋体" w:cs="宋体"/>
                <w:b/>
                <w:sz w:val="24"/>
              </w:rPr>
              <w:t>投标货物实际技术规格</w:t>
            </w:r>
          </w:p>
        </w:tc>
        <w:tc>
          <w:tcPr>
            <w:tcW w:w="2718" w:type="dxa"/>
            <w:tcBorders>
              <w:top w:val="single" w:color="auto" w:sz="12" w:space="0"/>
              <w:left w:val="single" w:color="auto" w:sz="6" w:space="0"/>
              <w:bottom w:val="single" w:color="auto" w:sz="6" w:space="0"/>
              <w:right w:val="single" w:color="auto" w:sz="12" w:space="0"/>
            </w:tcBorders>
            <w:noWrap/>
            <w:vAlign w:val="center"/>
          </w:tcPr>
          <w:p w14:paraId="2B3BA7C9">
            <w:pPr>
              <w:widowControl/>
              <w:spacing w:line="440" w:lineRule="exact"/>
              <w:jc w:val="center"/>
              <w:rPr>
                <w:rFonts w:hint="eastAsia" w:ascii="宋体" w:hAnsi="宋体" w:cs="宋体"/>
                <w:b/>
                <w:sz w:val="24"/>
              </w:rPr>
            </w:pPr>
            <w:r>
              <w:rPr>
                <w:rFonts w:hint="eastAsia" w:ascii="宋体" w:hAnsi="宋体" w:cs="宋体"/>
                <w:b/>
                <w:sz w:val="24"/>
              </w:rPr>
              <w:t>偏离说明</w:t>
            </w:r>
          </w:p>
          <w:p w14:paraId="2AA097CC">
            <w:pPr>
              <w:widowControl/>
              <w:spacing w:line="440" w:lineRule="exact"/>
              <w:jc w:val="center"/>
              <w:rPr>
                <w:rFonts w:hint="eastAsia" w:ascii="宋体" w:hAnsi="宋体" w:cs="宋体"/>
                <w:b/>
                <w:sz w:val="24"/>
              </w:rPr>
            </w:pPr>
            <w:r>
              <w:rPr>
                <w:rFonts w:hint="eastAsia" w:ascii="宋体" w:hAnsi="宋体" w:cs="宋体"/>
                <w:b/>
                <w:sz w:val="24"/>
              </w:rPr>
              <w:t>(说明偏离情况）</w:t>
            </w:r>
          </w:p>
        </w:tc>
      </w:tr>
      <w:tr w14:paraId="3D6275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14:paraId="19CA0837">
            <w:pPr>
              <w:spacing w:line="440" w:lineRule="exact"/>
              <w:jc w:val="center"/>
              <w:rPr>
                <w:rFonts w:hint="eastAsia"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ign w:val="center"/>
          </w:tcPr>
          <w:p w14:paraId="76A9DE40">
            <w:pPr>
              <w:spacing w:line="440" w:lineRule="exact"/>
              <w:jc w:val="center"/>
              <w:rPr>
                <w:rFonts w:hint="eastAsia"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ign w:val="center"/>
          </w:tcPr>
          <w:p w14:paraId="6DC026E5">
            <w:pPr>
              <w:spacing w:line="440" w:lineRule="exact"/>
              <w:jc w:val="center"/>
              <w:rPr>
                <w:rFonts w:hint="eastAsia" w:ascii="宋体" w:hAnsi="宋体" w:cs="宋体"/>
                <w:bCs/>
                <w:sz w:val="24"/>
              </w:rPr>
            </w:pPr>
          </w:p>
        </w:tc>
        <w:tc>
          <w:tcPr>
            <w:tcW w:w="2270" w:type="dxa"/>
            <w:tcBorders>
              <w:top w:val="single" w:color="auto" w:sz="6" w:space="0"/>
              <w:left w:val="single" w:color="auto" w:sz="6" w:space="0"/>
              <w:bottom w:val="single" w:color="auto" w:sz="6" w:space="0"/>
              <w:right w:val="single" w:color="auto" w:sz="6" w:space="0"/>
            </w:tcBorders>
            <w:noWrap/>
            <w:vAlign w:val="center"/>
          </w:tcPr>
          <w:p w14:paraId="7FA123E3">
            <w:pPr>
              <w:spacing w:line="440" w:lineRule="exact"/>
              <w:jc w:val="center"/>
              <w:rPr>
                <w:rFonts w:hint="eastAsia"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ign w:val="center"/>
          </w:tcPr>
          <w:p w14:paraId="63EAAFAD">
            <w:pPr>
              <w:spacing w:line="440" w:lineRule="exact"/>
              <w:jc w:val="center"/>
              <w:rPr>
                <w:rFonts w:hint="eastAsia" w:ascii="宋体" w:hAnsi="宋体" w:cs="宋体"/>
                <w:bCs/>
                <w:sz w:val="18"/>
              </w:rPr>
            </w:pPr>
          </w:p>
        </w:tc>
      </w:tr>
      <w:tr w14:paraId="45E404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14:paraId="0544D681">
            <w:pPr>
              <w:spacing w:line="440" w:lineRule="exact"/>
              <w:jc w:val="center"/>
              <w:rPr>
                <w:rFonts w:hint="eastAsia"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ign w:val="center"/>
          </w:tcPr>
          <w:p w14:paraId="3CE5C763">
            <w:pPr>
              <w:spacing w:line="440" w:lineRule="exact"/>
              <w:jc w:val="center"/>
              <w:rPr>
                <w:rFonts w:hint="eastAsia"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ign w:val="center"/>
          </w:tcPr>
          <w:p w14:paraId="561F0777">
            <w:pPr>
              <w:spacing w:line="440" w:lineRule="exact"/>
              <w:jc w:val="center"/>
              <w:rPr>
                <w:rFonts w:hint="eastAsia" w:ascii="宋体" w:hAnsi="宋体" w:cs="宋体"/>
                <w:bCs/>
                <w:sz w:val="24"/>
              </w:rPr>
            </w:pPr>
          </w:p>
        </w:tc>
        <w:tc>
          <w:tcPr>
            <w:tcW w:w="2270" w:type="dxa"/>
            <w:tcBorders>
              <w:top w:val="single" w:color="auto" w:sz="6" w:space="0"/>
              <w:left w:val="single" w:color="auto" w:sz="6" w:space="0"/>
              <w:bottom w:val="single" w:color="auto" w:sz="6" w:space="0"/>
              <w:right w:val="single" w:color="auto" w:sz="6" w:space="0"/>
            </w:tcBorders>
            <w:noWrap/>
            <w:vAlign w:val="center"/>
          </w:tcPr>
          <w:p w14:paraId="7F6E4CA6">
            <w:pPr>
              <w:spacing w:line="440" w:lineRule="exact"/>
              <w:jc w:val="center"/>
              <w:rPr>
                <w:rFonts w:hint="eastAsia"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ign w:val="center"/>
          </w:tcPr>
          <w:p w14:paraId="457F7623">
            <w:pPr>
              <w:spacing w:line="440" w:lineRule="exact"/>
              <w:jc w:val="center"/>
              <w:rPr>
                <w:rFonts w:hint="eastAsia" w:ascii="宋体" w:hAnsi="宋体" w:cs="宋体"/>
                <w:bCs/>
                <w:sz w:val="18"/>
              </w:rPr>
            </w:pPr>
          </w:p>
        </w:tc>
      </w:tr>
      <w:tr w14:paraId="01C977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1"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14:paraId="577BDFFA">
            <w:pPr>
              <w:spacing w:line="440" w:lineRule="exact"/>
              <w:jc w:val="center"/>
              <w:rPr>
                <w:rFonts w:hint="eastAsia"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ign w:val="center"/>
          </w:tcPr>
          <w:p w14:paraId="464C6CAF">
            <w:pPr>
              <w:spacing w:line="440" w:lineRule="exact"/>
              <w:jc w:val="center"/>
              <w:rPr>
                <w:rFonts w:hint="eastAsia"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ign w:val="center"/>
          </w:tcPr>
          <w:p w14:paraId="7CF260DE">
            <w:pPr>
              <w:spacing w:line="440" w:lineRule="exact"/>
              <w:jc w:val="center"/>
              <w:rPr>
                <w:rFonts w:hint="eastAsia" w:ascii="宋体" w:hAnsi="宋体" w:cs="宋体"/>
                <w:bCs/>
                <w:sz w:val="24"/>
              </w:rPr>
            </w:pPr>
          </w:p>
        </w:tc>
        <w:tc>
          <w:tcPr>
            <w:tcW w:w="2270" w:type="dxa"/>
            <w:tcBorders>
              <w:top w:val="single" w:color="auto" w:sz="6" w:space="0"/>
              <w:left w:val="single" w:color="auto" w:sz="6" w:space="0"/>
              <w:bottom w:val="single" w:color="auto" w:sz="6" w:space="0"/>
              <w:right w:val="single" w:color="auto" w:sz="6" w:space="0"/>
            </w:tcBorders>
            <w:noWrap/>
            <w:vAlign w:val="center"/>
          </w:tcPr>
          <w:p w14:paraId="797B290B">
            <w:pPr>
              <w:spacing w:line="440" w:lineRule="exact"/>
              <w:jc w:val="center"/>
              <w:rPr>
                <w:rFonts w:hint="eastAsia"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ign w:val="center"/>
          </w:tcPr>
          <w:p w14:paraId="04E289B4">
            <w:pPr>
              <w:spacing w:line="440" w:lineRule="exact"/>
              <w:jc w:val="center"/>
              <w:rPr>
                <w:rFonts w:hint="eastAsia" w:ascii="宋体" w:hAnsi="宋体" w:cs="宋体"/>
                <w:bCs/>
                <w:sz w:val="18"/>
              </w:rPr>
            </w:pPr>
          </w:p>
        </w:tc>
      </w:tr>
      <w:tr w14:paraId="0059C1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14:paraId="290818FA">
            <w:pPr>
              <w:spacing w:line="440" w:lineRule="exact"/>
              <w:jc w:val="center"/>
              <w:rPr>
                <w:rFonts w:hint="eastAsia"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ign w:val="center"/>
          </w:tcPr>
          <w:p w14:paraId="36B2F16F">
            <w:pPr>
              <w:spacing w:line="440" w:lineRule="exact"/>
              <w:jc w:val="center"/>
              <w:rPr>
                <w:rFonts w:hint="eastAsia"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ign w:val="center"/>
          </w:tcPr>
          <w:p w14:paraId="09E50C2A">
            <w:pPr>
              <w:pStyle w:val="27"/>
              <w:widowControl w:val="0"/>
              <w:tabs>
                <w:tab w:val="left" w:pos="420"/>
              </w:tabs>
              <w:spacing w:before="0" w:beforeAutospacing="0" w:after="0" w:afterAutospacing="0" w:line="440" w:lineRule="exact"/>
              <w:jc w:val="both"/>
              <w:rPr>
                <w:rFonts w:hint="eastAsia"/>
                <w:bCs/>
              </w:rPr>
            </w:pPr>
          </w:p>
        </w:tc>
        <w:tc>
          <w:tcPr>
            <w:tcW w:w="2270" w:type="dxa"/>
            <w:tcBorders>
              <w:top w:val="single" w:color="auto" w:sz="6" w:space="0"/>
              <w:left w:val="single" w:color="auto" w:sz="6" w:space="0"/>
              <w:bottom w:val="single" w:color="auto" w:sz="6" w:space="0"/>
              <w:right w:val="single" w:color="auto" w:sz="6" w:space="0"/>
            </w:tcBorders>
            <w:noWrap/>
            <w:vAlign w:val="center"/>
          </w:tcPr>
          <w:p w14:paraId="33105CC2">
            <w:pPr>
              <w:spacing w:line="440" w:lineRule="exact"/>
              <w:jc w:val="center"/>
              <w:rPr>
                <w:rFonts w:hint="eastAsia"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ign w:val="center"/>
          </w:tcPr>
          <w:p w14:paraId="15C34C7B">
            <w:pPr>
              <w:spacing w:line="440" w:lineRule="exact"/>
              <w:jc w:val="center"/>
              <w:rPr>
                <w:rFonts w:hint="eastAsia" w:ascii="宋体" w:hAnsi="宋体" w:cs="宋体"/>
                <w:bCs/>
                <w:sz w:val="18"/>
              </w:rPr>
            </w:pPr>
          </w:p>
        </w:tc>
      </w:tr>
      <w:tr w14:paraId="2D055E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5"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14:paraId="0E6256C0">
            <w:pPr>
              <w:spacing w:line="440" w:lineRule="exact"/>
              <w:jc w:val="center"/>
              <w:rPr>
                <w:rFonts w:hint="eastAsia"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ign w:val="center"/>
          </w:tcPr>
          <w:p w14:paraId="6DA6BD25">
            <w:pPr>
              <w:spacing w:line="440" w:lineRule="exact"/>
              <w:jc w:val="center"/>
              <w:rPr>
                <w:rFonts w:hint="eastAsia"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ign w:val="center"/>
          </w:tcPr>
          <w:p w14:paraId="30B321E5">
            <w:pPr>
              <w:spacing w:line="440" w:lineRule="exact"/>
              <w:jc w:val="center"/>
              <w:rPr>
                <w:rFonts w:hint="eastAsia" w:ascii="宋体" w:hAnsi="宋体" w:cs="宋体"/>
                <w:bCs/>
                <w:sz w:val="24"/>
              </w:rPr>
            </w:pPr>
          </w:p>
        </w:tc>
        <w:tc>
          <w:tcPr>
            <w:tcW w:w="2270" w:type="dxa"/>
            <w:tcBorders>
              <w:top w:val="single" w:color="auto" w:sz="6" w:space="0"/>
              <w:left w:val="single" w:color="auto" w:sz="6" w:space="0"/>
              <w:bottom w:val="single" w:color="auto" w:sz="6" w:space="0"/>
              <w:right w:val="single" w:color="auto" w:sz="6" w:space="0"/>
            </w:tcBorders>
            <w:noWrap/>
            <w:vAlign w:val="center"/>
          </w:tcPr>
          <w:p w14:paraId="632817FE">
            <w:pPr>
              <w:spacing w:line="440" w:lineRule="exact"/>
              <w:jc w:val="center"/>
              <w:rPr>
                <w:rFonts w:hint="eastAsia"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ign w:val="center"/>
          </w:tcPr>
          <w:p w14:paraId="142D6842">
            <w:pPr>
              <w:spacing w:line="440" w:lineRule="exact"/>
              <w:jc w:val="center"/>
              <w:rPr>
                <w:rFonts w:hint="eastAsia" w:ascii="宋体" w:hAnsi="宋体" w:cs="宋体"/>
                <w:bCs/>
                <w:sz w:val="18"/>
              </w:rPr>
            </w:pPr>
          </w:p>
        </w:tc>
      </w:tr>
      <w:tr w14:paraId="313298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5"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14:paraId="4209385D">
            <w:pPr>
              <w:spacing w:line="440" w:lineRule="exact"/>
              <w:jc w:val="center"/>
              <w:rPr>
                <w:rFonts w:hint="eastAsia"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ign w:val="center"/>
          </w:tcPr>
          <w:p w14:paraId="76C42C43">
            <w:pPr>
              <w:spacing w:line="440" w:lineRule="exact"/>
              <w:jc w:val="center"/>
              <w:rPr>
                <w:rFonts w:hint="eastAsia"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ign w:val="center"/>
          </w:tcPr>
          <w:p w14:paraId="5EE2F66E">
            <w:pPr>
              <w:spacing w:line="440" w:lineRule="exact"/>
              <w:jc w:val="center"/>
              <w:rPr>
                <w:rFonts w:hint="eastAsia" w:ascii="宋体" w:hAnsi="宋体" w:cs="宋体"/>
                <w:bCs/>
                <w:sz w:val="24"/>
              </w:rPr>
            </w:pPr>
          </w:p>
        </w:tc>
        <w:tc>
          <w:tcPr>
            <w:tcW w:w="2270" w:type="dxa"/>
            <w:tcBorders>
              <w:top w:val="single" w:color="auto" w:sz="6" w:space="0"/>
              <w:left w:val="single" w:color="auto" w:sz="6" w:space="0"/>
              <w:bottom w:val="single" w:color="auto" w:sz="6" w:space="0"/>
              <w:right w:val="single" w:color="auto" w:sz="6" w:space="0"/>
            </w:tcBorders>
            <w:noWrap/>
            <w:vAlign w:val="center"/>
          </w:tcPr>
          <w:p w14:paraId="4414CFF9">
            <w:pPr>
              <w:spacing w:line="440" w:lineRule="exact"/>
              <w:jc w:val="center"/>
              <w:rPr>
                <w:rFonts w:hint="eastAsia"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ign w:val="center"/>
          </w:tcPr>
          <w:p w14:paraId="6D7B6084">
            <w:pPr>
              <w:spacing w:line="440" w:lineRule="exact"/>
              <w:jc w:val="center"/>
              <w:rPr>
                <w:rFonts w:hint="eastAsia" w:ascii="宋体" w:hAnsi="宋体" w:cs="宋体"/>
                <w:bCs/>
                <w:sz w:val="18"/>
              </w:rPr>
            </w:pPr>
          </w:p>
        </w:tc>
      </w:tr>
    </w:tbl>
    <w:p w14:paraId="7D19B2EA">
      <w:pPr>
        <w:spacing w:line="500" w:lineRule="exact"/>
        <w:ind w:firstLine="480" w:firstLineChars="200"/>
        <w:rPr>
          <w:rFonts w:hint="eastAsia" w:ascii="宋体" w:hAnsi="宋体"/>
          <w:sz w:val="24"/>
        </w:rPr>
      </w:pPr>
      <w:r>
        <w:rPr>
          <w:rFonts w:hint="eastAsia" w:ascii="宋体" w:hAnsi="宋体"/>
          <w:sz w:val="24"/>
        </w:rPr>
        <w:t>注：投标人须对照招标文件技术规格，将自己所投的所有货物的功能、技术性能、配置等内容按照上表格式与招标文件要求逐条填写，</w:t>
      </w:r>
      <w:r>
        <w:rPr>
          <w:rFonts w:hint="eastAsia" w:ascii="宋体" w:hAnsi="宋体"/>
          <w:b/>
          <w:bCs/>
          <w:sz w:val="24"/>
        </w:rPr>
        <w:t>供应商必须提供所投设备的具体参数值，并在偏离说明栏中标明技术及配置的实际响应情况</w:t>
      </w:r>
      <w:r>
        <w:rPr>
          <w:rFonts w:hint="eastAsia" w:ascii="宋体" w:hAnsi="宋体"/>
          <w:sz w:val="24"/>
        </w:rPr>
        <w:t>：</w:t>
      </w:r>
    </w:p>
    <w:p w14:paraId="5DF1C6AC">
      <w:pPr>
        <w:spacing w:line="500" w:lineRule="exact"/>
        <w:ind w:firstLine="480" w:firstLineChars="200"/>
        <w:rPr>
          <w:rFonts w:hint="eastAsia" w:ascii="宋体" w:hAnsi="宋体"/>
          <w:sz w:val="24"/>
        </w:rPr>
      </w:pPr>
      <w:r>
        <w:rPr>
          <w:rFonts w:hint="eastAsia" w:ascii="宋体" w:hAnsi="宋体"/>
          <w:sz w:val="24"/>
        </w:rPr>
        <w:t>1、偏离说明栏中必须标明技术及配置的响应情况，整项货物及该项货物各部分相应情况须按下列要求填写，任何不真实响应都将按无效投标处理：</w:t>
      </w:r>
    </w:p>
    <w:p w14:paraId="1F5FA481">
      <w:pPr>
        <w:numPr>
          <w:ilvl w:val="0"/>
          <w:numId w:val="10"/>
        </w:numPr>
        <w:spacing w:line="500" w:lineRule="exact"/>
        <w:ind w:firstLine="480" w:firstLineChars="200"/>
        <w:rPr>
          <w:rFonts w:hint="eastAsia" w:ascii="宋体" w:hAnsi="宋体"/>
          <w:sz w:val="24"/>
        </w:rPr>
      </w:pPr>
      <w:r>
        <w:rPr>
          <w:rFonts w:hint="eastAsia" w:ascii="宋体" w:hAnsi="宋体"/>
          <w:sz w:val="24"/>
        </w:rPr>
        <w:t>对应项中的所有技术参数、性能和配置全部符合招标文件要求的才能填写“符合”；</w:t>
      </w:r>
    </w:p>
    <w:p w14:paraId="3336B18B">
      <w:pPr>
        <w:numPr>
          <w:ilvl w:val="0"/>
          <w:numId w:val="10"/>
        </w:numPr>
        <w:spacing w:line="500" w:lineRule="exact"/>
        <w:ind w:firstLine="480" w:firstLineChars="200"/>
        <w:rPr>
          <w:rFonts w:hint="eastAsia" w:ascii="宋体" w:hAnsi="宋体"/>
          <w:sz w:val="24"/>
        </w:rPr>
      </w:pPr>
      <w:r>
        <w:rPr>
          <w:rFonts w:hint="eastAsia" w:ascii="宋体" w:hAnsi="宋体"/>
          <w:sz w:val="24"/>
        </w:rPr>
        <w:t>对应项中的所有技术参数、性能和配置全部符合招标文件要求并且其中有一个或以上指标优于招标文件要求的，可填写“正偏离”；</w:t>
      </w:r>
    </w:p>
    <w:p w14:paraId="544602AD">
      <w:pPr>
        <w:spacing w:line="500" w:lineRule="exact"/>
        <w:rPr>
          <w:rFonts w:hint="eastAsia" w:ascii="宋体" w:hAnsi="宋体" w:cs="宋体"/>
          <w:sz w:val="24"/>
        </w:rPr>
      </w:pPr>
    </w:p>
    <w:p w14:paraId="1CE1973E">
      <w:pPr>
        <w:adjustRightInd w:val="0"/>
        <w:snapToGrid w:val="0"/>
        <w:spacing w:before="189" w:beforeLines="50" w:line="360" w:lineRule="auto"/>
        <w:ind w:right="960" w:firstLine="2160" w:firstLineChars="900"/>
        <w:rPr>
          <w:rFonts w:hint="eastAsia" w:ascii="宋体" w:hAnsi="宋体" w:cs="宋体"/>
          <w:sz w:val="24"/>
        </w:rPr>
      </w:pPr>
      <w:r>
        <w:rPr>
          <w:rFonts w:hint="eastAsia" w:ascii="宋体" w:hAnsi="宋体" w:cs="宋体"/>
          <w:sz w:val="24"/>
        </w:rPr>
        <w:t>供应商名称（单位电子签章）：</w:t>
      </w:r>
    </w:p>
    <w:p w14:paraId="1573EAAF">
      <w:pPr>
        <w:spacing w:line="480" w:lineRule="exact"/>
        <w:ind w:firstLine="2160" w:firstLineChars="900"/>
        <w:rPr>
          <w:rFonts w:hint="eastAsia" w:ascii="宋体" w:hAnsi="宋体" w:cs="宋体"/>
          <w:bCs/>
          <w:sz w:val="24"/>
        </w:rPr>
      </w:pPr>
      <w:r>
        <w:rPr>
          <w:rFonts w:hint="eastAsia" w:ascii="宋体" w:hAnsi="宋体" w:cs="宋体"/>
          <w:bCs/>
          <w:sz w:val="24"/>
        </w:rPr>
        <w:t>法定代表人</w:t>
      </w:r>
      <w:r>
        <w:rPr>
          <w:rFonts w:hint="eastAsia" w:ascii="宋体" w:hAnsi="宋体" w:cs="宋体"/>
          <w:bCs/>
          <w:sz w:val="24"/>
          <w:szCs w:val="20"/>
        </w:rPr>
        <w:t>或其委托代理人</w:t>
      </w:r>
      <w:r>
        <w:rPr>
          <w:rFonts w:hint="eastAsia" w:ascii="宋体" w:hAnsi="宋体" w:cs="宋体"/>
          <w:bCs/>
          <w:sz w:val="24"/>
        </w:rPr>
        <w:t>：          （签字或盖章）</w:t>
      </w:r>
    </w:p>
    <w:p w14:paraId="1AFF0827">
      <w:pPr>
        <w:ind w:left="1050" w:leftChars="500"/>
        <w:jc w:val="right"/>
        <w:rPr>
          <w:rFonts w:hint="eastAsia" w:ascii="宋体" w:hAnsi="宋体" w:cs="宋体"/>
          <w:bCs/>
          <w:sz w:val="24"/>
        </w:rPr>
      </w:pPr>
      <w:r>
        <w:rPr>
          <w:rFonts w:hint="eastAsia" w:ascii="宋体" w:hAnsi="宋体" w:cs="宋体"/>
          <w:bCs/>
          <w:sz w:val="24"/>
        </w:rPr>
        <w:t xml:space="preserve">              </w:t>
      </w:r>
    </w:p>
    <w:p w14:paraId="44E88C12">
      <w:pPr>
        <w:ind w:left="1050" w:leftChars="500"/>
        <w:jc w:val="right"/>
        <w:rPr>
          <w:rFonts w:hint="eastAsia" w:ascii="宋体" w:hAnsi="宋体" w:cs="宋体"/>
          <w:bCs/>
          <w:sz w:val="24"/>
        </w:rPr>
      </w:pPr>
      <w:r>
        <w:rPr>
          <w:rFonts w:hint="eastAsia" w:ascii="宋体" w:hAnsi="宋体" w:cs="宋体"/>
          <w:bCs/>
          <w:sz w:val="24"/>
        </w:rPr>
        <w:t xml:space="preserve"> 日  期：     年   月   日</w:t>
      </w:r>
    </w:p>
    <w:p w14:paraId="28526874">
      <w:pPr>
        <w:pStyle w:val="7"/>
        <w:ind w:firstLine="480"/>
        <w:rPr>
          <w:rFonts w:hint="eastAsia" w:asciiTheme="minorEastAsia" w:hAnsiTheme="minorEastAsia" w:eastAsiaTheme="minorEastAsia" w:cstheme="minorEastAsia"/>
          <w:sz w:val="24"/>
        </w:rPr>
      </w:pPr>
    </w:p>
    <w:p w14:paraId="7C7E02C7">
      <w:pPr>
        <w:numPr>
          <w:ilvl w:val="0"/>
          <w:numId w:val="11"/>
        </w:numPr>
        <w:jc w:val="center"/>
        <w:rPr>
          <w:b/>
          <w:bCs/>
          <w:sz w:val="28"/>
          <w:szCs w:val="28"/>
        </w:rPr>
      </w:pPr>
      <w:bookmarkStart w:id="292" w:name="_Toc26698"/>
      <w:bookmarkStart w:id="293" w:name="_Toc2213"/>
      <w:bookmarkStart w:id="294" w:name="_Toc5614"/>
      <w:r>
        <w:rPr>
          <w:rFonts w:hint="eastAsia"/>
          <w:b/>
          <w:bCs/>
          <w:sz w:val="28"/>
          <w:szCs w:val="28"/>
        </w:rPr>
        <w:t>法定代表人身份证明书</w:t>
      </w:r>
      <w:bookmarkEnd w:id="292"/>
      <w:bookmarkEnd w:id="293"/>
      <w:bookmarkEnd w:id="294"/>
    </w:p>
    <w:p w14:paraId="093D87EE"/>
    <w:p w14:paraId="18945DDA">
      <w:pPr>
        <w:spacing w:line="360" w:lineRule="auto"/>
        <w:ind w:firstLine="480" w:firstLineChars="200"/>
        <w:rPr>
          <w:rFonts w:hint="eastAsia" w:ascii="宋体" w:hAnsi="宋体"/>
          <w:sz w:val="24"/>
        </w:rPr>
      </w:pPr>
      <w:r>
        <w:rPr>
          <w:rFonts w:hint="eastAsia" w:ascii="宋体" w:hAnsi="宋体"/>
          <w:sz w:val="24"/>
          <w:szCs w:val="18"/>
        </w:rPr>
        <w:t>供应商</w:t>
      </w:r>
      <w:r>
        <w:rPr>
          <w:rFonts w:hint="eastAsia" w:ascii="宋体" w:hAnsi="宋体"/>
          <w:sz w:val="24"/>
        </w:rPr>
        <w:t>名称：</w:t>
      </w:r>
      <w:r>
        <w:rPr>
          <w:rFonts w:hint="eastAsia" w:ascii="宋体" w:hAnsi="宋体"/>
          <w:sz w:val="24"/>
          <w:u w:val="single"/>
        </w:rPr>
        <w:t xml:space="preserve">                                </w:t>
      </w:r>
      <w:r>
        <w:rPr>
          <w:rFonts w:hint="eastAsia" w:ascii="宋体" w:hAnsi="宋体"/>
          <w:sz w:val="24"/>
        </w:rPr>
        <w:t xml:space="preserve"> </w:t>
      </w:r>
    </w:p>
    <w:p w14:paraId="0EE12401">
      <w:pPr>
        <w:spacing w:line="360" w:lineRule="auto"/>
        <w:ind w:firstLine="480" w:firstLineChars="20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r>
        <w:rPr>
          <w:rFonts w:hint="eastAsia" w:ascii="宋体" w:hAnsi="宋体"/>
          <w:sz w:val="24"/>
        </w:rPr>
        <w:t xml:space="preserve"> </w:t>
      </w:r>
    </w:p>
    <w:p w14:paraId="6E2EE97E">
      <w:pPr>
        <w:spacing w:line="360" w:lineRule="auto"/>
        <w:ind w:firstLine="480" w:firstLineChars="200"/>
        <w:rPr>
          <w:rFonts w:hint="eastAsia" w:ascii="宋体" w:hAnsi="宋体"/>
          <w:sz w:val="24"/>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 xml:space="preserve"> </w:t>
      </w:r>
    </w:p>
    <w:p w14:paraId="18C06A48">
      <w:pPr>
        <w:spacing w:line="360" w:lineRule="auto"/>
        <w:ind w:firstLine="480" w:firstLineChars="20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28BA0807">
      <w:pPr>
        <w:spacing w:line="360" w:lineRule="auto"/>
        <w:ind w:firstLine="480" w:firstLineChars="20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r>
        <w:rPr>
          <w:rFonts w:hint="eastAsia" w:ascii="宋体" w:hAnsi="宋体"/>
          <w:sz w:val="24"/>
        </w:rPr>
        <w:t xml:space="preserve"> </w:t>
      </w:r>
    </w:p>
    <w:p w14:paraId="03D2AD0B">
      <w:pPr>
        <w:spacing w:line="360" w:lineRule="auto"/>
        <w:ind w:firstLine="480" w:firstLineChars="200"/>
        <w:rPr>
          <w:rFonts w:hint="eastAsia" w:ascii="宋体" w:hAnsi="宋体"/>
          <w:sz w:val="24"/>
        </w:rPr>
      </w:pPr>
      <w:r>
        <w:rPr>
          <w:rFonts w:hint="eastAsia" w:ascii="宋体" w:hAnsi="宋体"/>
          <w:sz w:val="24"/>
        </w:rPr>
        <w:t>姓名：</w:t>
      </w:r>
      <w:r>
        <w:rPr>
          <w:rFonts w:hint="eastAsia" w:ascii="宋体" w:hAnsi="宋体"/>
          <w:sz w:val="24"/>
          <w:u w:val="single"/>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r>
        <w:rPr>
          <w:rFonts w:hint="eastAsia" w:ascii="宋体" w:hAnsi="宋体"/>
          <w:sz w:val="24"/>
        </w:rPr>
        <w:t>_</w:t>
      </w:r>
    </w:p>
    <w:p w14:paraId="444530D3">
      <w:pPr>
        <w:spacing w:line="360" w:lineRule="auto"/>
        <w:ind w:firstLine="480" w:firstLineChars="200"/>
        <w:rPr>
          <w:rFonts w:hint="eastAsia" w:ascii="宋体" w:hAnsi="宋体"/>
          <w:sz w:val="24"/>
        </w:rPr>
      </w:pPr>
      <w:r>
        <w:rPr>
          <w:rFonts w:hint="eastAsia" w:ascii="宋体" w:hAnsi="宋体"/>
          <w:sz w:val="24"/>
        </w:rPr>
        <w:t>系</w:t>
      </w:r>
      <w:r>
        <w:rPr>
          <w:rFonts w:hint="eastAsia" w:ascii="宋体" w:hAnsi="宋体"/>
          <w:sz w:val="24"/>
          <w:u w:val="single"/>
        </w:rPr>
        <w:t xml:space="preserve">                                </w:t>
      </w:r>
      <w:r>
        <w:rPr>
          <w:rFonts w:hint="eastAsia" w:ascii="宋体" w:hAnsi="宋体"/>
          <w:sz w:val="24"/>
        </w:rPr>
        <w:t>（供应商名称）的法定代表人。</w:t>
      </w:r>
    </w:p>
    <w:p w14:paraId="2D6EE07A">
      <w:pPr>
        <w:spacing w:line="360" w:lineRule="auto"/>
        <w:ind w:firstLine="480" w:firstLineChars="200"/>
        <w:rPr>
          <w:rFonts w:hint="eastAsia" w:ascii="宋体" w:hAnsi="宋体"/>
          <w:sz w:val="24"/>
        </w:rPr>
      </w:pPr>
      <w:r>
        <w:rPr>
          <w:rFonts w:hint="eastAsia" w:ascii="宋体" w:hAnsi="宋体"/>
          <w:sz w:val="24"/>
        </w:rPr>
        <w:t>特此证明。</w:t>
      </w:r>
    </w:p>
    <w:p w14:paraId="11A66949">
      <w:pPr>
        <w:rPr>
          <w:rFonts w:hint="eastAsia" w:ascii="宋体" w:hAnsi="宋体"/>
          <w:sz w:val="24"/>
        </w:rPr>
      </w:pPr>
      <w:r>
        <w:rPr>
          <w:rFonts w:hint="eastAsia"/>
          <w:sz w:val="24"/>
        </w:rPr>
        <mc:AlternateContent>
          <mc:Choice Requires="wps">
            <w:drawing>
              <wp:anchor distT="0" distB="0" distL="114300" distR="114300" simplePos="0" relativeHeight="251659264" behindDoc="0" locked="0" layoutInCell="1" allowOverlap="1">
                <wp:simplePos x="0" y="0"/>
                <wp:positionH relativeFrom="column">
                  <wp:posOffset>-297180</wp:posOffset>
                </wp:positionH>
                <wp:positionV relativeFrom="paragraph">
                  <wp:posOffset>274955</wp:posOffset>
                </wp:positionV>
                <wp:extent cx="2912745" cy="2235200"/>
                <wp:effectExtent l="4445" t="4445" r="6985" b="8255"/>
                <wp:wrapNone/>
                <wp:docPr id="1" name="自选图形 3"/>
                <wp:cNvGraphicFramePr/>
                <a:graphic xmlns:a="http://schemas.openxmlformats.org/drawingml/2006/main">
                  <a:graphicData uri="http://schemas.microsoft.com/office/word/2010/wordprocessingShape">
                    <wps:wsp>
                      <wps:cNvSpPr/>
                      <wps:spPr>
                        <a:xfrm>
                          <a:off x="0" y="0"/>
                          <a:ext cx="2912745" cy="22352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3726165"/>
                        </w:txbxContent>
                      </wps:txbx>
                      <wps:bodyPr upright="1"/>
                    </wps:wsp>
                  </a:graphicData>
                </a:graphic>
              </wp:anchor>
            </w:drawing>
          </mc:Choice>
          <mc:Fallback>
            <w:pict>
              <v:shape id="自选图形 3" o:spid="_x0000_s1026" o:spt="176" type="#_x0000_t176" style="position:absolute;left:0pt;margin-left:-23.4pt;margin-top:21.65pt;height:176pt;width:229.35pt;z-index:251659264;mso-width-relative:page;mso-height-relative:page;" fillcolor="#FFFFFF" filled="t" stroked="t" coordsize="21600,21600" o:gfxdata="UEsDBAoAAAAAAIdO4kAAAAAAAAAAAAAAAAAEAAAAZHJzL1BLAwQUAAAACACHTuJAVzWmZdkAAAAK&#10;AQAADwAAAGRycy9kb3ducmV2LnhtbE2PQU+EMBSE7yb+h+aZeNsttYgLy2NjNHryIm7itdAuJdKW&#10;0MKiv956co+Tmcx8Ux5WM5BFTb53FoFtEyDKtk72tkM4frxsdkB8EFaKwVmF8K08HKrrq1IU0p3t&#10;u1rq0JFYYn0hEHQIY0Gpb7Uywm/dqGz0Tm4yIkQ5dVRO4hzLzUDvkiSjRvQ2Lmgxqiet2q96Ngjr&#10;20+Tz6+srYPeZQ+ffHl+PFLE2xuW7IEEtYb/MPzhR3SoIlPjZis9GRA2aRbRA0LKOZAYSBnLgTQI&#10;PL/nQKuSXl6ofgFQSwMEFAAAAAgAh07iQLDYUzIfAgAAUwQAAA4AAABkcnMvZTJvRG9jLnhtbK1U&#10;zY7TMBC+I/EOlu80bZYCGzVdoS3lgqDSwgO4ziSx5D/ZbpPeuCGegRtH3mF5m5XgLRg7oXQXDj2Q&#10;Q/o5Hn8z3zfjLq56JckenBdGl3Q2mVICmptK6KakH96vn7ygxAemKyaNhpIewNOr5eNHi84WkJvW&#10;yAocQRLti86WtA3BFlnmeQuK+YmxoHGzNk6xgEvXZJVjHbIrmeXT6bOsM66yznDwHr+uhk06Mrpz&#10;CE1dCw4rw3cKdBhYHUgWUJJvhfV0maqta+DhXV17CESWFJWG9MYkiLfxnS0XrGgcs63gYwnsnBIe&#10;aFJMaEx6pFqxwMjOib+olODOeFOHCTcqG4QkR1DFbPrAm5uWWUha0Gpvj6b7/0fL3+43jogKJ4ES&#10;zRQ2/Menbz8/fr778v3u9iu5iA511hcYeGM3blx5hFFuXzsVf1EI6ZOrh6Or0AfC8WN+OcufP51T&#10;wnEvzy/mOAWRNftz3DofXoNRJIKS1tJ01y1z4aUM4DQLsBnmJVnM9m98GM7/PhdL8EaKai2kTAvX&#10;bK+lI3uGfV+nZ0x5L0xq0pX0cp7H6hgOc41DhFBZNMTrJuW7d8KfEk/T8y/iWNiK+XYoIDHEMFYo&#10;gYoSaoFVr3RFwsGi6RrvGo3FKKgokYBXM6IUGZiQ50SioVLHJJAGf3QpNm9oV0Sh3/ZIGuHWVAfs&#10;/c460bTo+iwJiTs4a6k9472Iw3y6Rnz6X7D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c1pmXZ&#10;AAAACgEAAA8AAAAAAAAAAQAgAAAAIgAAAGRycy9kb3ducmV2LnhtbFBLAQIUABQAAAAIAIdO4kCw&#10;2FMyHwIAAFMEAAAOAAAAAAAAAAEAIAAAACgBAABkcnMvZTJvRG9jLnhtbFBLBQYAAAAABgAGAFkB&#10;AAC5BQAAAAA=&#10;">
                <v:fill on="t" focussize="0,0"/>
                <v:stroke color="#000000" joinstyle="miter"/>
                <v:imagedata o:title=""/>
                <o:lock v:ext="edit" aspectratio="f"/>
                <v:textbox>
                  <w:txbxContent>
                    <w:p w14:paraId="73726165"/>
                  </w:txbxContent>
                </v:textbox>
              </v:shape>
            </w:pict>
          </mc:Fallback>
        </mc:AlternateContent>
      </w:r>
    </w:p>
    <w:p w14:paraId="3821DB81">
      <w:pPr>
        <w:rPr>
          <w:rFonts w:hint="eastAsia" w:ascii="宋体" w:hAnsi="宋体"/>
          <w:sz w:val="24"/>
        </w:rPr>
      </w:pPr>
      <w:r>
        <w:rPr>
          <w:rFonts w:hint="eastAsia"/>
          <w:sz w:val="24"/>
        </w:rPr>
        <mc:AlternateContent>
          <mc:Choice Requires="wps">
            <w:drawing>
              <wp:anchor distT="0" distB="0" distL="114300" distR="114300" simplePos="0" relativeHeight="251661312" behindDoc="0" locked="0" layoutInCell="1" allowOverlap="1">
                <wp:simplePos x="0" y="0"/>
                <wp:positionH relativeFrom="column">
                  <wp:posOffset>2649220</wp:posOffset>
                </wp:positionH>
                <wp:positionV relativeFrom="paragraph">
                  <wp:posOffset>40640</wp:posOffset>
                </wp:positionV>
                <wp:extent cx="2954655" cy="2268220"/>
                <wp:effectExtent l="4445" t="5080" r="12700" b="12700"/>
                <wp:wrapNone/>
                <wp:docPr id="3" name="自选图形 2"/>
                <wp:cNvGraphicFramePr/>
                <a:graphic xmlns:a="http://schemas.openxmlformats.org/drawingml/2006/main">
                  <a:graphicData uri="http://schemas.microsoft.com/office/word/2010/wordprocessingShape">
                    <wps:wsp>
                      <wps:cNvSpPr/>
                      <wps:spPr>
                        <a:xfrm>
                          <a:off x="0" y="0"/>
                          <a:ext cx="2954655" cy="226822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557B788"/>
                        </w:txbxContent>
                      </wps:txbx>
                      <wps:bodyPr upright="1"/>
                    </wps:wsp>
                  </a:graphicData>
                </a:graphic>
              </wp:anchor>
            </w:drawing>
          </mc:Choice>
          <mc:Fallback>
            <w:pict>
              <v:shape id="自选图形 2" o:spid="_x0000_s1026" o:spt="176" type="#_x0000_t176" style="position:absolute;left:0pt;margin-left:208.6pt;margin-top:3.2pt;height:178.6pt;width:232.65pt;z-index:251661312;mso-width-relative:page;mso-height-relative:page;" fillcolor="#FFFFFF" filled="t" stroked="t" coordsize="21600,21600" o:gfxdata="UEsDBAoAAAAAAIdO4kAAAAAAAAAAAAAAAAAEAAAAZHJzL1BLAwQUAAAACACHTuJAcSADN9gAAAAJ&#10;AQAADwAAAGRycy9kb3ducmV2LnhtbE2PT0+EMBTE7yZ+h+aZeHPLn5VFlrIxGj15ETfxWuhbSqSv&#10;hBYW/fTWk3uczGTmN+VhNQNbcHK9JQHxJgKG1FrVUyfg+PFylwNzXpKSgyUU8I0ODtX1VSkLZc/0&#10;jkvtOxZKyBVSgPZ+LDh3rUYj3caOSME72clIH+TUcTXJcyg3A0+iKONG9hQWtBzxSWP7Vc9GwPr2&#10;0zzMr3Fbe51nu890eX48ciFub+JoD8zj6v/D8Icf0KEKTI2dSTk2CNjGuyREBWRbYMHP8+QeWCMg&#10;zdIMeFXyywfVL1BLAwQUAAAACACHTuJAIdRS8SICAABTBAAADgAAAGRycy9lMm9Eb2MueG1srVTN&#10;jtMwEL4j8Q6W7zRtoNVu1HSFtpQLgkq7PIDrTBJL/pPtNumNG+IZuHHkHdi3WQneYsdOKd2FQw/k&#10;kI7jmc/f982486teSbID54XRJZ2MxpSA5qYSuinpx9vViwtKfGC6YtJoKOkePL1aPH8272wBuWmN&#10;rMARBNG+6GxJ2xBskWWet6CYHxkLGjdr4xQLuHRNVjnWIbqSWT4ez7LOuMo6w8F7/LocNukB0Z0D&#10;aOpacFgavlWgw4DqQLKAknwrrKeLxLaugYcPde0hEFlSVBrSGw/BeBPf2WLOisYx2wp+oMDOofBE&#10;k2JC46FHqCULjGyd+AtKCe6MN3UYcaOyQUhyBFVMxk+8uWmZhaQFrfb2aLr/f7D8/W7tiKhK+pIS&#10;zRQ2/Ofn778+fbn/enf/4xvJo0Od9QUm3ti1O6w8hlFuXzsVf1EI6ZOr+6Or0AfC8WN+OX01m04p&#10;4biX57OLPE++Z3/KrfPhLRhFYlDSWpruumUuvJYBnGYB1sO8JIvZ7p0PyAPrf9dFCt5IUa2ElGnh&#10;ms21dGTHsO+r9EQhWPIoTWrSlfRymkd2DIe5xiHCUFk0xOsmnfeowp8Cj9PzL+BIbMl8OxBICDGN&#10;FUqgohS1wKo3uiJhb9F0jXeNRjIKKkok4NWMUcoMTMhzMlGd1PEQSIN/cCk2b2hXjEK/6RE0hhtT&#10;7bH3W+tE06LrkyQk7uCsJa8O9yIO8+ka49P/gsU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cSAD&#10;N9gAAAAJAQAADwAAAAAAAAABACAAAAAiAAAAZHJzL2Rvd25yZXYueG1sUEsBAhQAFAAAAAgAh07i&#10;QCHUUvEiAgAAUwQAAA4AAAAAAAAAAQAgAAAAJwEAAGRycy9lMm9Eb2MueG1sUEsFBgAAAAAGAAYA&#10;WQEAALsFAAAAAA==&#10;">
                <v:fill on="t" focussize="0,0"/>
                <v:stroke color="#000000" joinstyle="miter"/>
                <v:imagedata o:title=""/>
                <o:lock v:ext="edit" aspectratio="f"/>
                <v:textbox>
                  <w:txbxContent>
                    <w:p w14:paraId="1557B788"/>
                  </w:txbxContent>
                </v:textbox>
              </v:shape>
            </w:pict>
          </mc:Fallback>
        </mc:AlternateContent>
      </w:r>
    </w:p>
    <w:p w14:paraId="05EEB05E">
      <w:pPr>
        <w:rPr>
          <w:rFonts w:hint="eastAsia" w:ascii="宋体" w:hAnsi="宋体"/>
          <w:sz w:val="24"/>
        </w:rPr>
      </w:pPr>
      <w:r>
        <w:rPr>
          <w:rFonts w:hint="eastAsia"/>
          <w:sz w:val="24"/>
        </w:rPr>
        <mc:AlternateContent>
          <mc:Choice Requires="wps">
            <w:drawing>
              <wp:anchor distT="0" distB="0" distL="114300" distR="114300" simplePos="0" relativeHeight="251660288" behindDoc="0" locked="0" layoutInCell="1" allowOverlap="1">
                <wp:simplePos x="0" y="0"/>
                <wp:positionH relativeFrom="column">
                  <wp:posOffset>-105410</wp:posOffset>
                </wp:positionH>
                <wp:positionV relativeFrom="paragraph">
                  <wp:posOffset>416560</wp:posOffset>
                </wp:positionV>
                <wp:extent cx="2403475" cy="677545"/>
                <wp:effectExtent l="4445" t="4445" r="11430" b="13335"/>
                <wp:wrapNone/>
                <wp:docPr id="2" name="文本框 5"/>
                <wp:cNvGraphicFramePr/>
                <a:graphic xmlns:a="http://schemas.openxmlformats.org/drawingml/2006/main">
                  <a:graphicData uri="http://schemas.microsoft.com/office/word/2010/wordprocessingShape">
                    <wps:wsp>
                      <wps:cNvSpPr txBox="1"/>
                      <wps:spPr>
                        <a:xfrm>
                          <a:off x="0" y="0"/>
                          <a:ext cx="2403475" cy="6775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ADFD163">
                            <w:pPr>
                              <w:jc w:val="center"/>
                            </w:pPr>
                            <w:r>
                              <w:rPr>
                                <w:rFonts w:hint="eastAsia" w:ascii="宋体" w:hAnsi="宋体"/>
                                <w:sz w:val="24"/>
                              </w:rPr>
                              <w:t>法定代表人身份证复印件粘贴处</w:t>
                            </w:r>
                          </w:p>
                        </w:txbxContent>
                      </wps:txbx>
                      <wps:bodyPr upright="1"/>
                    </wps:wsp>
                  </a:graphicData>
                </a:graphic>
              </wp:anchor>
            </w:drawing>
          </mc:Choice>
          <mc:Fallback>
            <w:pict>
              <v:shape id="文本框 5" o:spid="_x0000_s1026" o:spt="202" type="#_x0000_t202" style="position:absolute;left:0pt;margin-left:-8.3pt;margin-top:32.8pt;height:53.35pt;width:189.25pt;z-index:251660288;mso-width-relative:page;mso-height-relative:page;" fillcolor="#FFFFFF" filled="t" stroked="t" coordsize="21600,21600" o:gfxdata="UEsDBAoAAAAAAIdO4kAAAAAAAAAAAAAAAAAEAAAAZHJzL1BLAwQUAAAACACHTuJAYY3XZtkAAAAK&#10;AQAADwAAAGRycy9kb3ducmV2LnhtbE2PwU7DMAyG70i8Q2QkLmhLu0K2laY7IIHgBgPBNWu8tiJx&#10;SpN14+0xJzhZlj/9/v5qc/JOTDjGPpCGfJ6BQGqC7anV8PZ6P1uBiMmQNS4QavjGCJv6/KwypQ1H&#10;esFpm1rBIRRLo6FLaSiljE2H3sR5GJD4tg+jN4nXsZV2NEcO904uskxJb3riD50Z8K7D5nN78BpW&#10;14/TR3wqnt8btXfrdLWcHr5GrS8v8uwWRMJT+oPhV5/VoWanXTiQjcJpmOVKMapB3fBkoFD5GsSO&#10;yeWiAFlX8n+F+gdQSwMEFAAAAAgAh07iQAzeXj0TAgAARAQAAA4AAABkcnMvZTJvRG9jLnhtbK1T&#10;zY7TMBC+I/EOlu802dJu2ajpSlDKBQHSwgO49iSx5D/ZbpO+ALwBJy7cea4+x47dbre7cOiBHJyx&#10;Z/zNN9+M57eDVmQLPkhrano1KikBw62Qpq3pt6+rV28oCZEZwZQ1UNMdBHq7ePli3rsKxrazSoAn&#10;CGJC1buadjG6qigC70CzMLIODDob6zWLuPVtITzrEV2rYlyW10VvvXDecggBT5cHJz0i+ksAbdNI&#10;DkvLNxpMPKB6UCxiSaGTLtBFZts0wOPnpgkQiaopVhrziknQXqe1WMxZ1XrmOsmPFNglFJ7VpJk0&#10;mPQEtWSRkY2Xf0Fpyb0NtokjbnVxKCQrglVclc+0ueuYg1wLSh3cSfTw/2D5p+0XT6So6ZgSwzQ2&#10;fP/zx/7Xn/3v72Sa5OldqDDqzmFcHN7aAYfm4TzgYap6aLxOf6yHoB/F3Z3EhSESjofjSfl6MptS&#10;wtF3PZtNJxm+eLztfIgfwGqSjJp6bF7WlG0/hohMMPQhJCULVkmxkkrljW/X75QnW4aNXuUvkcQr&#10;T8KUIX1Nb6bjxIPh9DY4NWhqhwoE0+Z8T26Ec+Ayf/8CTsSWLHQHAhkhhbFKywg+Wx0w8d4IEncO&#10;VTb4uGgio0FQogDfYrJyZGRSXRKJ1SmTkkCe9KNKqWGHxiQrDusBQZO5tmKHTdw4L9sOBc5tLJIH&#10;hytrdXwIaXrP92ifP/7FP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GN12bZAAAACgEAAA8AAAAA&#10;AAAAAQAgAAAAIgAAAGRycy9kb3ducmV2LnhtbFBLAQIUABQAAAAIAIdO4kAM3l49EwIAAEQEAAAO&#10;AAAAAAAAAAEAIAAAACgBAABkcnMvZTJvRG9jLnhtbFBLBQYAAAAABgAGAFkBAACtBQAAAAA=&#10;">
                <v:fill on="t" focussize="0,0"/>
                <v:stroke color="#000000" joinstyle="miter"/>
                <v:imagedata o:title=""/>
                <o:lock v:ext="edit" aspectratio="f"/>
                <v:textbox>
                  <w:txbxContent>
                    <w:p w14:paraId="6ADFD163">
                      <w:pPr>
                        <w:jc w:val="center"/>
                      </w:pPr>
                      <w:r>
                        <w:rPr>
                          <w:rFonts w:hint="eastAsia" w:ascii="宋体" w:hAnsi="宋体"/>
                          <w:sz w:val="24"/>
                        </w:rPr>
                        <w:t>法定代表人身份证复印件粘贴处</w:t>
                      </w:r>
                    </w:p>
                  </w:txbxContent>
                </v:textbox>
              </v:shape>
            </w:pict>
          </mc:Fallback>
        </mc:AlternateContent>
      </w:r>
      <w:r>
        <w:rPr>
          <w:rFonts w:hint="eastAsia"/>
          <w:sz w:val="24"/>
        </w:rPr>
        <mc:AlternateContent>
          <mc:Choice Requires="wps">
            <w:drawing>
              <wp:anchor distT="0" distB="0" distL="114300" distR="114300" simplePos="0" relativeHeight="251662336" behindDoc="0" locked="0" layoutInCell="1" allowOverlap="1">
                <wp:simplePos x="0" y="0"/>
                <wp:positionH relativeFrom="column">
                  <wp:posOffset>2781300</wp:posOffset>
                </wp:positionH>
                <wp:positionV relativeFrom="paragraph">
                  <wp:posOffset>361315</wp:posOffset>
                </wp:positionV>
                <wp:extent cx="2673985" cy="766445"/>
                <wp:effectExtent l="4445" t="5080" r="7620" b="9525"/>
                <wp:wrapNone/>
                <wp:docPr id="4" name="文本框 4"/>
                <wp:cNvGraphicFramePr/>
                <a:graphic xmlns:a="http://schemas.openxmlformats.org/drawingml/2006/main">
                  <a:graphicData uri="http://schemas.microsoft.com/office/word/2010/wordprocessingShape">
                    <wps:wsp>
                      <wps:cNvSpPr txBox="1"/>
                      <wps:spPr>
                        <a:xfrm>
                          <a:off x="0" y="0"/>
                          <a:ext cx="2673985" cy="7664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6F7341A">
                            <w:pPr>
                              <w:jc w:val="center"/>
                              <w:rPr>
                                <w:rFonts w:hint="eastAsia" w:ascii="宋体" w:hAnsi="宋体"/>
                                <w:sz w:val="24"/>
                              </w:rPr>
                            </w:pPr>
                            <w:r>
                              <w:rPr>
                                <w:rFonts w:hint="eastAsia" w:ascii="宋体" w:hAnsi="宋体"/>
                                <w:sz w:val="24"/>
                              </w:rPr>
                              <w:t>法定代表人身份证复印件粘贴处</w:t>
                            </w:r>
                          </w:p>
                          <w:p w14:paraId="7496A382">
                            <w:pPr>
                              <w:jc w:val="center"/>
                            </w:pPr>
                          </w:p>
                        </w:txbxContent>
                      </wps:txbx>
                      <wps:bodyPr upright="1"/>
                    </wps:wsp>
                  </a:graphicData>
                </a:graphic>
              </wp:anchor>
            </w:drawing>
          </mc:Choice>
          <mc:Fallback>
            <w:pict>
              <v:shape id="_x0000_s1026" o:spid="_x0000_s1026" o:spt="202" type="#_x0000_t202" style="position:absolute;left:0pt;margin-left:219pt;margin-top:28.45pt;height:60.35pt;width:210.55pt;z-index:251662336;mso-width-relative:page;mso-height-relative:page;" fillcolor="#FFFFFF" filled="t" stroked="t" coordsize="21600,21600" o:gfxdata="UEsDBAoAAAAAAIdO4kAAAAAAAAAAAAAAAAAEAAAAZHJzL1BLAwQUAAAACACHTuJAvlZI3tkAAAAK&#10;AQAADwAAAGRycy9kb3ducmV2LnhtbE2Py07DMBBF90j8gzVIbBB1Qtu8iNMFEgh2UBBs3XiaRMTj&#10;YLtp+XuGFSxHc3TvufXmZEcxow+DIwXpIgGB1DozUKfg7fX+ugARoiajR0eo4BsDbJrzs1pXxh3p&#10;Bedt7ASHUKi0gj7GqZIytD1aHRZuQuLf3nmrI5++k8brI4fbUd4kSSatHogbej3hXY/t5/ZgFRSr&#10;x/kjPC2f39tsP5bxKp8fvrxSlxdpcgsi4in+wfCrz+rQsNPOHcgEMSpYLQveEhWssxIEA8W6TEHs&#10;mMzzDGRTy/8Tmh9QSwMEFAAAAAgAh07iQGidh30RAgAARAQAAA4AAABkcnMvZTJvRG9jLnhtbK1T&#10;zY4TMQy+I/EOUe50uqXt7o46XQlKuSBAWniANMnMRMqf4rQzfQF4A05cuPNcfY51Mt3SXTj0wBwy&#10;ju18tj/bi7veaLKTAZSzFb0ajSmRljuhbFPRr1/Wr24ogcisYNpZWdG9BHq3fPli0flSTlzrtJCB&#10;IIiFsvMVbWP0ZVEAb6VhMHJeWjTWLhgW8RqaQgTWIbrRxWQ8nhedC8IHxyUAaleDkR4RwyWArq4V&#10;lyvHt0baOKAGqVnEkqBVHugyZ1vXksdPdQ0yEl1RrDTmE4OgvElnsVywsgnMt4ofU2CXpPCsJsOU&#10;xaAnqBWLjGyD+gvKKB4cuDqOuDPFUEhmBKu4Gj/j5r5lXuZakGrwJ9Lh/8Hyj7vPgShR0Skllhls&#10;+OHH98PP34df38g00dN5KNHr3qNf7N+4HofmUQ+oTFX3dTDpj/UQtCO5+xO5so+Eo3Iyv359ezOj&#10;hKPtej6fTmcJpvjz2geI76UzJAkVDdi8zCnbfYA4uD66pGDgtBJrpXW+hGbzVgeyY9jodf6O6E/c&#10;tCVdRW9nk5QHw+mtcWpQNB4ZANvkeE9ewDnwOH//Ak6JrRi0QwIZIbmx0qgoQ5ZaycQ7K0jce2TZ&#10;4nLRlIyRghItcReTlD0jU/oST+RO2xRE5kk/spQaNjQmSbHf9AiaxI0Te2zi1gfVtEhwbmORLDhc&#10;uRPHRUjTe35H+Xz5l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Vkje2QAAAAoBAAAPAAAAAAAA&#10;AAEAIAAAACIAAABkcnMvZG93bnJldi54bWxQSwECFAAUAAAACACHTuJAaJ2HfRECAABEBAAADgAA&#10;AAAAAAABACAAAAAoAQAAZHJzL2Uyb0RvYy54bWxQSwUGAAAAAAYABgBZAQAAqwUAAAAA&#10;">
                <v:fill on="t" focussize="0,0"/>
                <v:stroke color="#000000" joinstyle="miter"/>
                <v:imagedata o:title=""/>
                <o:lock v:ext="edit" aspectratio="f"/>
                <v:textbox>
                  <w:txbxContent>
                    <w:p w14:paraId="26F7341A">
                      <w:pPr>
                        <w:jc w:val="center"/>
                        <w:rPr>
                          <w:rFonts w:hint="eastAsia" w:ascii="宋体" w:hAnsi="宋体"/>
                          <w:sz w:val="24"/>
                        </w:rPr>
                      </w:pPr>
                      <w:r>
                        <w:rPr>
                          <w:rFonts w:hint="eastAsia" w:ascii="宋体" w:hAnsi="宋体"/>
                          <w:sz w:val="24"/>
                        </w:rPr>
                        <w:t>法定代表人身份证复印件粘贴处</w:t>
                      </w:r>
                    </w:p>
                    <w:p w14:paraId="7496A382">
                      <w:pPr>
                        <w:jc w:val="center"/>
                      </w:pPr>
                    </w:p>
                  </w:txbxContent>
                </v:textbox>
              </v:shape>
            </w:pict>
          </mc:Fallback>
        </mc:AlternateContent>
      </w:r>
    </w:p>
    <w:p w14:paraId="30F0CB15">
      <w:pPr>
        <w:rPr>
          <w:rFonts w:hint="eastAsia" w:ascii="宋体" w:hAnsi="宋体"/>
          <w:sz w:val="24"/>
        </w:rPr>
      </w:pPr>
    </w:p>
    <w:p w14:paraId="20ABC2AB"/>
    <w:p w14:paraId="7857CC05">
      <w:pPr>
        <w:spacing w:line="360" w:lineRule="auto"/>
        <w:ind w:firstLine="480" w:firstLineChars="200"/>
        <w:rPr>
          <w:rFonts w:hint="eastAsia" w:ascii="宋体" w:hAnsi="宋体"/>
          <w:sz w:val="24"/>
        </w:rPr>
      </w:pPr>
    </w:p>
    <w:p w14:paraId="5B3ADAF8">
      <w:pPr>
        <w:spacing w:line="360" w:lineRule="auto"/>
        <w:rPr>
          <w:rFonts w:hint="eastAsia" w:ascii="宋体" w:hAnsi="宋体"/>
          <w:sz w:val="24"/>
        </w:rPr>
      </w:pPr>
      <w:r>
        <w:rPr>
          <w:rFonts w:hint="eastAsia" w:ascii="宋体" w:hAnsi="宋体"/>
          <w:sz w:val="24"/>
        </w:rPr>
        <w:t>供应商： （盖单位章）</w:t>
      </w:r>
    </w:p>
    <w:p w14:paraId="7BEF3F5F">
      <w:pPr>
        <w:spacing w:line="360" w:lineRule="auto"/>
        <w:ind w:firstLine="480" w:firstLineChars="200"/>
        <w:rPr>
          <w:rFonts w:hint="eastAsia" w:ascii="宋体" w:hAnsi="宋体"/>
          <w:sz w:val="24"/>
        </w:rPr>
      </w:pPr>
      <w:r>
        <w:rPr>
          <w:rFonts w:hint="eastAsia" w:ascii="宋体" w:hAnsi="宋体"/>
          <w:sz w:val="24"/>
        </w:rPr>
        <w:t xml:space="preserve">         </w:t>
      </w:r>
    </w:p>
    <w:p w14:paraId="245F1334">
      <w:pPr>
        <w:spacing w:line="360" w:lineRule="auto"/>
        <w:ind w:firstLine="480" w:firstLineChars="200"/>
        <w:rPr>
          <w:rFonts w:hint="eastAsia" w:ascii="宋体" w:hAnsi="宋体"/>
          <w:sz w:val="24"/>
        </w:rPr>
      </w:pPr>
    </w:p>
    <w:p w14:paraId="6E7076BF">
      <w:pPr>
        <w:spacing w:line="360" w:lineRule="auto"/>
        <w:ind w:firstLine="5520" w:firstLineChars="2300"/>
        <w:rPr>
          <w:rFonts w:hint="eastAsia" w:ascii="宋体" w:hAnsi="宋体"/>
          <w:sz w:val="24"/>
        </w:rPr>
      </w:pPr>
    </w:p>
    <w:p w14:paraId="6B887AD0">
      <w:pPr>
        <w:spacing w:line="360" w:lineRule="auto"/>
        <w:ind w:firstLine="5520" w:firstLineChars="2300"/>
        <w:rPr>
          <w:rFonts w:hint="eastAsia" w:ascii="宋体" w:hAnsi="宋体"/>
          <w:sz w:val="24"/>
        </w:rPr>
      </w:pPr>
      <w:r>
        <w:rPr>
          <w:rFonts w:hint="eastAsia" w:ascii="宋体" w:hAnsi="宋体"/>
          <w:sz w:val="24"/>
        </w:rPr>
        <w:t>供应商： （</w:t>
      </w:r>
      <w:r>
        <w:rPr>
          <w:rFonts w:hint="eastAsia" w:ascii="宋体" w:hAnsi="宋体" w:cs="宋体"/>
          <w:sz w:val="24"/>
        </w:rPr>
        <w:t>企业电子签章</w:t>
      </w:r>
      <w:r>
        <w:rPr>
          <w:rFonts w:hint="eastAsia" w:ascii="宋体" w:hAnsi="宋体"/>
          <w:sz w:val="24"/>
        </w:rPr>
        <w:t>）</w:t>
      </w:r>
    </w:p>
    <w:p w14:paraId="6DDC8076">
      <w:pPr>
        <w:spacing w:line="360" w:lineRule="auto"/>
        <w:ind w:firstLine="5760" w:firstLineChars="2400"/>
        <w:rPr>
          <w:rFonts w:hint="eastAsia" w:ascii="宋体" w:hAnsi="宋体"/>
          <w:sz w:val="24"/>
        </w:rPr>
      </w:pPr>
    </w:p>
    <w:p w14:paraId="3F39154B">
      <w:pPr>
        <w:spacing w:line="360" w:lineRule="auto"/>
        <w:ind w:firstLine="5760" w:firstLineChars="2400"/>
        <w:rPr>
          <w:rFonts w:hint="eastAsia" w:ascii="宋体" w:hAnsi="宋体"/>
          <w:sz w:val="24"/>
        </w:rPr>
      </w:pPr>
      <w:r>
        <w:rPr>
          <w:rFonts w:hint="eastAsia" w:ascii="宋体" w:hAnsi="宋体"/>
          <w:sz w:val="24"/>
        </w:rPr>
        <w:t>日期：  年    月     日</w:t>
      </w:r>
    </w:p>
    <w:p w14:paraId="0BF2C3C7">
      <w:pPr>
        <w:spacing w:line="440" w:lineRule="exact"/>
        <w:rPr>
          <w:rFonts w:hint="eastAsia" w:asciiTheme="minorEastAsia" w:hAnsiTheme="minorEastAsia" w:eastAsiaTheme="minorEastAsia" w:cstheme="minorEastAsia"/>
        </w:rPr>
      </w:pPr>
    </w:p>
    <w:p w14:paraId="7B4D617C">
      <w:pPr>
        <w:pStyle w:val="5"/>
        <w:spacing w:before="120" w:after="120" w:line="500" w:lineRule="exact"/>
        <w:ind w:right="29" w:rightChars="14"/>
        <w:outlineLvl w:val="9"/>
        <w:rPr>
          <w:rFonts w:hint="eastAsia" w:asciiTheme="minorEastAsia" w:hAnsiTheme="minorEastAsia" w:eastAsiaTheme="minorEastAsia" w:cstheme="minorEastAsia"/>
          <w:sz w:val="30"/>
          <w:szCs w:val="30"/>
        </w:rPr>
      </w:pPr>
      <w:bookmarkStart w:id="295" w:name="_Toc6009"/>
      <w:bookmarkStart w:id="296" w:name="_Toc15395"/>
    </w:p>
    <w:p w14:paraId="62A1DB17">
      <w:pPr>
        <w:pStyle w:val="5"/>
        <w:spacing w:before="120" w:after="120" w:line="500" w:lineRule="exact"/>
        <w:ind w:right="29" w:rightChars="14"/>
        <w:jc w:val="both"/>
        <w:outlineLvl w:val="9"/>
        <w:rPr>
          <w:rFonts w:hint="eastAsia" w:asciiTheme="minorEastAsia" w:hAnsiTheme="minorEastAsia" w:eastAsiaTheme="minorEastAsia" w:cstheme="minorEastAsia"/>
          <w:sz w:val="30"/>
          <w:szCs w:val="30"/>
        </w:rPr>
      </w:pPr>
      <w:bookmarkStart w:id="297" w:name="_Toc17980"/>
    </w:p>
    <w:p w14:paraId="765EE3BC"/>
    <w:p w14:paraId="31539018">
      <w:pPr>
        <w:jc w:val="center"/>
        <w:rPr>
          <w:b/>
          <w:bCs/>
          <w:sz w:val="28"/>
          <w:szCs w:val="28"/>
        </w:rPr>
      </w:pPr>
      <w:r>
        <w:rPr>
          <w:rFonts w:hint="eastAsia"/>
          <w:b/>
          <w:bCs/>
          <w:sz w:val="28"/>
          <w:szCs w:val="28"/>
        </w:rPr>
        <w:t>三、授权委托书</w:t>
      </w:r>
      <w:bookmarkEnd w:id="295"/>
      <w:bookmarkEnd w:id="296"/>
      <w:bookmarkEnd w:id="297"/>
    </w:p>
    <w:p w14:paraId="6DCBB8AA"/>
    <w:p w14:paraId="3B784AB1">
      <w:pPr>
        <w:spacing w:line="360" w:lineRule="auto"/>
        <w:ind w:firstLine="480" w:firstLineChars="200"/>
        <w:rPr>
          <w:rFonts w:hint="eastAsia"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（供应商名称）的法定代表人，现委托</w:t>
      </w:r>
      <w:r>
        <w:rPr>
          <w:rFonts w:hint="eastAsia" w:ascii="宋体" w:hAnsi="宋体"/>
          <w:sz w:val="24"/>
          <w:u w:val="single"/>
        </w:rPr>
        <w:t xml:space="preserve">             </w:t>
      </w:r>
      <w:r>
        <w:rPr>
          <w:rFonts w:hint="eastAsia" w:ascii="宋体" w:hAnsi="宋体"/>
          <w:sz w:val="24"/>
        </w:rPr>
        <w:t>（姓名）为我方代理人。代理人根据授权，以我方名义签署、澄清、说明、补正、递交、撤回、修改</w:t>
      </w:r>
      <w:r>
        <w:rPr>
          <w:rFonts w:hint="eastAsia" w:ascii="宋体" w:hAnsi="宋体"/>
          <w:sz w:val="24"/>
          <w:u w:val="single"/>
        </w:rPr>
        <w:t xml:space="preserve">                                 </w:t>
      </w:r>
      <w:r>
        <w:rPr>
          <w:rFonts w:hint="eastAsia" w:ascii="宋体" w:hAnsi="宋体"/>
          <w:sz w:val="24"/>
        </w:rPr>
        <w:t>（项目名称）项目响应文件、签订合同和处理有关事宜，其法律后果由我方承担。</w:t>
      </w:r>
    </w:p>
    <w:p w14:paraId="10D648BD">
      <w:pPr>
        <w:spacing w:line="360" w:lineRule="auto"/>
        <w:ind w:firstLine="480" w:firstLineChars="200"/>
        <w:rPr>
          <w:rFonts w:hint="eastAsia" w:ascii="宋体" w:hAnsi="宋体"/>
          <w:sz w:val="24"/>
        </w:rPr>
      </w:pPr>
      <w:r>
        <w:rPr>
          <w:rFonts w:hint="eastAsia" w:ascii="宋体" w:hAnsi="宋体"/>
          <w:sz w:val="24"/>
        </w:rPr>
        <w:t>委托期限：</w:t>
      </w:r>
      <w:r>
        <w:rPr>
          <w:rFonts w:hint="eastAsia" w:ascii="宋体" w:hAnsi="宋体"/>
          <w:sz w:val="24"/>
          <w:u w:val="single"/>
        </w:rPr>
        <w:t xml:space="preserve">                                </w:t>
      </w:r>
    </w:p>
    <w:p w14:paraId="07B12560">
      <w:pPr>
        <w:spacing w:line="360" w:lineRule="auto"/>
        <w:ind w:firstLine="480" w:firstLineChars="200"/>
        <w:rPr>
          <w:rFonts w:hint="eastAsia" w:ascii="宋体" w:hAnsi="宋体"/>
          <w:sz w:val="24"/>
        </w:rPr>
      </w:pPr>
      <w:r>
        <w:rPr>
          <w:rFonts w:hint="eastAsia" w:ascii="宋体" w:hAnsi="宋体"/>
          <w:sz w:val="24"/>
        </w:rPr>
        <w:t>代理人无转委托权。</w:t>
      </w:r>
    </w:p>
    <w:p w14:paraId="31F37585">
      <w:pPr>
        <w:spacing w:line="360" w:lineRule="auto"/>
        <w:ind w:firstLine="480" w:firstLineChars="200"/>
        <w:rPr>
          <w:rFonts w:hint="eastAsia" w:ascii="宋体" w:hAnsi="宋体"/>
          <w:sz w:val="24"/>
        </w:rPr>
      </w:pPr>
      <w:r>
        <w:rPr>
          <w:rFonts w:hint="eastAsia"/>
          <w:sz w:val="24"/>
        </w:rPr>
        <mc:AlternateContent>
          <mc:Choice Requires="wps">
            <w:drawing>
              <wp:anchor distT="0" distB="0" distL="114300" distR="114300" simplePos="0" relativeHeight="251663360" behindDoc="0" locked="0" layoutInCell="1" allowOverlap="1">
                <wp:simplePos x="0" y="0"/>
                <wp:positionH relativeFrom="column">
                  <wp:posOffset>-411480</wp:posOffset>
                </wp:positionH>
                <wp:positionV relativeFrom="paragraph">
                  <wp:posOffset>158750</wp:posOffset>
                </wp:positionV>
                <wp:extent cx="3098165" cy="2235200"/>
                <wp:effectExtent l="4445" t="4445" r="12065" b="8255"/>
                <wp:wrapNone/>
                <wp:docPr id="5" name="自选图形 7"/>
                <wp:cNvGraphicFramePr/>
                <a:graphic xmlns:a="http://schemas.openxmlformats.org/drawingml/2006/main">
                  <a:graphicData uri="http://schemas.microsoft.com/office/word/2010/wordprocessingShape">
                    <wps:wsp>
                      <wps:cNvSpPr/>
                      <wps:spPr>
                        <a:xfrm>
                          <a:off x="0" y="0"/>
                          <a:ext cx="3098165" cy="22352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21F1E3F0"/>
                        </w:txbxContent>
                      </wps:txbx>
                      <wps:bodyPr upright="1"/>
                    </wps:wsp>
                  </a:graphicData>
                </a:graphic>
              </wp:anchor>
            </w:drawing>
          </mc:Choice>
          <mc:Fallback>
            <w:pict>
              <v:shape id="自选图形 7" o:spid="_x0000_s1026" o:spt="176" type="#_x0000_t176" style="position:absolute;left:0pt;margin-left:-32.4pt;margin-top:12.5pt;height:176pt;width:243.95pt;z-index:251663360;mso-width-relative:page;mso-height-relative:page;" fillcolor="#FFFFFF" filled="t" stroked="t" coordsize="21600,21600" o:gfxdata="UEsDBAoAAAAAAIdO4kAAAAAAAAAAAAAAAAAEAAAAZHJzL1BLAwQUAAAACACHTuJAj5dnwNkAAAAK&#10;AQAADwAAAGRycy9kb3ducmV2LnhtbE2PQU+EMBSE7yb+h+aZeNttgRV2kcfGaPTkRdzEa6FvgUhb&#10;QguL/nrrSY+Tmcx8UxxXPbCFJtdbgxBtBTAyjVW9aRFO78+bPTDnpVFysIYQvsjBsby+KmSu7MW8&#10;0VL5loUS43KJ0Hk/5py7piMt3daOZIJ3tpOWPsip5WqSl1CuBx4LkXItexMWOjnSY0fNZzVrhPX1&#10;uz7ML1FT+W6fZh/J8vRw4oi3N5G4B+Zp9X9h+MUP6FAGptrORjk2IGzSXUD3CPFd+BQCuziJgNUI&#10;SZYJ4GXB/18ofwBQSwMEFAAAAAgAh07iQHWiKA8fAgAAUwQAAA4AAABkcnMvZTJvRG9jLnhtbK1U&#10;zY7TMBC+I/EOlu80aVdddqOmK7SlXBBUWniAqeMklvwn223SGzfEM3DjyDvA26wEb8HYCaW7cOiB&#10;HNLP8fib+b4Zd3HTK0n23HlhdEmnk5wSrpmphG5K+v7d+tkVJT6ArkAazUt64J7eLJ8+WXS24DPT&#10;GllxR5BE+6KzJW1DsEWWedZyBX5iLNe4WRunIODSNVnloEN2JbNZnl9mnXGVdYZx7/HratikI6M7&#10;h9DUtWB8ZdhOcR0GVsclBJTkW2E9XaZq65qz8LauPQ9ElhSVhvTGJIi38Z0tF1A0Dmwr2FgCnFPC&#10;I00KhMakR6oVBCA7J/6iUoI5400dJsyobBCSHEEV0/yRN3ctWJ60oNXeHk33/4+WvdlvHBFVSeeU&#10;aFDY8B8fv/788On+8/f7b1/I8+hQZ32BgXd248aVRxjl9rVT8ReFkD65eji6yvtAGH68yK+vppdI&#10;z3BvNruY4xRE1uzPcet8eMWNIhGUtJamu23BhRcycKch8M0wL8li2L/2YTj/+1wswRspqrWQMi1c&#10;s72VjuwB+75Oz5jyQZjUpCvp9XwWqwMc5hqHCKGyaIjXTcr34IQ/Jc7T8y/iWNgKfDsUkBhiGBRK&#10;oKKEWg7VS12RcLBousa7RmMxileUSI5XM6IUGUDIcyLRUKljEp4Gf3QpNm9oV0Sh3/ZIGuHWVAfs&#10;/c460bTo+jQJiTs4a6k9472Iw3y6Rnz6X7D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XZ8DZ&#10;AAAACgEAAA8AAAAAAAAAAQAgAAAAIgAAAGRycy9kb3ducmV2LnhtbFBLAQIUABQAAAAIAIdO4kB1&#10;oigPHwIAAFMEAAAOAAAAAAAAAAEAIAAAACgBAABkcnMvZTJvRG9jLnhtbFBLBQYAAAAABgAGAFkB&#10;AAC5BQAAAAA=&#10;">
                <v:fill on="t" focussize="0,0"/>
                <v:stroke color="#000000" joinstyle="miter"/>
                <v:imagedata o:title=""/>
                <o:lock v:ext="edit" aspectratio="f"/>
                <v:textbox>
                  <w:txbxContent>
                    <w:p w14:paraId="21F1E3F0"/>
                  </w:txbxContent>
                </v:textbox>
              </v:shape>
            </w:pict>
          </mc:Fallback>
        </mc:AlternateContent>
      </w:r>
      <w:r>
        <w:rPr>
          <w:rFonts w:hint="eastAsia"/>
          <w:sz w:val="24"/>
        </w:rPr>
        <mc:AlternateContent>
          <mc:Choice Requires="wps">
            <w:drawing>
              <wp:anchor distT="0" distB="0" distL="114300" distR="114300" simplePos="0" relativeHeight="251664384" behindDoc="0" locked="0" layoutInCell="1" allowOverlap="1">
                <wp:simplePos x="0" y="0"/>
                <wp:positionH relativeFrom="column">
                  <wp:posOffset>2695575</wp:posOffset>
                </wp:positionH>
                <wp:positionV relativeFrom="paragraph">
                  <wp:posOffset>179705</wp:posOffset>
                </wp:positionV>
                <wp:extent cx="3134360" cy="2235200"/>
                <wp:effectExtent l="4445" t="5080" r="13970" b="7620"/>
                <wp:wrapNone/>
                <wp:docPr id="6" name="自选图形 6"/>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自选图形 6" o:spid="_x0000_s1026" o:spt="176" type="#_x0000_t176" style="position:absolute;left:0pt;margin-left:212.25pt;margin-top:14.15pt;height:176pt;width:246.8pt;z-index:251664384;mso-width-relative:page;mso-height-relative:page;" fillcolor="#FFFFFF" filled="t" stroked="t" coordsize="21600,21600" o:gfxdata="UEsDBAoAAAAAAIdO4kAAAAAAAAAAAAAAAAAEAAAAZHJzL1BLAwQUAAAACACHTuJA/c/3vNkAAAAK&#10;AQAADwAAAGRycy9kb3ducmV2LnhtbE2PwU6EMBRF9yb+Q/NM3DltYRw7SJkYja7ciJO4LbRSIn0l&#10;tDDo11tXzvLlntx7XnlY3UAWM4XeowS+YUAMtl732Ek4vj/fCCAhKtRq8GgkfJsAh+ryolSF9id8&#10;M0sdO5JKMBRKgo1xLCgNrTVOhY0fDabs009OxXROHdWTOqVyN9CMsR11qse0YNVoHq1pv+rZSVhf&#10;f5r9/MLbOlqxu/vIl6eHI5Xy+oqzeyDRrPEfhj/9pA5Vcmr8jDqQQcI2294mVEImciAJ2HPBgTQS&#10;csFyoFVJz1+ofgFQSwMEFAAAAAgAh07iQCjwXUIZAgAASAQAAA4AAABkcnMvZTJvRG9jLnhtbK1U&#10;S44TMRDdI3EHy3vS+ZAIWumM0ISwQTDSwAEqtrvbkn+ynXSyY4c4AzuW3AFuMxLcgrK7CZmBRRb0&#10;olNul1+996qc5dVBK7IXPkhrKjoZjSkRhlkuTVPR9+82T55REiIYDsoaUdGjCPRq9fjRsnOlmNrW&#10;Ki48QRATys5VtI3RlUURWCs0hJF1wuBmbb2GiEvfFNxDh+haFdPxeFF01nPnLRMh4Nd1v0kHRH8J&#10;oK1rycTasp0WJvaoXiiIKCm00gW6ymzrWrD4tq6DiERVFJXG/MYiGG/Tu1gtoWw8uFaygQJcQuGB&#10;Jg3SYNET1BoikJ2Xf0FpybwNto4jZnXRC8mOoIrJ+IE3ty04kbWg1cGdTA//D5a92d94InlFF5QY&#10;0NjwHx+//vzw6e7z97tvX8giOdS5UGLirbvxwypgmOQeaq/TLwohh+zq8eSqOETC8ONsMns6W6Dh&#10;DPem09kcpyChFn+OOx/iK2E1SUFFa2W76xZ8fKGi8AaiuOnnJVsM+9ch9ud/n0sUglWSb6RSeeGb&#10;7bXyZA/Y901+hpL30pQhXUWfz6dzZAc4zDUOEYbaoSHBNLnevRPhHHicn38BJ2JrCG1PICOkNCi1&#10;REU5agXwl4aTeHRousG7RhMZLTglSuDVTFHOjCDVJZloqDKpiMiDP7iUmte3K0Vby4/Y8J3zsmnR&#10;6klmn3ZwwHJPhsuQJvh8jfH5H8Dq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3P97zZAAAACgEA&#10;AA8AAAAAAAAAAQAgAAAAIgAAAGRycy9kb3ducmV2LnhtbFBLAQIUABQAAAAIAIdO4kAo8F1CGQIA&#10;AEgEAAAOAAAAAAAAAAEAIAAAACgBAABkcnMvZTJvRG9jLnhtbFBLBQYAAAAABgAGAFkBAACzBQAA&#10;AAA=&#10;">
                <v:fill on="t" focussize="0,0"/>
                <v:stroke color="#000000" joinstyle="miter"/>
                <v:imagedata o:title=""/>
                <o:lock v:ext="edit" aspectratio="f"/>
              </v:shape>
            </w:pict>
          </mc:Fallback>
        </mc:AlternateContent>
      </w:r>
    </w:p>
    <w:p w14:paraId="63F03825">
      <w:pPr>
        <w:spacing w:line="360" w:lineRule="auto"/>
        <w:ind w:firstLine="480" w:firstLineChars="200"/>
        <w:rPr>
          <w:rFonts w:hint="eastAsia" w:ascii="宋体" w:hAnsi="宋体"/>
          <w:sz w:val="24"/>
        </w:rPr>
      </w:pPr>
    </w:p>
    <w:p w14:paraId="11A6D290">
      <w:pPr>
        <w:spacing w:line="360" w:lineRule="auto"/>
        <w:ind w:firstLine="480" w:firstLineChars="200"/>
        <w:jc w:val="left"/>
        <w:rPr>
          <w:rFonts w:hint="eastAsia" w:ascii="宋体" w:hAnsi="宋体"/>
          <w:sz w:val="24"/>
        </w:rPr>
      </w:pPr>
      <w:r>
        <w:rPr>
          <w:rFonts w:hint="eastAsia"/>
          <w:sz w:val="24"/>
        </w:rPr>
        <mc:AlternateContent>
          <mc:Choice Requires="wps">
            <w:drawing>
              <wp:anchor distT="0" distB="0" distL="114300" distR="114300" simplePos="0" relativeHeight="251665408" behindDoc="0" locked="0" layoutInCell="1" allowOverlap="1">
                <wp:simplePos x="0" y="0"/>
                <wp:positionH relativeFrom="column">
                  <wp:posOffset>76200</wp:posOffset>
                </wp:positionH>
                <wp:positionV relativeFrom="paragraph">
                  <wp:posOffset>139065</wp:posOffset>
                </wp:positionV>
                <wp:extent cx="2345690" cy="673100"/>
                <wp:effectExtent l="4445" t="5080" r="12065" b="7620"/>
                <wp:wrapNone/>
                <wp:docPr id="7" name="文本框 8"/>
                <wp:cNvGraphicFramePr/>
                <a:graphic xmlns:a="http://schemas.openxmlformats.org/drawingml/2006/main">
                  <a:graphicData uri="http://schemas.microsoft.com/office/word/2010/wordprocessingShape">
                    <wps:wsp>
                      <wps:cNvSpPr txBox="1"/>
                      <wps:spPr>
                        <a:xfrm>
                          <a:off x="0" y="0"/>
                          <a:ext cx="2345690" cy="673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2CAEC4B">
                            <w:pPr>
                              <w:jc w:val="center"/>
                            </w:pPr>
                            <w:r>
                              <w:rPr>
                                <w:rFonts w:hint="eastAsia" w:ascii="宋体" w:hAnsi="宋体"/>
                                <w:sz w:val="24"/>
                              </w:rPr>
                              <w:t>委托代理人身份证复印件粘贴处</w:t>
                            </w:r>
                          </w:p>
                        </w:txbxContent>
                      </wps:txbx>
                      <wps:bodyPr upright="1"/>
                    </wps:wsp>
                  </a:graphicData>
                </a:graphic>
              </wp:anchor>
            </w:drawing>
          </mc:Choice>
          <mc:Fallback>
            <w:pict>
              <v:shape id="文本框 8" o:spid="_x0000_s1026" o:spt="202" type="#_x0000_t202" style="position:absolute;left:0pt;margin-left:6pt;margin-top:10.95pt;height:53pt;width:184.7pt;z-index:251665408;mso-width-relative:page;mso-height-relative:page;" fillcolor="#FFFFFF" filled="t" stroked="t" coordsize="21600,21600" o:gfxdata="UEsDBAoAAAAAAIdO4kAAAAAAAAAAAAAAAAAEAAAAZHJzL1BLAwQUAAAACACHTuJAIEIxr9gAAAAJ&#10;AQAADwAAAGRycy9kb3ducmV2LnhtbE2PwU7DMBBE70j8g7VIXFDrJK3aJMTpAQkENyioXN14m0TE&#10;62C7afl7tic4jt5q9k21OdtBTOhD70hBOk9AIDXO9NQq+Hh/nOUgQtRk9OAIFfxggE19fVXp0rgT&#10;veG0ja3gEgqlVtDFOJZShqZDq8PcjUjMDs5bHTn6VhqvT1xuB5klyUpa3RN/6PSIDx02X9ujVZAv&#10;n6fP8LJ43TWrw1DEu/X09O2Vur1Jk3sQEc/x7xgu+qwONTvt3ZFMEAPnjKdEBVlagGC+yNMliP0F&#10;rAuQdSX/L6h/AVBLAwQUAAAACACHTuJAXsudRxQCAABEBAAADgAAAGRycy9lMm9Eb2MueG1srVPN&#10;jtMwEL4j8Q6W7zRpl3Z3o6YrQSkXBEgLD+DaTmLJf/K4TfoC8AacuHDnufocO3a7pbtw6IEcnLFn&#10;/M1834znd4PRZCsDKGdrOh6VlEjLnVC2renXL6tXN5RAZFYw7ays6U4CvVu8fDHvfSUnrnNayEAQ&#10;xELV+5p2MfqqKIB30jAYOS8tOhsXDIu4DW0hAusR3ehiUpazondB+OC4BMDT5cFJj4jhEkDXNIrL&#10;peMbI208oAapWURK0CkPdJGrbRrJ46emARmJrikyjXnFJGiv01os5qxqA/Od4scS2CUlPONkmLKY&#10;9AS1ZJGRTVB/QRnFgwPXxBF3pjgQyYogi3H5TJv7jnmZuaDU4E+iw/+D5R+3nwNRoqbXlFhmsOH7&#10;H9/3P3/vf30jN0me3kOFUfce4+Lwxg04NI/ngIeJ9dAEk/7Ih6Afxd2dxJVDJBwPJ1evp7NbdHH0&#10;za6vxmVWv/hz2weI76UzJBk1Ddi8rCnbfoCIlWDoY0hKBk4rsVJa501o1291IFuGjV7lLxWJV56E&#10;aUv6mt5OJ1Osg+H0Njg1aBqPCoBtc74nN+AcuMzfv4BTYUsG3aGAjJDCWGVUlCFbnWTinRUk7jyq&#10;bPFx0VSMkYISLfEtJitHRqb0JZHITtuUROZJP6qUGnZoTLLisB4QNJlrJ3bYxI0Pqu1Q4NzGInlw&#10;uLJWx4eQpvd8j/b54188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BCMa/YAAAACQEAAA8AAAAA&#10;AAAAAQAgAAAAIgAAAGRycy9kb3ducmV2LnhtbFBLAQIUABQAAAAIAIdO4kBey51HFAIAAEQEAAAO&#10;AAAAAAAAAAEAIAAAACcBAABkcnMvZTJvRG9jLnhtbFBLBQYAAAAABgAGAFkBAACtBQAAAAA=&#10;">
                <v:fill on="t" focussize="0,0"/>
                <v:stroke color="#000000" joinstyle="miter"/>
                <v:imagedata o:title=""/>
                <o:lock v:ext="edit" aspectratio="f"/>
                <v:textbox>
                  <w:txbxContent>
                    <w:p w14:paraId="52CAEC4B">
                      <w:pPr>
                        <w:jc w:val="center"/>
                      </w:pPr>
                      <w:r>
                        <w:rPr>
                          <w:rFonts w:hint="eastAsia" w:ascii="宋体" w:hAnsi="宋体"/>
                          <w:sz w:val="24"/>
                        </w:rPr>
                        <w:t>委托代理人身份证复印件粘贴处</w:t>
                      </w:r>
                    </w:p>
                  </w:txbxContent>
                </v:textbox>
              </v:shape>
            </w:pict>
          </mc:Fallback>
        </mc:AlternateContent>
      </w:r>
      <w:r>
        <w:rPr>
          <w:rFonts w:hint="eastAsia"/>
          <w:sz w:val="24"/>
        </w:rPr>
        <mc:AlternateContent>
          <mc:Choice Requires="wps">
            <w:drawing>
              <wp:anchor distT="0" distB="0" distL="114300" distR="114300" simplePos="0" relativeHeight="251666432" behindDoc="0" locked="0" layoutInCell="1" allowOverlap="1">
                <wp:simplePos x="0" y="0"/>
                <wp:positionH relativeFrom="column">
                  <wp:posOffset>3063240</wp:posOffset>
                </wp:positionH>
                <wp:positionV relativeFrom="paragraph">
                  <wp:posOffset>176530</wp:posOffset>
                </wp:positionV>
                <wp:extent cx="2381250" cy="684530"/>
                <wp:effectExtent l="4445" t="4445" r="5080" b="6350"/>
                <wp:wrapNone/>
                <wp:docPr id="8" name="文本框 9"/>
                <wp:cNvGraphicFramePr/>
                <a:graphic xmlns:a="http://schemas.openxmlformats.org/drawingml/2006/main">
                  <a:graphicData uri="http://schemas.microsoft.com/office/word/2010/wordprocessingShape">
                    <wps:wsp>
                      <wps:cNvSpPr txBox="1"/>
                      <wps:spPr>
                        <a:xfrm>
                          <a:off x="0" y="0"/>
                          <a:ext cx="2381250" cy="6845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C006234">
                            <w:pPr>
                              <w:jc w:val="center"/>
                            </w:pPr>
                            <w:r>
                              <w:rPr>
                                <w:rFonts w:hint="eastAsia" w:ascii="宋体" w:hAnsi="宋体"/>
                                <w:sz w:val="24"/>
                              </w:rPr>
                              <w:t>委托代理人身份证复印件粘贴处</w:t>
                            </w:r>
                          </w:p>
                        </w:txbxContent>
                      </wps:txbx>
                      <wps:bodyPr upright="1"/>
                    </wps:wsp>
                  </a:graphicData>
                </a:graphic>
              </wp:anchor>
            </w:drawing>
          </mc:Choice>
          <mc:Fallback>
            <w:pict>
              <v:shape id="文本框 9" o:spid="_x0000_s1026" o:spt="202" type="#_x0000_t202" style="position:absolute;left:0pt;margin-left:241.2pt;margin-top:13.9pt;height:53.9pt;width:187.5pt;z-index:251666432;mso-width-relative:page;mso-height-relative:page;" fillcolor="#FFFFFF" filled="t" stroked="t" coordsize="21600,21600" o:gfxdata="UEsDBAoAAAAAAIdO4kAAAAAAAAAAAAAAAAAEAAAAZHJzL1BLAwQUAAAACACHTuJA8uBBE9kAAAAK&#10;AQAADwAAAGRycy9kb3ducmV2LnhtbE2PwU7DMAyG70i8Q2QkLoil67q2lKY7IIHgBgPBNWu9tiJx&#10;SpJ14+0xJzja/vT7++vNyRoxow+jIwXLRQICqXXdSL2Ct9f76xJEiJo6bRyhgm8MsGnOz2pdde5I&#10;LzhvYy84hEKlFQwxTpWUoR3Q6rBwExLf9s5bHXn0vey8PnK4NTJNklxaPRJ/GPSEdwO2n9uDVVBm&#10;j/NHeFo9v7f53tzEq2J++PJKXV4sk1sQEU/xD4ZffVaHhp127kBdEEZBVqYZowrSgiswUK4LXuyY&#10;XK1zkE0t/1dofgBQSwMEFAAAAAgAh07iQFz2JPwTAgAARAQAAA4AAABkcnMvZTJvRG9jLnhtbK1T&#10;zY7TMBC+I/EOlu80bZeudqOmK0EpFwRICw/gOpPEkv/kcZv0BeANOHHhznP1OXbsdkt34dADOThj&#10;z/ibb74Zz+8Go9kWAipnKz4ZjTkDK12tbFvxr19Wr244wyhsLbSzUPEdIL9bvHwx730JU9c5XUNg&#10;BGKx7H3Fuxh9WRQoOzACR86DJWfjghGRtqEt6iB6Qje6mI7H10XvQu2Dk4BIp8uDkx8RwyWArmmU&#10;hKWTGwM2HlADaBGpJOyUR77IbJsGZPzUNAiR6YpTpTGvlITsdVqLxVyUbRC+U/JIQVxC4VlNRihL&#10;SU9QSxEF2wT1F5RRMjh0TRxJZ4pDIVkRqmIyfqbNfSc85FpIavQn0fH/wcqP28+Bqbri1HYrDDV8&#10;/+P7/ufv/a9v7DbJ03ssKereU1wc3riBhubxHOkwVT00waQ/1cPIT+LuTuLCEJmkw+nVzWQ6I5ck&#10;3/XN69lVVr/4c9sHjO/BGZaMigdqXtZUbD9gJCYU+hiSkqHTql4prfMmtOu3OrCtoEav8pdI0pUn&#10;YdqyvuK3s+mMeAia3oamhkzjSQG0bc735AaeA4/z9y/gRGwpsDsQyAgpTJRGRQjZ6kDU72zN4s6T&#10;ypYeF09kDNScaaC3mKwcGYXSl0RSddqmJJAn/ahSatihMcmKw3og0GSuXb2jJm58UG1HAuc2FslD&#10;w5W1Oj6ENL3ne7LPH//i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LgQRPZAAAACgEAAA8AAAAA&#10;AAAAAQAgAAAAIgAAAGRycy9kb3ducmV2LnhtbFBLAQIUABQAAAAIAIdO4kBc9iT8EwIAAEQEAAAO&#10;AAAAAAAAAAEAIAAAACgBAABkcnMvZTJvRG9jLnhtbFBLBQYAAAAABgAGAFkBAACtBQAAAAA=&#10;">
                <v:fill on="t" focussize="0,0"/>
                <v:stroke color="#000000" joinstyle="miter"/>
                <v:imagedata o:title=""/>
                <o:lock v:ext="edit" aspectratio="f"/>
                <v:textbox>
                  <w:txbxContent>
                    <w:p w14:paraId="6C006234">
                      <w:pPr>
                        <w:jc w:val="center"/>
                      </w:pPr>
                      <w:r>
                        <w:rPr>
                          <w:rFonts w:hint="eastAsia" w:ascii="宋体" w:hAnsi="宋体"/>
                          <w:sz w:val="24"/>
                        </w:rPr>
                        <w:t>委托代理人身份证复印件粘贴处</w:t>
                      </w:r>
                    </w:p>
                  </w:txbxContent>
                </v:textbox>
              </v:shape>
            </w:pict>
          </mc:Fallback>
        </mc:AlternateContent>
      </w:r>
    </w:p>
    <w:p w14:paraId="47E8A019">
      <w:pPr>
        <w:spacing w:line="360" w:lineRule="auto"/>
        <w:ind w:firstLine="480" w:firstLineChars="200"/>
        <w:jc w:val="left"/>
        <w:rPr>
          <w:rFonts w:hint="eastAsia" w:ascii="宋体" w:hAnsi="宋体"/>
          <w:sz w:val="24"/>
        </w:rPr>
      </w:pPr>
    </w:p>
    <w:p w14:paraId="4252CB5B">
      <w:pPr>
        <w:spacing w:line="360" w:lineRule="auto"/>
        <w:ind w:firstLine="480" w:firstLineChars="200"/>
        <w:jc w:val="left"/>
        <w:rPr>
          <w:rFonts w:hint="eastAsia" w:ascii="宋体" w:hAnsi="宋体"/>
          <w:sz w:val="24"/>
        </w:rPr>
      </w:pPr>
    </w:p>
    <w:p w14:paraId="7D502797">
      <w:pPr>
        <w:spacing w:line="360" w:lineRule="auto"/>
        <w:ind w:firstLine="480" w:firstLineChars="200"/>
        <w:jc w:val="left"/>
        <w:rPr>
          <w:rFonts w:hint="eastAsia" w:ascii="宋体" w:hAnsi="宋体"/>
          <w:sz w:val="24"/>
        </w:rPr>
      </w:pPr>
    </w:p>
    <w:p w14:paraId="070BBB47">
      <w:pPr>
        <w:spacing w:line="360" w:lineRule="auto"/>
        <w:ind w:firstLine="480" w:firstLineChars="200"/>
        <w:jc w:val="left"/>
        <w:rPr>
          <w:rFonts w:hint="eastAsia" w:ascii="宋体" w:hAnsi="宋体"/>
          <w:sz w:val="24"/>
        </w:rPr>
      </w:pPr>
    </w:p>
    <w:p w14:paraId="681C4A2A">
      <w:pPr>
        <w:spacing w:line="360" w:lineRule="auto"/>
        <w:ind w:firstLine="480" w:firstLineChars="200"/>
        <w:jc w:val="left"/>
        <w:rPr>
          <w:rFonts w:hint="eastAsia" w:ascii="宋体" w:hAnsi="宋体"/>
          <w:sz w:val="24"/>
        </w:rPr>
      </w:pPr>
    </w:p>
    <w:p w14:paraId="20561004">
      <w:pPr>
        <w:spacing w:line="360" w:lineRule="auto"/>
        <w:jc w:val="left"/>
        <w:rPr>
          <w:rFonts w:hint="eastAsia" w:ascii="宋体" w:hAnsi="宋体"/>
          <w:sz w:val="24"/>
        </w:rPr>
      </w:pPr>
    </w:p>
    <w:bookmarkEnd w:id="246"/>
    <w:p w14:paraId="20B12C5E">
      <w:pPr>
        <w:spacing w:line="360" w:lineRule="auto"/>
        <w:ind w:firstLine="480" w:firstLineChars="200"/>
        <w:rPr>
          <w:rFonts w:hint="eastAsia" w:ascii="宋体" w:hAnsi="宋体"/>
          <w:sz w:val="24"/>
        </w:rPr>
      </w:pPr>
      <w:r>
        <w:rPr>
          <w:rFonts w:hint="eastAsia" w:ascii="宋体" w:hAnsi="宋体"/>
          <w:sz w:val="24"/>
        </w:rPr>
        <w:t>供应商：</w:t>
      </w:r>
      <w:r>
        <w:rPr>
          <w:rFonts w:hint="eastAsia" w:ascii="宋体" w:hAnsi="宋体"/>
          <w:sz w:val="24"/>
          <w:u w:val="single"/>
        </w:rPr>
        <w:t xml:space="preserve">              </w:t>
      </w:r>
      <w:r>
        <w:rPr>
          <w:rFonts w:hint="eastAsia" w:ascii="宋体" w:hAnsi="宋体"/>
          <w:sz w:val="24"/>
        </w:rPr>
        <w:t xml:space="preserve">（企业电子签章） </w:t>
      </w:r>
    </w:p>
    <w:p w14:paraId="47FFCD7E">
      <w:pPr>
        <w:spacing w:line="360" w:lineRule="auto"/>
        <w:ind w:firstLine="480" w:firstLineChars="200"/>
        <w:rPr>
          <w:rFonts w:hint="eastAsia"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（签字或盖章）</w:t>
      </w:r>
    </w:p>
    <w:p w14:paraId="3B7B2F38">
      <w:pPr>
        <w:spacing w:line="360" w:lineRule="auto"/>
        <w:ind w:firstLine="480" w:firstLineChars="200"/>
        <w:rPr>
          <w:rFonts w:hint="eastAsia" w:ascii="宋体" w:hAnsi="宋体"/>
          <w:sz w:val="24"/>
        </w:rPr>
      </w:pPr>
      <w:r>
        <w:rPr>
          <w:rFonts w:hint="eastAsia" w:ascii="宋体" w:hAnsi="宋体"/>
          <w:sz w:val="24"/>
        </w:rPr>
        <w:t>委托代理人：</w:t>
      </w:r>
      <w:r>
        <w:rPr>
          <w:rFonts w:hint="eastAsia" w:ascii="宋体" w:hAnsi="宋体"/>
          <w:sz w:val="24"/>
          <w:u w:val="single"/>
        </w:rPr>
        <w:t xml:space="preserve">                </w:t>
      </w:r>
      <w:r>
        <w:rPr>
          <w:rFonts w:hint="eastAsia" w:ascii="宋体" w:hAnsi="宋体"/>
          <w:sz w:val="24"/>
        </w:rPr>
        <w:t>（签字或盖章）</w:t>
      </w:r>
    </w:p>
    <w:p w14:paraId="7FCF4604">
      <w:pPr>
        <w:pStyle w:val="35"/>
      </w:pPr>
    </w:p>
    <w:p w14:paraId="4DBDFD04">
      <w:pPr>
        <w:adjustRightInd w:val="0"/>
        <w:snapToGrid w:val="0"/>
        <w:spacing w:line="440" w:lineRule="exact"/>
        <w:ind w:firstLine="5400" w:firstLineChars="2250"/>
        <w:rPr>
          <w:rFonts w:hint="eastAsia" w:ascii="宋体" w:hAnsi="宋体" w:cs="宋体"/>
          <w:sz w:val="24"/>
        </w:rPr>
      </w:pPr>
      <w:r>
        <w:rPr>
          <w:rFonts w:hint="eastAsia" w:ascii="宋体" w:hAnsi="宋体" w:cs="宋体"/>
          <w:sz w:val="24"/>
        </w:rPr>
        <w:t>日期：  年   月    日</w:t>
      </w:r>
    </w:p>
    <w:p w14:paraId="0CA05C25">
      <w:pPr>
        <w:pStyle w:val="27"/>
        <w:widowControl w:val="0"/>
        <w:spacing w:before="120" w:beforeAutospacing="0" w:after="120" w:afterAutospacing="0" w:line="500" w:lineRule="exact"/>
        <w:ind w:right="29" w:rightChars="14"/>
        <w:jc w:val="center"/>
        <w:rPr>
          <w:rFonts w:hint="eastAsia" w:asciiTheme="minorEastAsia" w:hAnsiTheme="minorEastAsia" w:eastAsiaTheme="minorEastAsia" w:cstheme="minorEastAsia"/>
          <w:kern w:val="2"/>
          <w:sz w:val="30"/>
          <w:szCs w:val="30"/>
        </w:rPr>
      </w:pPr>
    </w:p>
    <w:p w14:paraId="7EFBBB2C">
      <w:pPr>
        <w:pStyle w:val="27"/>
        <w:widowControl w:val="0"/>
        <w:spacing w:before="120" w:beforeAutospacing="0" w:after="120" w:afterAutospacing="0" w:line="500" w:lineRule="exact"/>
        <w:ind w:right="29" w:rightChars="14"/>
        <w:jc w:val="both"/>
        <w:rPr>
          <w:rFonts w:hint="eastAsia" w:asciiTheme="minorEastAsia" w:hAnsiTheme="minorEastAsia" w:eastAsiaTheme="minorEastAsia" w:cstheme="minorEastAsia"/>
          <w:b/>
          <w:bCs/>
          <w:kern w:val="2"/>
          <w:sz w:val="30"/>
          <w:szCs w:val="30"/>
        </w:rPr>
      </w:pPr>
    </w:p>
    <w:p w14:paraId="1A488EFB">
      <w:pPr>
        <w:pStyle w:val="27"/>
        <w:widowControl w:val="0"/>
        <w:spacing w:before="120" w:beforeAutospacing="0" w:after="120" w:afterAutospacing="0" w:line="500" w:lineRule="exact"/>
        <w:ind w:right="29" w:rightChars="14"/>
        <w:jc w:val="center"/>
        <w:rPr>
          <w:rFonts w:hint="eastAsia" w:asciiTheme="minorEastAsia" w:hAnsiTheme="minorEastAsia" w:eastAsiaTheme="minorEastAsia" w:cstheme="minorEastAsia"/>
          <w:b/>
          <w:kern w:val="2"/>
          <w:sz w:val="30"/>
          <w:szCs w:val="30"/>
        </w:rPr>
      </w:pPr>
      <w:bookmarkStart w:id="298" w:name="_Toc25161"/>
      <w:bookmarkStart w:id="299" w:name="_Toc8304"/>
    </w:p>
    <w:p w14:paraId="6CA200BB">
      <w:pPr>
        <w:pStyle w:val="27"/>
        <w:widowControl w:val="0"/>
        <w:spacing w:before="120" w:beforeAutospacing="0" w:after="120" w:afterAutospacing="0" w:line="500" w:lineRule="exact"/>
        <w:ind w:right="29" w:rightChars="14"/>
        <w:jc w:val="center"/>
        <w:outlineLvl w:val="1"/>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kern w:val="2"/>
          <w:sz w:val="30"/>
          <w:szCs w:val="30"/>
        </w:rPr>
        <w:t>四、</w:t>
      </w:r>
      <w:bookmarkEnd w:id="298"/>
      <w:bookmarkEnd w:id="299"/>
      <w:r>
        <w:rPr>
          <w:rFonts w:hint="eastAsia" w:asciiTheme="minorEastAsia" w:hAnsiTheme="minorEastAsia" w:eastAsiaTheme="minorEastAsia" w:cstheme="minorEastAsia"/>
          <w:b/>
          <w:kern w:val="2"/>
          <w:sz w:val="30"/>
          <w:szCs w:val="30"/>
        </w:rPr>
        <w:t>项目实施方案等</w:t>
      </w:r>
    </w:p>
    <w:p w14:paraId="1E030610"/>
    <w:p w14:paraId="750C5EAA"/>
    <w:p w14:paraId="76988B34"/>
    <w:p w14:paraId="55213603">
      <w:pPr>
        <w:jc w:val="center"/>
      </w:pPr>
      <w:r>
        <w:rPr>
          <w:rFonts w:hint="eastAsia"/>
        </w:rPr>
        <w:t>格式自拟</w:t>
      </w:r>
    </w:p>
    <w:p w14:paraId="7621EF1F"/>
    <w:p w14:paraId="0EDF76E5"/>
    <w:p w14:paraId="2DE0E1C5"/>
    <w:p w14:paraId="27420D59"/>
    <w:p w14:paraId="2C06CD73"/>
    <w:p w14:paraId="1C047E82"/>
    <w:p w14:paraId="737610DF"/>
    <w:p w14:paraId="13723E70"/>
    <w:p w14:paraId="20D2193E"/>
    <w:p w14:paraId="371F2F19"/>
    <w:p w14:paraId="425EA82D"/>
    <w:p w14:paraId="446694DF"/>
    <w:p w14:paraId="2E6A16A4"/>
    <w:p w14:paraId="36F34D12"/>
    <w:p w14:paraId="2EE08DEC"/>
    <w:p w14:paraId="77B15D2A">
      <w:pPr>
        <w:rPr>
          <w:rFonts w:hint="eastAsia" w:ascii="宋体" w:hAnsi="宋体" w:cs="宋体"/>
          <w:sz w:val="24"/>
        </w:rPr>
      </w:pPr>
      <w:r>
        <w:rPr>
          <w:rFonts w:hint="eastAsia" w:ascii="宋体" w:hAnsi="宋体" w:cs="宋体"/>
          <w:sz w:val="24"/>
        </w:rPr>
        <w:br w:type="page"/>
      </w:r>
    </w:p>
    <w:p w14:paraId="6A500A91">
      <w:pPr>
        <w:spacing w:line="460" w:lineRule="exact"/>
        <w:jc w:val="center"/>
        <w:rPr>
          <w:rFonts w:hint="eastAsia" w:ascii="宋体" w:hAnsi="宋体" w:cs="宋体"/>
          <w:b/>
          <w:sz w:val="28"/>
          <w:szCs w:val="28"/>
        </w:rPr>
      </w:pPr>
      <w:r>
        <w:rPr>
          <w:rFonts w:hint="eastAsia" w:ascii="宋体" w:hAnsi="宋体" w:cs="宋体"/>
          <w:b/>
          <w:sz w:val="28"/>
          <w:szCs w:val="28"/>
        </w:rPr>
        <w:t>五、供应商资格证明承诺函</w:t>
      </w:r>
    </w:p>
    <w:p w14:paraId="1BB255B0">
      <w:pPr>
        <w:spacing w:line="460" w:lineRule="exact"/>
        <w:ind w:right="330" w:rightChars="157"/>
        <w:rPr>
          <w:sz w:val="24"/>
        </w:rPr>
      </w:pPr>
      <w:r>
        <w:rPr>
          <w:rFonts w:hint="eastAsia"/>
          <w:sz w:val="24"/>
        </w:rPr>
        <w:t xml:space="preserve">致（采购人） ： </w:t>
      </w:r>
    </w:p>
    <w:p w14:paraId="238E01D4">
      <w:pPr>
        <w:spacing w:line="460" w:lineRule="exact"/>
        <w:ind w:right="330" w:rightChars="157" w:firstLine="480" w:firstLineChars="200"/>
        <w:rPr>
          <w:sz w:val="24"/>
        </w:rPr>
      </w:pPr>
      <w:r>
        <w:rPr>
          <w:rFonts w:hint="eastAsia"/>
          <w:sz w:val="24"/>
        </w:rPr>
        <w:t>供应商名称：</w:t>
      </w:r>
      <w:r>
        <w:rPr>
          <w:rFonts w:hint="eastAsia" w:ascii="宋体" w:hAnsi="宋体" w:cs="宋体"/>
          <w:sz w:val="24"/>
          <w:u w:val="single"/>
        </w:rPr>
        <w:t xml:space="preserve">                             </w:t>
      </w:r>
      <w:r>
        <w:rPr>
          <w:rFonts w:hint="eastAsia"/>
          <w:sz w:val="24"/>
        </w:rPr>
        <w:t xml:space="preserve">                       </w:t>
      </w:r>
    </w:p>
    <w:p w14:paraId="19E8E108">
      <w:pPr>
        <w:spacing w:line="460" w:lineRule="exact"/>
        <w:ind w:right="330" w:rightChars="157" w:firstLine="480" w:firstLineChars="200"/>
        <w:rPr>
          <w:sz w:val="24"/>
        </w:rPr>
      </w:pPr>
      <w:r>
        <w:rPr>
          <w:rFonts w:hint="eastAsia"/>
          <w:sz w:val="24"/>
        </w:rPr>
        <w:t>统一社会信用代码：</w:t>
      </w:r>
      <w:r>
        <w:rPr>
          <w:rFonts w:hint="eastAsia"/>
          <w:sz w:val="24"/>
          <w:u w:val="single"/>
        </w:rPr>
        <w:t xml:space="preserve">                       </w:t>
      </w:r>
    </w:p>
    <w:p w14:paraId="160DC088">
      <w:pPr>
        <w:spacing w:line="460" w:lineRule="exact"/>
        <w:ind w:right="330" w:rightChars="157" w:firstLine="480" w:firstLineChars="200"/>
        <w:jc w:val="left"/>
        <w:rPr>
          <w:sz w:val="24"/>
          <w:u w:val="single"/>
        </w:rPr>
      </w:pPr>
      <w:r>
        <w:rPr>
          <w:rFonts w:hint="eastAsia"/>
          <w:sz w:val="24"/>
        </w:rPr>
        <w:t>供应商地址：</w:t>
      </w:r>
      <w:r>
        <w:rPr>
          <w:rFonts w:hint="eastAsia"/>
          <w:sz w:val="24"/>
          <w:u w:val="single"/>
        </w:rPr>
        <w:t xml:space="preserve">                              </w:t>
      </w:r>
    </w:p>
    <w:p w14:paraId="289FE5F8">
      <w:pPr>
        <w:spacing w:line="460" w:lineRule="exact"/>
        <w:ind w:right="330" w:rightChars="157" w:firstLine="480" w:firstLineChars="200"/>
        <w:rPr>
          <w:rFonts w:hint="eastAsia" w:ascii="宋体" w:hAnsi="宋体" w:cs="宋体"/>
          <w:sz w:val="24"/>
        </w:rPr>
      </w:pPr>
      <w:r>
        <w:rPr>
          <w:rFonts w:hint="eastAsia" w:ascii="宋体" w:hAnsi="宋体" w:cs="宋体"/>
          <w:sz w:val="24"/>
        </w:rPr>
        <w:t>我单位自愿参加本次政府采购活动，严格遵守《中华人民共和国政府采购法》及相关法律法规，依法诚信经营，无条件遵守本次政府采购活动的各项规定。我单位郑重承诺：</w:t>
      </w:r>
    </w:p>
    <w:p w14:paraId="1946164A">
      <w:pPr>
        <w:widowControl/>
        <w:spacing w:line="360" w:lineRule="auto"/>
        <w:ind w:firstLine="480" w:firstLineChars="200"/>
        <w:jc w:val="left"/>
        <w:rPr>
          <w:rFonts w:hint="eastAsia" w:ascii="宋体" w:hAnsi="宋体" w:cs="宋体"/>
          <w:sz w:val="24"/>
        </w:rPr>
      </w:pPr>
      <w:r>
        <w:rPr>
          <w:rFonts w:hint="eastAsia" w:asciiTheme="minorEastAsia" w:hAnsiTheme="minorEastAsia" w:eastAsiaTheme="minorEastAsia" w:cstheme="minorEastAsia"/>
          <w:sz w:val="24"/>
          <w:szCs w:val="21"/>
        </w:rPr>
        <w:t>一、我单位具有有效的营业执照（三证合一）；</w:t>
      </w:r>
    </w:p>
    <w:p w14:paraId="30D1DB64">
      <w:pPr>
        <w:spacing w:line="460" w:lineRule="exact"/>
        <w:ind w:right="330" w:rightChars="157" w:firstLine="480" w:firstLineChars="200"/>
        <w:rPr>
          <w:rFonts w:hint="eastAsia" w:ascii="宋体" w:hAnsi="宋体" w:cs="宋体"/>
          <w:sz w:val="24"/>
        </w:rPr>
      </w:pPr>
      <w:r>
        <w:rPr>
          <w:rFonts w:hint="eastAsia" w:ascii="宋体" w:hAnsi="宋体" w:cs="宋体"/>
          <w:sz w:val="24"/>
        </w:rPr>
        <w:t xml:space="preserve">二、我单位符合《中华人民共和国政府采购法》第二十二条规定的条件： </w:t>
      </w:r>
    </w:p>
    <w:p w14:paraId="7DDA623E">
      <w:pPr>
        <w:spacing w:line="460" w:lineRule="exact"/>
        <w:ind w:right="330" w:rightChars="157" w:firstLine="480" w:firstLineChars="200"/>
        <w:rPr>
          <w:rFonts w:hint="eastAsia" w:ascii="宋体" w:hAnsi="宋体" w:cs="宋体"/>
          <w:sz w:val="24"/>
        </w:rPr>
      </w:pPr>
      <w:r>
        <w:rPr>
          <w:rFonts w:hint="eastAsia" w:ascii="宋体" w:hAnsi="宋体" w:cs="宋体"/>
          <w:sz w:val="24"/>
        </w:rPr>
        <w:t>1.我单位具有符合采购文件资格要求独立承担民事责任的能力。</w:t>
      </w:r>
    </w:p>
    <w:p w14:paraId="3DF7D956">
      <w:pPr>
        <w:spacing w:line="460" w:lineRule="exact"/>
        <w:ind w:right="330" w:rightChars="157" w:firstLine="480" w:firstLineChars="200"/>
        <w:rPr>
          <w:rFonts w:hint="eastAsia" w:ascii="宋体" w:hAnsi="宋体" w:cs="宋体"/>
          <w:sz w:val="24"/>
        </w:rPr>
      </w:pPr>
      <w:r>
        <w:rPr>
          <w:rFonts w:hint="eastAsia" w:ascii="宋体" w:hAnsi="宋体" w:cs="宋体"/>
          <w:sz w:val="24"/>
        </w:rPr>
        <w:t xml:space="preserve">2.我单位具有符合采购文件资格要求的财务状况报告。 </w:t>
      </w:r>
    </w:p>
    <w:p w14:paraId="685998F9">
      <w:pPr>
        <w:spacing w:line="460" w:lineRule="exact"/>
        <w:ind w:right="330" w:rightChars="157" w:firstLine="480" w:firstLineChars="200"/>
        <w:rPr>
          <w:rFonts w:hint="eastAsia" w:ascii="宋体" w:hAnsi="宋体" w:cs="宋体"/>
          <w:sz w:val="24"/>
        </w:rPr>
      </w:pPr>
      <w:r>
        <w:rPr>
          <w:rFonts w:hint="eastAsia" w:ascii="宋体" w:hAnsi="宋体" w:cs="宋体"/>
          <w:sz w:val="24"/>
        </w:rPr>
        <w:t xml:space="preserve">3.我单位具有符合采购文件资格要求的依法缴纳税收和社会保障记录的良好记录。 </w:t>
      </w:r>
    </w:p>
    <w:p w14:paraId="504E7567">
      <w:pPr>
        <w:spacing w:line="460" w:lineRule="exact"/>
        <w:ind w:right="330" w:rightChars="157" w:firstLine="480" w:firstLineChars="200"/>
        <w:rPr>
          <w:rFonts w:hint="eastAsia" w:ascii="宋体" w:hAnsi="宋体" w:cs="宋体"/>
          <w:sz w:val="24"/>
        </w:rPr>
      </w:pPr>
      <w:r>
        <w:rPr>
          <w:rFonts w:hint="eastAsia" w:ascii="宋体" w:hAnsi="宋体" w:cs="宋体"/>
          <w:sz w:val="24"/>
        </w:rPr>
        <w:t xml:space="preserve">4.我单位具有符合采购文件资格要求履行合同所必需的设备和专业技术能力。 </w:t>
      </w:r>
    </w:p>
    <w:p w14:paraId="6CFACE4D">
      <w:pPr>
        <w:spacing w:line="460" w:lineRule="exact"/>
        <w:ind w:right="330" w:rightChars="157"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6CC950AA">
      <w:pPr>
        <w:spacing w:line="460" w:lineRule="exact"/>
        <w:ind w:right="330" w:rightChars="157" w:firstLine="480" w:firstLineChars="200"/>
        <w:rPr>
          <w:sz w:val="24"/>
        </w:rPr>
      </w:pPr>
      <w:r>
        <w:rPr>
          <w:rFonts w:hint="eastAsia" w:ascii="宋体" w:hAnsi="宋体" w:cs="宋体"/>
          <w:sz w:val="24"/>
        </w:rPr>
        <w:t>若我单位承诺不实，自愿承担提供虚假</w:t>
      </w:r>
      <w:r>
        <w:rPr>
          <w:rFonts w:hint="eastAsia"/>
          <w:sz w:val="24"/>
        </w:rPr>
        <w:t>材料谋取中标、成交的法律责任。</w:t>
      </w:r>
    </w:p>
    <w:p w14:paraId="02286ACB">
      <w:pPr>
        <w:spacing w:line="460" w:lineRule="exact"/>
        <w:ind w:right="330" w:rightChars="157" w:firstLine="480" w:firstLineChars="200"/>
        <w:rPr>
          <w:sz w:val="24"/>
        </w:rPr>
      </w:pPr>
    </w:p>
    <w:p w14:paraId="6395A9E9">
      <w:pPr>
        <w:spacing w:line="460" w:lineRule="exact"/>
        <w:ind w:right="330" w:rightChars="157" w:firstLine="3120" w:firstLineChars="1300"/>
        <w:rPr>
          <w:sz w:val="24"/>
        </w:rPr>
      </w:pPr>
      <w:r>
        <w:rPr>
          <w:rFonts w:hint="eastAsia"/>
          <w:sz w:val="24"/>
        </w:rPr>
        <w:t xml:space="preserve">承诺供应商（全称并加盖公章）： </w:t>
      </w:r>
    </w:p>
    <w:p w14:paraId="7FA44A60">
      <w:pPr>
        <w:spacing w:line="460" w:lineRule="exact"/>
        <w:ind w:right="330" w:rightChars="157" w:firstLine="3120" w:firstLineChars="1300"/>
        <w:rPr>
          <w:sz w:val="24"/>
        </w:rPr>
      </w:pPr>
      <w:r>
        <w:rPr>
          <w:rFonts w:hint="eastAsia"/>
          <w:sz w:val="24"/>
        </w:rPr>
        <w:t>法定代表人或授权代表</w:t>
      </w:r>
      <w:r>
        <w:rPr>
          <w:rFonts w:hint="eastAsia" w:ascii="宋体" w:hAnsi="宋体" w:cs="宋体"/>
          <w:sz w:val="24"/>
        </w:rPr>
        <w:t>(签字或签章)</w:t>
      </w:r>
      <w:r>
        <w:rPr>
          <w:rFonts w:hint="eastAsia"/>
          <w:sz w:val="24"/>
        </w:rPr>
        <w:t xml:space="preserve">： </w:t>
      </w:r>
    </w:p>
    <w:p w14:paraId="5CC649F2">
      <w:pPr>
        <w:spacing w:line="460" w:lineRule="exact"/>
        <w:ind w:right="330" w:rightChars="157" w:firstLine="4800" w:firstLineChars="2000"/>
        <w:rPr>
          <w:sz w:val="24"/>
        </w:rPr>
      </w:pPr>
      <w:r>
        <w:rPr>
          <w:rFonts w:hint="eastAsia"/>
          <w:sz w:val="24"/>
        </w:rPr>
        <w:t xml:space="preserve">日期： 年 月 日 </w:t>
      </w:r>
    </w:p>
    <w:p w14:paraId="3E0FB988">
      <w:pPr>
        <w:spacing w:line="460" w:lineRule="exact"/>
        <w:ind w:right="330" w:rightChars="157" w:firstLine="480" w:firstLineChars="200"/>
        <w:rPr>
          <w:sz w:val="24"/>
        </w:rPr>
      </w:pPr>
    </w:p>
    <w:p w14:paraId="7C4D7077">
      <w:pPr>
        <w:pStyle w:val="10"/>
        <w:spacing w:line="440" w:lineRule="exact"/>
        <w:ind w:firstLine="241" w:firstLineChars="100"/>
        <w:jc w:val="left"/>
        <w:rPr>
          <w:rFonts w:hint="eastAsia" w:ascii="宋体" w:hAnsi="宋体" w:cs="宋体"/>
          <w:sz w:val="24"/>
        </w:rPr>
      </w:pPr>
      <w:r>
        <w:rPr>
          <w:rFonts w:hint="eastAsia" w:ascii="宋体" w:hAnsi="宋体" w:cs="宋体"/>
          <w:sz w:val="24"/>
        </w:rPr>
        <w:t>注：供应商须在投标文件中按此模板提供承诺函，未提供视为未实质性响应招标文件要求，按无效投标处理。</w:t>
      </w:r>
    </w:p>
    <w:p w14:paraId="41E0922C">
      <w:pPr>
        <w:rPr>
          <w:rFonts w:hint="eastAsia" w:ascii="宋体" w:hAnsi="宋体" w:cs="宋体"/>
          <w:sz w:val="24"/>
        </w:rPr>
      </w:pPr>
    </w:p>
    <w:p w14:paraId="5F546F16">
      <w:pPr>
        <w:pStyle w:val="29"/>
        <w:ind w:firstLine="320"/>
        <w:rPr>
          <w:rFonts w:hint="default"/>
        </w:rPr>
      </w:pPr>
    </w:p>
    <w:p w14:paraId="4536754F">
      <w:pPr>
        <w:pStyle w:val="7"/>
        <w:ind w:firstLine="0" w:firstLineChars="0"/>
      </w:pPr>
    </w:p>
    <w:p w14:paraId="553F3B21">
      <w:pPr>
        <w:pStyle w:val="27"/>
        <w:widowControl w:val="0"/>
        <w:tabs>
          <w:tab w:val="left" w:pos="0"/>
        </w:tabs>
        <w:spacing w:before="120" w:beforeAutospacing="0" w:after="120" w:afterAutospacing="0" w:line="500" w:lineRule="exact"/>
        <w:ind w:right="29" w:rightChars="14"/>
        <w:jc w:val="both"/>
        <w:rPr>
          <w:rFonts w:hint="eastAsia" w:asciiTheme="minorEastAsia" w:hAnsiTheme="minorEastAsia" w:eastAsiaTheme="minorEastAsia" w:cstheme="minorEastAsia"/>
          <w:b/>
          <w:kern w:val="2"/>
          <w:sz w:val="30"/>
          <w:szCs w:val="30"/>
        </w:rPr>
      </w:pPr>
      <w:bookmarkStart w:id="300" w:name="_Toc8330"/>
      <w:bookmarkStart w:id="301" w:name="_Toc6465"/>
      <w:bookmarkStart w:id="302" w:name="_Toc31553"/>
    </w:p>
    <w:p w14:paraId="75CC3C3F">
      <w:pPr>
        <w:pStyle w:val="27"/>
        <w:widowControl w:val="0"/>
        <w:tabs>
          <w:tab w:val="left" w:pos="0"/>
        </w:tabs>
        <w:spacing w:before="120" w:beforeAutospacing="0" w:after="120" w:afterAutospacing="0" w:line="500" w:lineRule="exact"/>
        <w:ind w:right="29" w:rightChars="14"/>
        <w:jc w:val="center"/>
        <w:outlineLvl w:val="1"/>
        <w:rPr>
          <w:rFonts w:hint="eastAsia" w:asciiTheme="minorEastAsia" w:hAnsiTheme="minorEastAsia" w:eastAsiaTheme="minorEastAsia" w:cstheme="minorEastAsia"/>
          <w:b/>
          <w:kern w:val="2"/>
          <w:sz w:val="30"/>
          <w:szCs w:val="30"/>
        </w:rPr>
      </w:pPr>
      <w:bookmarkStart w:id="303" w:name="_Toc4390"/>
      <w:r>
        <w:rPr>
          <w:rFonts w:hint="eastAsia" w:asciiTheme="minorEastAsia" w:hAnsiTheme="minorEastAsia" w:eastAsiaTheme="minorEastAsia" w:cstheme="minorEastAsia"/>
          <w:b/>
          <w:kern w:val="2"/>
          <w:sz w:val="30"/>
          <w:szCs w:val="30"/>
        </w:rPr>
        <w:t>六、供应商服务承诺和优惠承诺</w:t>
      </w:r>
      <w:bookmarkEnd w:id="303"/>
    </w:p>
    <w:p w14:paraId="3730463B">
      <w:pPr>
        <w:pStyle w:val="27"/>
        <w:widowControl w:val="0"/>
        <w:tabs>
          <w:tab w:val="left" w:pos="0"/>
        </w:tabs>
        <w:spacing w:before="120" w:beforeAutospacing="0" w:after="120" w:afterAutospacing="0" w:line="500" w:lineRule="exact"/>
        <w:ind w:right="29" w:rightChars="14"/>
        <w:jc w:val="center"/>
        <w:rPr>
          <w:rFonts w:hint="eastAsia" w:asciiTheme="minorEastAsia" w:hAnsiTheme="minorEastAsia" w:eastAsiaTheme="minorEastAsia" w:cstheme="minorEastAsia"/>
          <w:b/>
          <w:kern w:val="2"/>
          <w:sz w:val="30"/>
          <w:szCs w:val="30"/>
        </w:rPr>
      </w:pPr>
    </w:p>
    <w:p w14:paraId="52031D53">
      <w:pPr>
        <w:pStyle w:val="27"/>
        <w:widowControl w:val="0"/>
        <w:tabs>
          <w:tab w:val="left" w:pos="0"/>
        </w:tabs>
        <w:spacing w:before="120" w:beforeAutospacing="0" w:after="120" w:afterAutospacing="0" w:line="500" w:lineRule="exact"/>
        <w:ind w:right="29" w:rightChars="14"/>
        <w:jc w:val="center"/>
        <w:rPr>
          <w:rFonts w:hint="eastAsia" w:asciiTheme="minorEastAsia" w:hAnsiTheme="minorEastAsia" w:eastAsiaTheme="minorEastAsia" w:cstheme="minorEastAsia"/>
          <w:b/>
          <w:kern w:val="2"/>
          <w:sz w:val="30"/>
          <w:szCs w:val="30"/>
        </w:rPr>
      </w:pPr>
    </w:p>
    <w:p w14:paraId="5C88D576">
      <w:pPr>
        <w:pStyle w:val="27"/>
        <w:widowControl w:val="0"/>
        <w:tabs>
          <w:tab w:val="left" w:pos="0"/>
        </w:tabs>
        <w:spacing w:before="120" w:beforeAutospacing="0" w:after="120" w:afterAutospacing="0" w:line="500" w:lineRule="exact"/>
        <w:ind w:right="29" w:rightChars="14"/>
        <w:jc w:val="center"/>
        <w:rPr>
          <w:rFonts w:hint="eastAsia" w:asciiTheme="minorEastAsia" w:hAnsiTheme="minorEastAsia" w:eastAsiaTheme="minorEastAsia" w:cstheme="minorEastAsia"/>
          <w:b/>
          <w:kern w:val="2"/>
          <w:sz w:val="30"/>
          <w:szCs w:val="30"/>
        </w:rPr>
      </w:pPr>
    </w:p>
    <w:p w14:paraId="087207AE">
      <w:pPr>
        <w:pStyle w:val="27"/>
        <w:widowControl w:val="0"/>
        <w:tabs>
          <w:tab w:val="left" w:pos="0"/>
        </w:tabs>
        <w:spacing w:before="120" w:beforeAutospacing="0" w:after="120" w:afterAutospacing="0" w:line="500" w:lineRule="exact"/>
        <w:ind w:right="29" w:rightChars="14"/>
        <w:jc w:val="center"/>
        <w:rPr>
          <w:rFonts w:hint="eastAsia" w:asciiTheme="minorEastAsia" w:hAnsiTheme="minorEastAsia" w:eastAsiaTheme="minorEastAsia" w:cstheme="minorEastAsia"/>
          <w:b/>
          <w:kern w:val="2"/>
          <w:sz w:val="30"/>
          <w:szCs w:val="30"/>
        </w:rPr>
      </w:pPr>
    </w:p>
    <w:p w14:paraId="199D62B3">
      <w:pPr>
        <w:pStyle w:val="27"/>
        <w:widowControl w:val="0"/>
        <w:tabs>
          <w:tab w:val="left" w:pos="0"/>
        </w:tabs>
        <w:spacing w:before="120" w:beforeAutospacing="0" w:after="120" w:afterAutospacing="0" w:line="500" w:lineRule="exact"/>
        <w:ind w:right="29" w:rightChars="14"/>
        <w:jc w:val="center"/>
        <w:rPr>
          <w:rFonts w:hint="eastAsia" w:asciiTheme="minorEastAsia" w:hAnsiTheme="minorEastAsia" w:eastAsiaTheme="minorEastAsia" w:cstheme="minorEastAsia"/>
          <w:b/>
          <w:kern w:val="2"/>
          <w:sz w:val="30"/>
          <w:szCs w:val="30"/>
        </w:rPr>
      </w:pPr>
    </w:p>
    <w:p w14:paraId="45E02141">
      <w:pPr>
        <w:pStyle w:val="27"/>
        <w:widowControl w:val="0"/>
        <w:tabs>
          <w:tab w:val="left" w:pos="0"/>
        </w:tabs>
        <w:spacing w:before="120" w:beforeAutospacing="0" w:after="120" w:afterAutospacing="0" w:line="500" w:lineRule="exact"/>
        <w:ind w:right="29" w:rightChars="14"/>
        <w:jc w:val="center"/>
        <w:rPr>
          <w:rFonts w:hint="eastAsia" w:asciiTheme="minorEastAsia" w:hAnsiTheme="minorEastAsia" w:eastAsiaTheme="minorEastAsia" w:cstheme="minorEastAsia"/>
          <w:b/>
          <w:kern w:val="2"/>
          <w:sz w:val="30"/>
          <w:szCs w:val="30"/>
        </w:rPr>
      </w:pPr>
    </w:p>
    <w:p w14:paraId="4268853E">
      <w:pPr>
        <w:pStyle w:val="27"/>
        <w:widowControl w:val="0"/>
        <w:tabs>
          <w:tab w:val="left" w:pos="0"/>
        </w:tabs>
        <w:spacing w:before="120" w:beforeAutospacing="0" w:after="120" w:afterAutospacing="0" w:line="500" w:lineRule="exact"/>
        <w:ind w:right="29" w:rightChars="14"/>
        <w:jc w:val="center"/>
        <w:rPr>
          <w:rFonts w:hint="eastAsia" w:asciiTheme="minorEastAsia" w:hAnsiTheme="minorEastAsia" w:eastAsiaTheme="minorEastAsia" w:cstheme="minorEastAsia"/>
          <w:b/>
          <w:kern w:val="2"/>
          <w:sz w:val="30"/>
          <w:szCs w:val="30"/>
        </w:rPr>
      </w:pPr>
    </w:p>
    <w:p w14:paraId="3ECC7211">
      <w:pPr>
        <w:pStyle w:val="27"/>
        <w:widowControl w:val="0"/>
        <w:tabs>
          <w:tab w:val="left" w:pos="0"/>
        </w:tabs>
        <w:spacing w:before="120" w:beforeAutospacing="0" w:after="120" w:afterAutospacing="0" w:line="500" w:lineRule="exact"/>
        <w:ind w:right="29" w:rightChars="14"/>
        <w:jc w:val="center"/>
        <w:rPr>
          <w:rFonts w:hint="eastAsia" w:asciiTheme="minorEastAsia" w:hAnsiTheme="minorEastAsia" w:eastAsiaTheme="minorEastAsia" w:cstheme="minorEastAsia"/>
          <w:b/>
          <w:kern w:val="2"/>
          <w:sz w:val="30"/>
          <w:szCs w:val="30"/>
        </w:rPr>
      </w:pPr>
    </w:p>
    <w:p w14:paraId="4440C826">
      <w:pPr>
        <w:pStyle w:val="27"/>
        <w:widowControl w:val="0"/>
        <w:tabs>
          <w:tab w:val="left" w:pos="0"/>
        </w:tabs>
        <w:spacing w:before="120" w:beforeAutospacing="0" w:after="120" w:afterAutospacing="0" w:line="500" w:lineRule="exact"/>
        <w:ind w:right="29" w:rightChars="14"/>
        <w:jc w:val="center"/>
        <w:rPr>
          <w:rFonts w:hint="eastAsia" w:asciiTheme="minorEastAsia" w:hAnsiTheme="minorEastAsia" w:eastAsiaTheme="minorEastAsia" w:cstheme="minorEastAsia"/>
          <w:b/>
          <w:kern w:val="2"/>
          <w:sz w:val="30"/>
          <w:szCs w:val="30"/>
        </w:rPr>
      </w:pPr>
    </w:p>
    <w:p w14:paraId="044B28B5">
      <w:pPr>
        <w:spacing w:line="360" w:lineRule="auto"/>
        <w:rPr>
          <w:rFonts w:hint="eastAsia" w:ascii="宋体" w:hAnsi="宋体" w:cs="宋体"/>
          <w:sz w:val="24"/>
        </w:rPr>
      </w:pPr>
      <w:bookmarkStart w:id="304" w:name="_Toc700"/>
    </w:p>
    <w:p w14:paraId="5265657E">
      <w:pPr>
        <w:pStyle w:val="35"/>
        <w:rPr>
          <w:rFonts w:hint="eastAsia" w:ascii="宋体" w:hAnsi="宋体" w:cs="宋体"/>
        </w:rPr>
      </w:pPr>
    </w:p>
    <w:p w14:paraId="16F38664">
      <w:pPr>
        <w:pStyle w:val="36"/>
        <w:rPr>
          <w:rFonts w:hint="eastAsia" w:ascii="宋体" w:hAnsi="宋体" w:cs="宋体"/>
          <w:color w:val="auto"/>
        </w:rPr>
      </w:pPr>
    </w:p>
    <w:p w14:paraId="17776839">
      <w:pPr>
        <w:pStyle w:val="37"/>
        <w:rPr>
          <w:rFonts w:hint="eastAsia" w:ascii="宋体" w:hAnsi="宋体" w:eastAsia="宋体" w:cs="宋体"/>
          <w:sz w:val="24"/>
        </w:rPr>
      </w:pPr>
    </w:p>
    <w:p w14:paraId="5AE60788">
      <w:pPr>
        <w:pStyle w:val="38"/>
        <w:rPr>
          <w:rFonts w:hint="eastAsia" w:ascii="宋体" w:hAnsi="宋体" w:cs="宋体"/>
          <w:sz w:val="24"/>
        </w:rPr>
      </w:pPr>
    </w:p>
    <w:p w14:paraId="45BBC86B">
      <w:pPr>
        <w:rPr>
          <w:rFonts w:hint="eastAsia" w:ascii="宋体" w:hAnsi="宋体" w:cs="宋体"/>
          <w:sz w:val="24"/>
        </w:rPr>
      </w:pPr>
    </w:p>
    <w:p w14:paraId="50048CCF">
      <w:pPr>
        <w:pStyle w:val="35"/>
        <w:rPr>
          <w:rFonts w:hint="eastAsia" w:ascii="宋体" w:hAnsi="宋体" w:cs="宋体"/>
        </w:rPr>
      </w:pPr>
    </w:p>
    <w:p w14:paraId="599AB62B">
      <w:pPr>
        <w:pStyle w:val="36"/>
        <w:rPr>
          <w:rFonts w:hint="eastAsia" w:ascii="宋体" w:hAnsi="宋体" w:cs="宋体"/>
          <w:color w:val="auto"/>
        </w:rPr>
      </w:pPr>
    </w:p>
    <w:p w14:paraId="1F4B68B7">
      <w:pPr>
        <w:pStyle w:val="37"/>
        <w:rPr>
          <w:rFonts w:hint="eastAsia" w:ascii="宋体" w:hAnsi="宋体" w:eastAsia="宋体" w:cs="宋体"/>
          <w:sz w:val="24"/>
        </w:rPr>
      </w:pPr>
    </w:p>
    <w:p w14:paraId="2AFCE6D5">
      <w:pPr>
        <w:pStyle w:val="38"/>
      </w:pPr>
    </w:p>
    <w:p w14:paraId="4330559E">
      <w:pPr>
        <w:pStyle w:val="27"/>
        <w:widowControl w:val="0"/>
        <w:tabs>
          <w:tab w:val="left" w:pos="0"/>
        </w:tabs>
        <w:spacing w:before="120" w:beforeAutospacing="0" w:after="120" w:afterAutospacing="0" w:line="500" w:lineRule="exact"/>
        <w:ind w:right="29" w:rightChars="14"/>
        <w:jc w:val="both"/>
        <w:outlineLvl w:val="1"/>
        <w:rPr>
          <w:rFonts w:hint="eastAsia" w:asciiTheme="minorEastAsia" w:hAnsiTheme="minorEastAsia" w:eastAsiaTheme="minorEastAsia" w:cstheme="minorEastAsia"/>
          <w:b/>
          <w:kern w:val="2"/>
          <w:sz w:val="30"/>
          <w:szCs w:val="30"/>
        </w:rPr>
      </w:pPr>
    </w:p>
    <w:p w14:paraId="305158E1">
      <w:pPr>
        <w:pStyle w:val="27"/>
        <w:widowControl w:val="0"/>
        <w:tabs>
          <w:tab w:val="left" w:pos="0"/>
        </w:tabs>
        <w:spacing w:before="120" w:beforeAutospacing="0" w:after="120" w:afterAutospacing="0" w:line="500" w:lineRule="exact"/>
        <w:ind w:right="29" w:rightChars="14"/>
        <w:jc w:val="both"/>
        <w:outlineLvl w:val="1"/>
        <w:rPr>
          <w:rFonts w:hint="eastAsia" w:asciiTheme="minorEastAsia" w:hAnsiTheme="minorEastAsia" w:eastAsiaTheme="minorEastAsia" w:cstheme="minorEastAsia"/>
          <w:b/>
          <w:kern w:val="2"/>
          <w:sz w:val="30"/>
          <w:szCs w:val="30"/>
        </w:rPr>
      </w:pPr>
    </w:p>
    <w:p w14:paraId="3BCB7858">
      <w:pPr>
        <w:pStyle w:val="27"/>
        <w:widowControl w:val="0"/>
        <w:tabs>
          <w:tab w:val="left" w:pos="0"/>
        </w:tabs>
        <w:spacing w:before="120" w:beforeAutospacing="0" w:after="120" w:afterAutospacing="0" w:line="500" w:lineRule="exact"/>
        <w:ind w:right="29" w:rightChars="14"/>
        <w:jc w:val="both"/>
        <w:outlineLvl w:val="1"/>
        <w:rPr>
          <w:rFonts w:hint="eastAsia" w:asciiTheme="minorEastAsia" w:hAnsiTheme="minorEastAsia" w:eastAsiaTheme="minorEastAsia" w:cstheme="minorEastAsia"/>
          <w:b/>
          <w:kern w:val="2"/>
          <w:sz w:val="30"/>
          <w:szCs w:val="30"/>
        </w:rPr>
      </w:pPr>
    </w:p>
    <w:p w14:paraId="07D4A230">
      <w:pPr>
        <w:pStyle w:val="27"/>
        <w:widowControl w:val="0"/>
        <w:tabs>
          <w:tab w:val="left" w:pos="0"/>
        </w:tabs>
        <w:spacing w:before="120" w:beforeAutospacing="0" w:after="120" w:afterAutospacing="0" w:line="500" w:lineRule="exact"/>
        <w:ind w:right="29" w:rightChars="14"/>
        <w:jc w:val="both"/>
        <w:outlineLvl w:val="1"/>
        <w:rPr>
          <w:rFonts w:hint="eastAsia" w:asciiTheme="minorEastAsia" w:hAnsiTheme="minorEastAsia" w:eastAsiaTheme="minorEastAsia" w:cstheme="minorEastAsia"/>
          <w:b/>
          <w:kern w:val="2"/>
          <w:sz w:val="30"/>
          <w:szCs w:val="30"/>
        </w:rPr>
      </w:pPr>
    </w:p>
    <w:p w14:paraId="035EB33A">
      <w:pPr>
        <w:pStyle w:val="27"/>
        <w:widowControl w:val="0"/>
        <w:tabs>
          <w:tab w:val="left" w:pos="0"/>
        </w:tabs>
        <w:spacing w:before="120" w:beforeAutospacing="0" w:after="120" w:afterAutospacing="0" w:line="500" w:lineRule="exact"/>
        <w:ind w:right="29" w:rightChars="14"/>
        <w:jc w:val="both"/>
        <w:outlineLvl w:val="1"/>
        <w:rPr>
          <w:rFonts w:hint="eastAsia" w:asciiTheme="minorEastAsia" w:hAnsiTheme="minorEastAsia" w:eastAsiaTheme="minorEastAsia" w:cstheme="minorEastAsia"/>
          <w:b/>
          <w:kern w:val="2"/>
          <w:sz w:val="30"/>
          <w:szCs w:val="30"/>
        </w:rPr>
      </w:pPr>
    </w:p>
    <w:p w14:paraId="630E7CDA">
      <w:pPr>
        <w:pStyle w:val="27"/>
        <w:widowControl w:val="0"/>
        <w:tabs>
          <w:tab w:val="left" w:pos="0"/>
        </w:tabs>
        <w:spacing w:before="120" w:beforeAutospacing="0" w:after="120" w:afterAutospacing="0" w:line="500" w:lineRule="exact"/>
        <w:ind w:right="29" w:rightChars="14"/>
        <w:jc w:val="both"/>
        <w:outlineLvl w:val="1"/>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kern w:val="2"/>
          <w:sz w:val="30"/>
          <w:szCs w:val="30"/>
        </w:rPr>
        <w:t>七、供应商所投产品属于当期政府采购清单规定的节能环保产品的</w:t>
      </w:r>
      <w:bookmarkEnd w:id="300"/>
      <w:bookmarkEnd w:id="304"/>
    </w:p>
    <w:p w14:paraId="3DD8ADA8">
      <w:pPr>
        <w:pStyle w:val="27"/>
        <w:widowControl w:val="0"/>
        <w:spacing w:before="120" w:beforeAutospacing="0" w:after="120" w:afterAutospacing="0" w:line="500" w:lineRule="exact"/>
        <w:ind w:right="29" w:rightChars="14"/>
        <w:jc w:val="center"/>
        <w:outlineLvl w:val="1"/>
        <w:rPr>
          <w:rFonts w:hint="eastAsia" w:asciiTheme="minorEastAsia" w:hAnsiTheme="minorEastAsia" w:eastAsiaTheme="minorEastAsia" w:cstheme="minorEastAsia"/>
          <w:sz w:val="30"/>
          <w:szCs w:val="30"/>
        </w:rPr>
      </w:pPr>
      <w:bookmarkStart w:id="305" w:name="_Toc18925"/>
      <w:bookmarkStart w:id="306" w:name="_Toc28422"/>
      <w:bookmarkStart w:id="307" w:name="_Toc24210"/>
      <w:bookmarkStart w:id="308" w:name="_Toc21287"/>
      <w:r>
        <w:rPr>
          <w:rFonts w:hint="eastAsia" w:asciiTheme="minorEastAsia" w:hAnsiTheme="minorEastAsia" w:eastAsiaTheme="minorEastAsia" w:cstheme="minorEastAsia"/>
          <w:b/>
          <w:kern w:val="2"/>
          <w:sz w:val="30"/>
          <w:szCs w:val="30"/>
        </w:rPr>
        <w:t>证明材料</w:t>
      </w:r>
      <w:bookmarkEnd w:id="301"/>
      <w:bookmarkEnd w:id="305"/>
      <w:bookmarkEnd w:id="306"/>
      <w:bookmarkEnd w:id="307"/>
      <w:r>
        <w:rPr>
          <w:rFonts w:hint="eastAsia" w:asciiTheme="minorEastAsia" w:hAnsiTheme="minorEastAsia" w:eastAsiaTheme="minorEastAsia" w:cstheme="minorEastAsia"/>
          <w:b/>
          <w:kern w:val="2"/>
          <w:sz w:val="30"/>
          <w:szCs w:val="30"/>
        </w:rPr>
        <w:t>（如有）</w:t>
      </w:r>
      <w:bookmarkEnd w:id="308"/>
    </w:p>
    <w:p w14:paraId="3C8AE68A">
      <w:pPr>
        <w:pStyle w:val="27"/>
        <w:widowControl w:val="0"/>
        <w:spacing w:before="120" w:beforeAutospacing="0" w:after="120" w:afterAutospacing="0" w:line="500" w:lineRule="exact"/>
        <w:ind w:right="29" w:rightChars="14"/>
        <w:jc w:val="center"/>
        <w:rPr>
          <w:rFonts w:hint="eastAsia" w:asciiTheme="minorEastAsia" w:hAnsiTheme="minorEastAsia" w:eastAsiaTheme="minorEastAsia" w:cstheme="minorEastAsia"/>
          <w:sz w:val="30"/>
          <w:szCs w:val="30"/>
        </w:rPr>
      </w:pPr>
    </w:p>
    <w:p w14:paraId="37BB142D">
      <w:pPr>
        <w:pStyle w:val="27"/>
        <w:widowControl w:val="0"/>
        <w:spacing w:before="120" w:beforeAutospacing="0" w:after="120" w:afterAutospacing="0" w:line="500" w:lineRule="exact"/>
        <w:ind w:right="29" w:rightChars="14"/>
        <w:jc w:val="center"/>
        <w:rPr>
          <w:rFonts w:hint="eastAsia" w:asciiTheme="minorEastAsia" w:hAnsiTheme="minorEastAsia" w:eastAsiaTheme="minorEastAsia" w:cstheme="minorEastAsia"/>
          <w:sz w:val="30"/>
          <w:szCs w:val="30"/>
        </w:rPr>
      </w:pPr>
    </w:p>
    <w:p w14:paraId="1F01C63C">
      <w:pPr>
        <w:pStyle w:val="27"/>
        <w:widowControl w:val="0"/>
        <w:spacing w:before="120" w:beforeAutospacing="0" w:after="120" w:afterAutospacing="0" w:line="500" w:lineRule="exact"/>
        <w:ind w:right="29" w:rightChars="14"/>
        <w:jc w:val="center"/>
        <w:rPr>
          <w:rFonts w:hint="eastAsia" w:asciiTheme="minorEastAsia" w:hAnsiTheme="minorEastAsia" w:eastAsiaTheme="minorEastAsia" w:cstheme="minorEastAsia"/>
          <w:sz w:val="30"/>
          <w:szCs w:val="30"/>
        </w:rPr>
      </w:pPr>
    </w:p>
    <w:p w14:paraId="221EB501">
      <w:pPr>
        <w:pStyle w:val="27"/>
        <w:widowControl w:val="0"/>
        <w:spacing w:before="120" w:beforeAutospacing="0" w:after="120" w:afterAutospacing="0" w:line="500" w:lineRule="exact"/>
        <w:ind w:right="29" w:rightChars="14"/>
        <w:jc w:val="center"/>
        <w:rPr>
          <w:rFonts w:hint="eastAsia" w:asciiTheme="minorEastAsia" w:hAnsiTheme="minorEastAsia" w:eastAsiaTheme="minorEastAsia" w:cstheme="minorEastAsia"/>
          <w:sz w:val="30"/>
          <w:szCs w:val="30"/>
        </w:rPr>
      </w:pPr>
    </w:p>
    <w:p w14:paraId="0F12AC9A">
      <w:pPr>
        <w:pStyle w:val="27"/>
        <w:widowControl w:val="0"/>
        <w:spacing w:before="120" w:beforeAutospacing="0" w:after="120" w:afterAutospacing="0" w:line="500" w:lineRule="exact"/>
        <w:ind w:right="29" w:rightChars="14"/>
        <w:jc w:val="center"/>
        <w:rPr>
          <w:rFonts w:hint="eastAsia" w:asciiTheme="minorEastAsia" w:hAnsiTheme="minorEastAsia" w:eastAsiaTheme="minorEastAsia" w:cstheme="minorEastAsia"/>
          <w:sz w:val="30"/>
          <w:szCs w:val="30"/>
        </w:rPr>
      </w:pPr>
    </w:p>
    <w:p w14:paraId="5A743D20">
      <w:pPr>
        <w:pStyle w:val="27"/>
        <w:widowControl w:val="0"/>
        <w:spacing w:before="120" w:beforeAutospacing="0" w:after="120" w:afterAutospacing="0" w:line="500" w:lineRule="exact"/>
        <w:ind w:right="29" w:rightChars="14"/>
        <w:jc w:val="center"/>
        <w:rPr>
          <w:rFonts w:hint="eastAsia" w:asciiTheme="minorEastAsia" w:hAnsiTheme="minorEastAsia" w:eastAsiaTheme="minorEastAsia" w:cstheme="minorEastAsia"/>
          <w:sz w:val="30"/>
          <w:szCs w:val="30"/>
        </w:rPr>
      </w:pPr>
    </w:p>
    <w:p w14:paraId="3859E2C5">
      <w:pPr>
        <w:pStyle w:val="27"/>
        <w:widowControl w:val="0"/>
        <w:spacing w:before="120" w:beforeAutospacing="0" w:after="120" w:afterAutospacing="0" w:line="500" w:lineRule="exact"/>
        <w:ind w:right="29" w:rightChars="14"/>
        <w:jc w:val="center"/>
        <w:rPr>
          <w:rFonts w:hint="eastAsia" w:asciiTheme="minorEastAsia" w:hAnsiTheme="minorEastAsia" w:eastAsiaTheme="minorEastAsia" w:cstheme="minorEastAsia"/>
          <w:sz w:val="30"/>
          <w:szCs w:val="30"/>
        </w:rPr>
      </w:pPr>
    </w:p>
    <w:p w14:paraId="6B5D79DA">
      <w:pPr>
        <w:pStyle w:val="27"/>
        <w:widowControl w:val="0"/>
        <w:spacing w:before="120" w:beforeAutospacing="0" w:after="120" w:afterAutospacing="0" w:line="500" w:lineRule="exact"/>
        <w:ind w:right="29" w:rightChars="14"/>
        <w:jc w:val="center"/>
        <w:rPr>
          <w:rFonts w:hint="eastAsia" w:asciiTheme="minorEastAsia" w:hAnsiTheme="minorEastAsia" w:eastAsiaTheme="minorEastAsia" w:cstheme="minorEastAsia"/>
          <w:sz w:val="30"/>
          <w:szCs w:val="30"/>
        </w:rPr>
      </w:pPr>
    </w:p>
    <w:p w14:paraId="7C189BAC">
      <w:pPr>
        <w:pStyle w:val="27"/>
        <w:widowControl w:val="0"/>
        <w:spacing w:before="120" w:beforeAutospacing="0" w:after="120" w:afterAutospacing="0" w:line="500" w:lineRule="exact"/>
        <w:ind w:right="29" w:rightChars="14"/>
        <w:jc w:val="center"/>
        <w:rPr>
          <w:rFonts w:hint="eastAsia" w:asciiTheme="minorEastAsia" w:hAnsiTheme="minorEastAsia" w:eastAsiaTheme="minorEastAsia" w:cstheme="minorEastAsia"/>
          <w:sz w:val="30"/>
          <w:szCs w:val="30"/>
        </w:rPr>
      </w:pPr>
    </w:p>
    <w:p w14:paraId="571922DF">
      <w:pPr>
        <w:pStyle w:val="27"/>
        <w:widowControl w:val="0"/>
        <w:spacing w:before="120" w:beforeAutospacing="0" w:after="120" w:afterAutospacing="0" w:line="500" w:lineRule="exact"/>
        <w:ind w:right="29" w:rightChars="14"/>
        <w:jc w:val="center"/>
        <w:rPr>
          <w:rFonts w:hint="eastAsia" w:asciiTheme="minorEastAsia" w:hAnsiTheme="minorEastAsia" w:eastAsiaTheme="minorEastAsia" w:cstheme="minorEastAsia"/>
          <w:sz w:val="30"/>
          <w:szCs w:val="30"/>
        </w:rPr>
      </w:pPr>
    </w:p>
    <w:p w14:paraId="7A5BBBEB">
      <w:pPr>
        <w:pStyle w:val="27"/>
        <w:widowControl w:val="0"/>
        <w:spacing w:before="120" w:beforeAutospacing="0" w:after="120" w:afterAutospacing="0" w:line="500" w:lineRule="exact"/>
        <w:ind w:right="29" w:rightChars="14"/>
        <w:jc w:val="center"/>
        <w:rPr>
          <w:rFonts w:hint="eastAsia" w:asciiTheme="minorEastAsia" w:hAnsiTheme="minorEastAsia" w:eastAsiaTheme="minorEastAsia" w:cstheme="minorEastAsia"/>
          <w:sz w:val="30"/>
          <w:szCs w:val="30"/>
        </w:rPr>
      </w:pPr>
    </w:p>
    <w:p w14:paraId="2C4530B1">
      <w:pPr>
        <w:pStyle w:val="27"/>
        <w:widowControl w:val="0"/>
        <w:spacing w:before="120" w:beforeAutospacing="0" w:after="120" w:afterAutospacing="0" w:line="500" w:lineRule="exact"/>
        <w:ind w:right="29" w:rightChars="14"/>
        <w:jc w:val="center"/>
        <w:rPr>
          <w:rFonts w:hint="eastAsia" w:asciiTheme="minorEastAsia" w:hAnsiTheme="minorEastAsia" w:eastAsiaTheme="minorEastAsia" w:cstheme="minorEastAsia"/>
          <w:sz w:val="30"/>
          <w:szCs w:val="30"/>
        </w:rPr>
      </w:pPr>
    </w:p>
    <w:p w14:paraId="7569B5C3">
      <w:pPr>
        <w:pStyle w:val="27"/>
        <w:widowControl w:val="0"/>
        <w:spacing w:before="120" w:beforeAutospacing="0" w:after="120" w:afterAutospacing="0" w:line="500" w:lineRule="exact"/>
        <w:ind w:right="29" w:rightChars="14"/>
        <w:jc w:val="center"/>
        <w:rPr>
          <w:rFonts w:hint="eastAsia" w:asciiTheme="minorEastAsia" w:hAnsiTheme="minorEastAsia" w:eastAsiaTheme="minorEastAsia" w:cstheme="minorEastAsia"/>
          <w:sz w:val="30"/>
          <w:szCs w:val="30"/>
        </w:rPr>
      </w:pPr>
    </w:p>
    <w:p w14:paraId="736EF445">
      <w:pPr>
        <w:pStyle w:val="27"/>
        <w:widowControl w:val="0"/>
        <w:spacing w:before="120" w:beforeAutospacing="0" w:after="120" w:afterAutospacing="0" w:line="500" w:lineRule="exact"/>
        <w:ind w:right="29" w:rightChars="14"/>
        <w:jc w:val="center"/>
        <w:rPr>
          <w:rFonts w:hint="eastAsia" w:asciiTheme="minorEastAsia" w:hAnsiTheme="minorEastAsia" w:eastAsiaTheme="minorEastAsia" w:cstheme="minorEastAsia"/>
          <w:sz w:val="30"/>
          <w:szCs w:val="30"/>
        </w:rPr>
      </w:pPr>
    </w:p>
    <w:p w14:paraId="029DF3C8">
      <w:pPr>
        <w:pStyle w:val="27"/>
        <w:widowControl w:val="0"/>
        <w:spacing w:before="120" w:beforeAutospacing="0" w:after="120" w:afterAutospacing="0" w:line="500" w:lineRule="exact"/>
        <w:ind w:right="29" w:rightChars="14"/>
        <w:jc w:val="center"/>
        <w:rPr>
          <w:rFonts w:hint="eastAsia" w:asciiTheme="minorEastAsia" w:hAnsiTheme="minorEastAsia" w:eastAsiaTheme="minorEastAsia" w:cstheme="minorEastAsia"/>
          <w:sz w:val="30"/>
          <w:szCs w:val="30"/>
        </w:rPr>
      </w:pPr>
    </w:p>
    <w:p w14:paraId="009DE4C0">
      <w:pPr>
        <w:pStyle w:val="27"/>
        <w:widowControl w:val="0"/>
        <w:spacing w:before="120" w:beforeAutospacing="0" w:after="120" w:afterAutospacing="0" w:line="500" w:lineRule="exact"/>
        <w:ind w:right="29" w:rightChars="14"/>
        <w:jc w:val="center"/>
        <w:rPr>
          <w:rFonts w:hint="eastAsia" w:asciiTheme="minorEastAsia" w:hAnsiTheme="minorEastAsia" w:eastAsiaTheme="minorEastAsia" w:cstheme="minorEastAsia"/>
          <w:sz w:val="30"/>
          <w:szCs w:val="30"/>
        </w:rPr>
      </w:pPr>
    </w:p>
    <w:p w14:paraId="445D49DB">
      <w:pPr>
        <w:pStyle w:val="27"/>
        <w:widowControl w:val="0"/>
        <w:spacing w:before="120" w:beforeAutospacing="0" w:after="120" w:afterAutospacing="0" w:line="500" w:lineRule="exact"/>
        <w:ind w:right="29" w:rightChars="14"/>
        <w:jc w:val="center"/>
        <w:outlineLvl w:val="1"/>
        <w:rPr>
          <w:rFonts w:hint="eastAsia" w:asciiTheme="minorEastAsia" w:hAnsiTheme="minorEastAsia" w:eastAsiaTheme="minorEastAsia" w:cstheme="minorEastAsia"/>
          <w:b/>
          <w:kern w:val="2"/>
          <w:sz w:val="30"/>
          <w:szCs w:val="30"/>
        </w:rPr>
      </w:pPr>
      <w:bookmarkStart w:id="309" w:name="_Toc24850"/>
      <w:bookmarkStart w:id="310" w:name="_Toc23227"/>
      <w:bookmarkStart w:id="311" w:name="_Toc10717"/>
    </w:p>
    <w:p w14:paraId="49E7388F">
      <w:pPr>
        <w:pStyle w:val="27"/>
        <w:widowControl w:val="0"/>
        <w:spacing w:before="120" w:beforeAutospacing="0" w:after="120" w:afterAutospacing="0" w:line="500" w:lineRule="exact"/>
        <w:ind w:right="29" w:rightChars="14"/>
        <w:jc w:val="center"/>
        <w:outlineLvl w:val="1"/>
        <w:rPr>
          <w:rFonts w:hint="eastAsia" w:asciiTheme="minorEastAsia" w:hAnsiTheme="minorEastAsia" w:eastAsiaTheme="minorEastAsia" w:cstheme="minorEastAsia"/>
          <w:b/>
          <w:kern w:val="2"/>
          <w:sz w:val="30"/>
          <w:szCs w:val="30"/>
        </w:rPr>
      </w:pPr>
    </w:p>
    <w:p w14:paraId="4671A329">
      <w:pPr>
        <w:pStyle w:val="27"/>
        <w:widowControl w:val="0"/>
        <w:spacing w:before="120" w:beforeAutospacing="0" w:after="120" w:afterAutospacing="0" w:line="500" w:lineRule="exact"/>
        <w:ind w:right="29" w:rightChars="14"/>
        <w:jc w:val="center"/>
        <w:outlineLvl w:val="1"/>
        <w:rPr>
          <w:rFonts w:hint="eastAsia" w:asciiTheme="minorEastAsia" w:hAnsiTheme="minorEastAsia" w:eastAsiaTheme="minorEastAsia" w:cstheme="minorEastAsia"/>
          <w:b/>
          <w:kern w:val="2"/>
          <w:sz w:val="30"/>
          <w:szCs w:val="30"/>
        </w:rPr>
      </w:pPr>
    </w:p>
    <w:p w14:paraId="108D343D">
      <w:pPr>
        <w:pStyle w:val="27"/>
        <w:widowControl w:val="0"/>
        <w:spacing w:before="120" w:beforeAutospacing="0" w:after="120" w:afterAutospacing="0" w:line="500" w:lineRule="exact"/>
        <w:ind w:right="29" w:rightChars="14"/>
        <w:jc w:val="center"/>
        <w:outlineLvl w:val="1"/>
        <w:rPr>
          <w:rFonts w:hint="eastAsia" w:asciiTheme="minorEastAsia" w:hAnsiTheme="minorEastAsia" w:eastAsiaTheme="minorEastAsia" w:cstheme="minorEastAsia"/>
          <w:b/>
          <w:kern w:val="2"/>
          <w:sz w:val="30"/>
          <w:szCs w:val="30"/>
        </w:rPr>
      </w:pPr>
    </w:p>
    <w:p w14:paraId="1419C18F">
      <w:pPr>
        <w:pStyle w:val="27"/>
        <w:widowControl w:val="0"/>
        <w:spacing w:before="120" w:beforeAutospacing="0" w:after="120" w:afterAutospacing="0" w:line="500" w:lineRule="exact"/>
        <w:ind w:right="29" w:rightChars="14"/>
        <w:jc w:val="center"/>
        <w:outlineLvl w:val="1"/>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kern w:val="2"/>
          <w:sz w:val="30"/>
          <w:szCs w:val="30"/>
        </w:rPr>
        <w:t>八、中小企业声明函（如有）</w:t>
      </w:r>
      <w:bookmarkEnd w:id="309"/>
      <w:bookmarkEnd w:id="310"/>
      <w:bookmarkEnd w:id="311"/>
    </w:p>
    <w:p w14:paraId="3B2343AC">
      <w:pPr>
        <w:spacing w:line="560" w:lineRule="exact"/>
        <w:ind w:firstLine="480" w:firstLineChars="200"/>
        <w:rPr>
          <w:rFonts w:hint="eastAsia" w:ascii="宋体" w:hAnsi="宋体" w:cs="宋体"/>
          <w:sz w:val="24"/>
        </w:rPr>
      </w:pPr>
      <w:r>
        <w:rPr>
          <w:rFonts w:ascii="宋体" w:hAnsi="宋体" w:cs="宋体"/>
          <w:sz w:val="24"/>
        </w:rPr>
        <w:t>本公司（联合体）郑重声明，根据《政府采购促进中小 企业发展管理办法》（财库﹝2020﹞46 号）的规定，本公司 （联合体）参加</w:t>
      </w:r>
      <w:r>
        <w:rPr>
          <w:rFonts w:ascii="宋体" w:hAnsi="宋体" w:cs="宋体"/>
          <w:sz w:val="24"/>
          <w:u w:val="single"/>
        </w:rPr>
        <w:t>（单位名称）</w:t>
      </w:r>
      <w:r>
        <w:rPr>
          <w:rFonts w:ascii="宋体" w:hAnsi="宋体" w:cs="宋体"/>
          <w:sz w:val="24"/>
        </w:rPr>
        <w:t>的</w:t>
      </w:r>
      <w:r>
        <w:rPr>
          <w:rFonts w:ascii="宋体" w:hAnsi="宋体" w:cs="宋体"/>
          <w:sz w:val="24"/>
          <w:u w:val="single"/>
        </w:rPr>
        <w:t>（项目名称）</w:t>
      </w:r>
      <w:r>
        <w:rPr>
          <w:rFonts w:ascii="宋体" w:hAnsi="宋体" w:cs="宋体"/>
          <w:sz w:val="24"/>
        </w:rPr>
        <w:t>采购活动，提供的货物全部由符合政策要求的中小企业制造。相关企业 （含联合体中的中小企业、签订分包意向协议的中小企业） 的具体情况如下：</w:t>
      </w:r>
    </w:p>
    <w:p w14:paraId="52E7E437">
      <w:pPr>
        <w:numPr>
          <w:ilvl w:val="0"/>
          <w:numId w:val="12"/>
        </w:numPr>
        <w:spacing w:line="560" w:lineRule="exact"/>
        <w:ind w:left="0" w:firstLine="600" w:firstLineChars="250"/>
        <w:rPr>
          <w:rFonts w:hint="eastAsia" w:ascii="宋体" w:hAnsi="宋体" w:cs="宋体"/>
          <w:sz w:val="24"/>
        </w:rPr>
      </w:pPr>
      <w:r>
        <w:rPr>
          <w:rFonts w:ascii="宋体" w:hAnsi="宋体" w:cs="宋体"/>
          <w:sz w:val="24"/>
          <w:u w:val="single"/>
        </w:rPr>
        <w:t>（标的名称）</w:t>
      </w:r>
      <w:r>
        <w:rPr>
          <w:rFonts w:ascii="宋体" w:hAnsi="宋体" w:cs="宋体"/>
          <w:sz w:val="24"/>
        </w:rPr>
        <w:t xml:space="preserve"> ，属于</w:t>
      </w:r>
      <w:r>
        <w:rPr>
          <w:rFonts w:ascii="宋体" w:hAnsi="宋体" w:cs="宋体"/>
          <w:sz w:val="24"/>
          <w:u w:val="single"/>
        </w:rPr>
        <w:t>（采购文件中明确的所属行业）</w:t>
      </w:r>
      <w:r>
        <w:rPr>
          <w:rFonts w:ascii="宋体" w:hAnsi="宋体" w:cs="宋体"/>
          <w:sz w:val="24"/>
        </w:rPr>
        <w:t xml:space="preserve"> 行业；制造商为</w:t>
      </w:r>
      <w:r>
        <w:rPr>
          <w:rFonts w:ascii="宋体" w:hAnsi="宋体" w:cs="宋体"/>
          <w:sz w:val="24"/>
          <w:u w:val="single"/>
        </w:rPr>
        <w:t>（企业名称）</w:t>
      </w:r>
      <w:r>
        <w:rPr>
          <w:rFonts w:ascii="宋体" w:hAnsi="宋体" w:cs="宋体"/>
          <w:sz w:val="24"/>
        </w:rPr>
        <w:t>，从业人员</w:t>
      </w:r>
      <w:r>
        <w:rPr>
          <w:rFonts w:hint="eastAsia" w:ascii="宋体" w:hAnsi="宋体" w:cs="宋体"/>
          <w:sz w:val="24"/>
          <w:u w:val="single"/>
        </w:rPr>
        <w:t xml:space="preserve">    </w:t>
      </w:r>
      <w:r>
        <w:rPr>
          <w:rFonts w:ascii="宋体" w:hAnsi="宋体" w:cs="宋体"/>
          <w:sz w:val="24"/>
        </w:rPr>
        <w:t>人，营业收入为</w:t>
      </w:r>
      <w:r>
        <w:rPr>
          <w:rFonts w:hint="eastAsia" w:ascii="宋体" w:hAnsi="宋体" w:cs="宋体"/>
          <w:sz w:val="24"/>
          <w:u w:val="single"/>
        </w:rPr>
        <w:t xml:space="preserve">     </w:t>
      </w:r>
      <w:r>
        <w:rPr>
          <w:rFonts w:ascii="宋体" w:hAnsi="宋体" w:cs="宋体"/>
          <w:sz w:val="24"/>
        </w:rPr>
        <w:t>万元，资产总额为</w:t>
      </w:r>
      <w:r>
        <w:rPr>
          <w:rFonts w:hint="eastAsia" w:ascii="宋体" w:hAnsi="宋体" w:cs="宋体"/>
          <w:sz w:val="24"/>
          <w:u w:val="single"/>
        </w:rPr>
        <w:t xml:space="preserve">     </w:t>
      </w:r>
      <w:r>
        <w:rPr>
          <w:rFonts w:ascii="宋体" w:hAnsi="宋体" w:cs="宋体"/>
          <w:sz w:val="24"/>
        </w:rPr>
        <w:t>万元 ，属于</w:t>
      </w:r>
      <w:r>
        <w:rPr>
          <w:rFonts w:ascii="宋体" w:hAnsi="宋体" w:cs="宋体"/>
          <w:sz w:val="24"/>
          <w:u w:val="single"/>
        </w:rPr>
        <w:t>（中型企业、小 型企业、微型企业）</w:t>
      </w:r>
      <w:r>
        <w:rPr>
          <w:rFonts w:ascii="宋体" w:hAnsi="宋体" w:cs="宋体"/>
          <w:sz w:val="24"/>
        </w:rPr>
        <w:t>；</w:t>
      </w:r>
    </w:p>
    <w:p w14:paraId="252AFDCE">
      <w:pPr>
        <w:numPr>
          <w:ilvl w:val="0"/>
          <w:numId w:val="12"/>
        </w:numPr>
        <w:spacing w:line="560" w:lineRule="exact"/>
        <w:ind w:left="0" w:firstLine="600" w:firstLineChars="250"/>
        <w:rPr>
          <w:rFonts w:hint="eastAsia" w:ascii="宋体" w:hAnsi="宋体" w:cs="宋体"/>
          <w:sz w:val="24"/>
        </w:rPr>
      </w:pPr>
      <w:r>
        <w:rPr>
          <w:rFonts w:ascii="宋体" w:hAnsi="宋体" w:cs="宋体"/>
          <w:sz w:val="24"/>
          <w:u w:val="single"/>
        </w:rPr>
        <w:t xml:space="preserve">（标的名称） </w:t>
      </w:r>
      <w:r>
        <w:rPr>
          <w:rFonts w:ascii="宋体" w:hAnsi="宋体" w:cs="宋体"/>
          <w:sz w:val="24"/>
        </w:rPr>
        <w:t>，属于</w:t>
      </w:r>
      <w:r>
        <w:rPr>
          <w:rFonts w:ascii="宋体" w:hAnsi="宋体" w:cs="宋体"/>
          <w:sz w:val="24"/>
          <w:u w:val="single"/>
        </w:rPr>
        <w:t>（采购文件中明确的所属行业）</w:t>
      </w:r>
      <w:r>
        <w:rPr>
          <w:rFonts w:ascii="宋体" w:hAnsi="宋体" w:cs="宋体"/>
          <w:sz w:val="24"/>
        </w:rPr>
        <w:t xml:space="preserve"> 行业；制造商为</w:t>
      </w:r>
      <w:r>
        <w:rPr>
          <w:rFonts w:ascii="宋体" w:hAnsi="宋体" w:cs="宋体"/>
          <w:sz w:val="24"/>
          <w:u w:val="single"/>
        </w:rPr>
        <w:t>（企业名称）</w:t>
      </w:r>
      <w:r>
        <w:rPr>
          <w:rFonts w:ascii="宋体" w:hAnsi="宋体" w:cs="宋体"/>
          <w:sz w:val="24"/>
        </w:rPr>
        <w:t>，从业人员</w:t>
      </w:r>
      <w:r>
        <w:rPr>
          <w:rFonts w:hint="eastAsia" w:ascii="宋体" w:hAnsi="宋体" w:cs="宋体"/>
          <w:sz w:val="24"/>
          <w:u w:val="single"/>
        </w:rPr>
        <w:t xml:space="preserve">    </w:t>
      </w:r>
      <w:r>
        <w:rPr>
          <w:rFonts w:ascii="宋体" w:hAnsi="宋体" w:cs="宋体"/>
          <w:sz w:val="24"/>
        </w:rPr>
        <w:t>人，营业收入为</w:t>
      </w:r>
      <w:r>
        <w:rPr>
          <w:rFonts w:hint="eastAsia" w:ascii="宋体" w:hAnsi="宋体" w:cs="宋体"/>
          <w:sz w:val="24"/>
          <w:u w:val="single"/>
        </w:rPr>
        <w:t xml:space="preserve">    </w:t>
      </w:r>
      <w:r>
        <w:rPr>
          <w:rFonts w:ascii="宋体" w:hAnsi="宋体" w:cs="宋体"/>
          <w:sz w:val="24"/>
        </w:rPr>
        <w:t>万元，资产总额为</w:t>
      </w:r>
      <w:r>
        <w:rPr>
          <w:rFonts w:hint="eastAsia" w:ascii="宋体" w:hAnsi="宋体" w:cs="宋体"/>
          <w:sz w:val="24"/>
          <w:u w:val="single"/>
        </w:rPr>
        <w:t xml:space="preserve">    </w:t>
      </w:r>
      <w:r>
        <w:rPr>
          <w:rFonts w:ascii="宋体" w:hAnsi="宋体" w:cs="宋体"/>
          <w:sz w:val="24"/>
        </w:rPr>
        <w:t>万元，属于</w:t>
      </w:r>
      <w:r>
        <w:rPr>
          <w:rFonts w:ascii="宋体" w:hAnsi="宋体" w:cs="宋体"/>
          <w:sz w:val="24"/>
          <w:u w:val="single"/>
        </w:rPr>
        <w:t>（中型企业、小型 企业、微型企业）</w:t>
      </w:r>
      <w:r>
        <w:rPr>
          <w:rFonts w:ascii="宋体" w:hAnsi="宋体" w:cs="宋体"/>
          <w:sz w:val="24"/>
        </w:rPr>
        <w:t>；</w:t>
      </w:r>
    </w:p>
    <w:p w14:paraId="7D5789EB">
      <w:pPr>
        <w:spacing w:line="560" w:lineRule="exact"/>
        <w:ind w:left="525" w:leftChars="250"/>
        <w:rPr>
          <w:rFonts w:hint="eastAsia" w:ascii="宋体" w:hAnsi="宋体" w:cs="宋体"/>
          <w:sz w:val="24"/>
        </w:rPr>
      </w:pPr>
      <w:r>
        <w:rPr>
          <w:rFonts w:ascii="宋体" w:hAnsi="宋体" w:cs="宋体"/>
          <w:sz w:val="24"/>
        </w:rPr>
        <w:t xml:space="preserve"> …… </w:t>
      </w:r>
    </w:p>
    <w:p w14:paraId="22530485">
      <w:pPr>
        <w:spacing w:line="560" w:lineRule="exact"/>
        <w:ind w:left="5" w:firstLine="518" w:firstLineChars="216"/>
        <w:rPr>
          <w:rFonts w:hint="eastAsia" w:ascii="宋体" w:hAnsi="宋体" w:cs="宋体"/>
          <w:sz w:val="24"/>
        </w:rPr>
      </w:pPr>
      <w:r>
        <w:rPr>
          <w:rFonts w:ascii="宋体" w:hAnsi="宋体" w:cs="宋体"/>
          <w:sz w:val="24"/>
        </w:rPr>
        <w:t xml:space="preserve">以上企业，不属于大企业的分支机构，不存在控股股东 为大企业的情形，也不存在与大企业的负责人为同一人的情形。 </w:t>
      </w:r>
    </w:p>
    <w:p w14:paraId="65E11770">
      <w:pPr>
        <w:spacing w:line="560" w:lineRule="exact"/>
        <w:ind w:left="5" w:firstLine="518" w:firstLineChars="216"/>
        <w:rPr>
          <w:rFonts w:hint="eastAsia" w:ascii="宋体" w:hAnsi="宋体" w:cs="宋体"/>
          <w:sz w:val="24"/>
        </w:rPr>
      </w:pPr>
      <w:r>
        <w:rPr>
          <w:rFonts w:ascii="宋体" w:hAnsi="宋体" w:cs="宋体"/>
          <w:sz w:val="24"/>
        </w:rPr>
        <w:t xml:space="preserve">本企业对上述声明内容的真实性负责。如有虚假，将依 法承担相应责任。 </w:t>
      </w:r>
    </w:p>
    <w:p w14:paraId="074D1B94">
      <w:pPr>
        <w:spacing w:line="560" w:lineRule="exact"/>
        <w:ind w:left="5" w:firstLine="518" w:firstLineChars="216"/>
        <w:rPr>
          <w:rFonts w:hint="eastAsia" w:ascii="宋体" w:hAnsi="宋体" w:cs="宋体"/>
          <w:sz w:val="24"/>
        </w:rPr>
      </w:pPr>
    </w:p>
    <w:p w14:paraId="3427A1DB">
      <w:pPr>
        <w:spacing w:line="560" w:lineRule="exact"/>
        <w:ind w:left="5" w:firstLine="518" w:firstLineChars="216"/>
        <w:rPr>
          <w:rFonts w:hint="eastAsia" w:ascii="宋体" w:hAnsi="宋体" w:cs="宋体"/>
          <w:sz w:val="24"/>
        </w:rPr>
      </w:pPr>
    </w:p>
    <w:p w14:paraId="6F792506">
      <w:pPr>
        <w:spacing w:line="560" w:lineRule="exact"/>
        <w:ind w:left="5" w:firstLine="518" w:firstLineChars="216"/>
        <w:jc w:val="right"/>
        <w:rPr>
          <w:rFonts w:hint="eastAsia" w:ascii="宋体" w:hAnsi="宋体" w:cs="宋体"/>
          <w:sz w:val="24"/>
        </w:rPr>
      </w:pPr>
      <w:r>
        <w:rPr>
          <w:rFonts w:ascii="宋体" w:hAnsi="宋体" w:cs="宋体"/>
          <w:sz w:val="24"/>
        </w:rPr>
        <w:t>企业名称（盖章）：</w:t>
      </w:r>
    </w:p>
    <w:p w14:paraId="158E488D">
      <w:pPr>
        <w:spacing w:line="560" w:lineRule="exact"/>
        <w:ind w:left="5" w:firstLine="518" w:firstLineChars="216"/>
        <w:jc w:val="right"/>
        <w:rPr>
          <w:rFonts w:hint="eastAsia" w:ascii="宋体" w:hAnsi="宋体" w:cs="宋体"/>
          <w:sz w:val="24"/>
        </w:rPr>
      </w:pPr>
      <w:r>
        <w:rPr>
          <w:rFonts w:ascii="宋体" w:hAnsi="宋体" w:cs="宋体"/>
          <w:sz w:val="24"/>
        </w:rPr>
        <w:t xml:space="preserve"> 日 期： </w:t>
      </w:r>
    </w:p>
    <w:p w14:paraId="0E81F5F5">
      <w:pPr>
        <w:spacing w:line="560" w:lineRule="exact"/>
        <w:ind w:left="5" w:firstLine="518" w:firstLineChars="216"/>
        <w:rPr>
          <w:rFonts w:hint="eastAsia" w:ascii="宋体" w:hAnsi="宋体" w:cs="宋体"/>
          <w:sz w:val="24"/>
        </w:rPr>
      </w:pPr>
      <w:r>
        <w:rPr>
          <w:rFonts w:hint="eastAsia" w:ascii="宋体" w:hAnsi="宋体" w:cs="宋体"/>
          <w:sz w:val="24"/>
        </w:rPr>
        <w:t>注：1、</w:t>
      </w:r>
      <w:r>
        <w:rPr>
          <w:rFonts w:ascii="宋体" w:hAnsi="宋体" w:cs="宋体"/>
          <w:sz w:val="24"/>
        </w:rPr>
        <w:t>从业人员、营业收入、资产总额填报上一年度数据，无上一年度数据的新成立企业可不填报。</w:t>
      </w:r>
    </w:p>
    <w:p w14:paraId="2AC57C57">
      <w:pPr>
        <w:pStyle w:val="7"/>
        <w:numPr>
          <w:ilvl w:val="0"/>
          <w:numId w:val="13"/>
        </w:numPr>
        <w:ind w:firstLine="480"/>
        <w:rPr>
          <w:rFonts w:hint="eastAsia" w:ascii="宋体" w:hAnsi="宋体" w:cs="宋体"/>
          <w:sz w:val="24"/>
        </w:rPr>
      </w:pPr>
      <w:r>
        <w:rPr>
          <w:rFonts w:hint="eastAsia" w:ascii="宋体" w:hAnsi="宋体" w:cs="宋体"/>
          <w:sz w:val="24"/>
        </w:rPr>
        <w:t>供应商提供的声明函将在中标后随中标公告一并公示，若声明函内容不实的，将依照《政府采购法》等国家有关规定追究相应责任。</w:t>
      </w:r>
      <w:bookmarkStart w:id="312" w:name="_Toc12390"/>
      <w:bookmarkStart w:id="313" w:name="_Toc309736882"/>
      <w:bookmarkStart w:id="314" w:name="_Toc352061202"/>
    </w:p>
    <w:bookmarkEnd w:id="312"/>
    <w:bookmarkEnd w:id="313"/>
    <w:bookmarkEnd w:id="314"/>
    <w:p w14:paraId="753FE241">
      <w:pPr>
        <w:pStyle w:val="27"/>
        <w:widowControl w:val="0"/>
        <w:spacing w:before="120" w:beforeAutospacing="0" w:after="120" w:afterAutospacing="0" w:line="500" w:lineRule="exact"/>
        <w:ind w:right="29" w:rightChars="14"/>
        <w:jc w:val="center"/>
        <w:outlineLvl w:val="1"/>
        <w:rPr>
          <w:rFonts w:hint="eastAsia" w:asciiTheme="minorEastAsia" w:hAnsiTheme="minorEastAsia" w:eastAsiaTheme="minorEastAsia" w:cstheme="minorEastAsia"/>
          <w:b/>
          <w:kern w:val="2"/>
          <w:sz w:val="30"/>
          <w:szCs w:val="30"/>
        </w:rPr>
      </w:pPr>
      <w:r>
        <w:rPr>
          <w:rFonts w:hint="eastAsia" w:asciiTheme="minorEastAsia" w:hAnsiTheme="minorEastAsia" w:eastAsiaTheme="minorEastAsia" w:cstheme="minorEastAsia"/>
          <w:b/>
          <w:kern w:val="2"/>
          <w:sz w:val="30"/>
          <w:szCs w:val="30"/>
        </w:rPr>
        <w:br w:type="page"/>
      </w:r>
      <w:bookmarkStart w:id="315" w:name="_Toc11708"/>
      <w:bookmarkStart w:id="316" w:name="_Toc20881"/>
      <w:bookmarkStart w:id="317" w:name="_Toc30170"/>
      <w:bookmarkStart w:id="318" w:name="_Toc14292"/>
      <w:r>
        <w:rPr>
          <w:rFonts w:hint="eastAsia" w:asciiTheme="minorEastAsia" w:hAnsiTheme="minorEastAsia" w:eastAsiaTheme="minorEastAsia" w:cstheme="minorEastAsia"/>
          <w:b/>
          <w:kern w:val="2"/>
          <w:sz w:val="30"/>
          <w:szCs w:val="30"/>
        </w:rPr>
        <w:t>九、残疾人福利性单位声明函（如有）</w:t>
      </w:r>
      <w:bookmarkEnd w:id="315"/>
      <w:bookmarkEnd w:id="316"/>
    </w:p>
    <w:p w14:paraId="2ED7D0D9">
      <w:pPr>
        <w:spacing w:line="588" w:lineRule="exact"/>
        <w:ind w:firstLine="504" w:firstLineChars="200"/>
        <w:rPr>
          <w:rFonts w:hint="eastAsia"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873EAC7">
      <w:pPr>
        <w:spacing w:line="588" w:lineRule="exact"/>
        <w:ind w:firstLine="504" w:firstLineChars="200"/>
        <w:rPr>
          <w:rFonts w:hint="eastAsia" w:ascii="宋体" w:hAnsi="宋体" w:cs="宋体"/>
          <w:spacing w:val="6"/>
          <w:sz w:val="24"/>
        </w:rPr>
      </w:pPr>
      <w:r>
        <w:rPr>
          <w:rFonts w:hint="eastAsia" w:ascii="宋体" w:hAnsi="宋体" w:cs="宋体"/>
          <w:spacing w:val="6"/>
          <w:sz w:val="24"/>
        </w:rPr>
        <w:t>本单位对上述声明的真实性负责。如有虚假，将依法承担相应责任。</w:t>
      </w:r>
    </w:p>
    <w:p w14:paraId="020294E3">
      <w:pPr>
        <w:spacing w:line="588" w:lineRule="exact"/>
        <w:ind w:firstLine="504" w:firstLineChars="200"/>
        <w:rPr>
          <w:rFonts w:hint="eastAsia" w:ascii="宋体" w:hAnsi="宋体" w:cs="宋体"/>
          <w:spacing w:val="6"/>
          <w:sz w:val="24"/>
        </w:rPr>
      </w:pPr>
    </w:p>
    <w:p w14:paraId="38166B9B">
      <w:pPr>
        <w:spacing w:line="588" w:lineRule="exact"/>
        <w:ind w:firstLine="504" w:firstLineChars="200"/>
        <w:rPr>
          <w:rFonts w:hint="eastAsia" w:ascii="宋体" w:hAnsi="宋体" w:cs="宋体"/>
          <w:spacing w:val="6"/>
          <w:sz w:val="24"/>
        </w:rPr>
      </w:pPr>
    </w:p>
    <w:p w14:paraId="4F2AFA6B">
      <w:pPr>
        <w:tabs>
          <w:tab w:val="left" w:pos="4860"/>
        </w:tabs>
        <w:spacing w:line="588" w:lineRule="exact"/>
        <w:ind w:right="1560" w:firstLine="504" w:firstLineChars="200"/>
        <w:jc w:val="center"/>
        <w:rPr>
          <w:rFonts w:hint="eastAsia" w:ascii="宋体" w:hAnsi="宋体" w:cs="宋体"/>
          <w:spacing w:val="6"/>
          <w:sz w:val="24"/>
        </w:rPr>
      </w:pPr>
      <w:r>
        <w:rPr>
          <w:rFonts w:hint="eastAsia" w:ascii="宋体" w:hAnsi="宋体" w:cs="宋体"/>
          <w:spacing w:val="6"/>
          <w:sz w:val="24"/>
        </w:rPr>
        <w:t xml:space="preserve">               单位名称（单位电子签章）：</w:t>
      </w:r>
    </w:p>
    <w:p w14:paraId="3ED5B4EF">
      <w:pPr>
        <w:tabs>
          <w:tab w:val="left" w:pos="4860"/>
        </w:tabs>
        <w:spacing w:line="588" w:lineRule="exact"/>
        <w:ind w:right="1560" w:firstLine="504" w:firstLineChars="200"/>
        <w:jc w:val="center"/>
        <w:rPr>
          <w:rFonts w:hint="eastAsia" w:ascii="宋体" w:hAnsi="宋体" w:cs="宋体"/>
          <w:spacing w:val="6"/>
          <w:sz w:val="24"/>
        </w:rPr>
      </w:pPr>
      <w:r>
        <w:rPr>
          <w:rFonts w:hint="eastAsia" w:ascii="宋体" w:hAnsi="宋体" w:cs="宋体"/>
          <w:spacing w:val="6"/>
          <w:sz w:val="24"/>
        </w:rPr>
        <w:t xml:space="preserve">       日  期：</w:t>
      </w:r>
    </w:p>
    <w:p w14:paraId="278B1B67">
      <w:pPr>
        <w:spacing w:after="758" w:afterLines="200"/>
        <w:ind w:firstLine="2259" w:firstLineChars="750"/>
        <w:rPr>
          <w:rFonts w:hint="eastAsia" w:asciiTheme="minorEastAsia" w:hAnsiTheme="minorEastAsia" w:eastAsiaTheme="minorEastAsia" w:cstheme="minorEastAsia"/>
          <w:b/>
          <w:sz w:val="30"/>
          <w:szCs w:val="30"/>
        </w:rPr>
      </w:pPr>
    </w:p>
    <w:p w14:paraId="1EA70B72">
      <w:pPr>
        <w:spacing w:after="758" w:afterLines="200"/>
        <w:ind w:firstLine="2259" w:firstLineChars="750"/>
        <w:rPr>
          <w:rFonts w:hint="eastAsia" w:asciiTheme="minorEastAsia" w:hAnsiTheme="minorEastAsia" w:eastAsiaTheme="minorEastAsia" w:cstheme="minorEastAsia"/>
          <w:b/>
          <w:sz w:val="30"/>
          <w:szCs w:val="30"/>
        </w:rPr>
      </w:pPr>
    </w:p>
    <w:p w14:paraId="096EE3C4">
      <w:pPr>
        <w:spacing w:after="758" w:afterLines="200"/>
        <w:ind w:firstLine="2259" w:firstLineChars="750"/>
        <w:rPr>
          <w:rFonts w:hint="eastAsia" w:asciiTheme="minorEastAsia" w:hAnsiTheme="minorEastAsia" w:eastAsiaTheme="minorEastAsia" w:cstheme="minorEastAsia"/>
          <w:b/>
          <w:sz w:val="30"/>
          <w:szCs w:val="30"/>
        </w:rPr>
      </w:pPr>
    </w:p>
    <w:p w14:paraId="7E249763">
      <w:pPr>
        <w:spacing w:after="758" w:afterLines="200"/>
        <w:ind w:firstLine="2259" w:firstLineChars="750"/>
        <w:rPr>
          <w:rFonts w:hint="eastAsia" w:asciiTheme="minorEastAsia" w:hAnsiTheme="minorEastAsia" w:eastAsiaTheme="minorEastAsia" w:cstheme="minorEastAsia"/>
          <w:b/>
          <w:sz w:val="30"/>
          <w:szCs w:val="30"/>
        </w:rPr>
      </w:pPr>
    </w:p>
    <w:p w14:paraId="5CD0B237">
      <w:pPr>
        <w:spacing w:after="758" w:afterLines="200"/>
        <w:ind w:firstLine="2259" w:firstLineChars="750"/>
        <w:rPr>
          <w:rFonts w:hint="eastAsia" w:asciiTheme="minorEastAsia" w:hAnsiTheme="minorEastAsia" w:eastAsiaTheme="minorEastAsia" w:cstheme="minorEastAsia"/>
          <w:b/>
          <w:sz w:val="30"/>
          <w:szCs w:val="30"/>
        </w:rPr>
      </w:pPr>
    </w:p>
    <w:bookmarkEnd w:id="302"/>
    <w:bookmarkEnd w:id="317"/>
    <w:bookmarkEnd w:id="318"/>
    <w:p w14:paraId="4D51CE8F">
      <w:pPr>
        <w:pStyle w:val="27"/>
        <w:widowControl w:val="0"/>
        <w:spacing w:before="120" w:beforeAutospacing="0" w:after="120" w:afterAutospacing="0" w:line="500" w:lineRule="exact"/>
        <w:ind w:right="29" w:rightChars="14" w:firstLine="602" w:firstLineChars="200"/>
        <w:jc w:val="center"/>
        <w:outlineLvl w:val="1"/>
        <w:rPr>
          <w:rFonts w:hint="eastAsia" w:asciiTheme="minorEastAsia" w:hAnsiTheme="minorEastAsia" w:eastAsiaTheme="minorEastAsia" w:cstheme="minorEastAsia"/>
          <w:b/>
          <w:kern w:val="2"/>
          <w:sz w:val="30"/>
          <w:szCs w:val="30"/>
        </w:rPr>
      </w:pPr>
      <w:bookmarkStart w:id="319" w:name="_Toc18605"/>
      <w:bookmarkStart w:id="320" w:name="_Toc16608"/>
      <w:r>
        <w:rPr>
          <w:rFonts w:hint="eastAsia" w:asciiTheme="minorEastAsia" w:hAnsiTheme="minorEastAsia" w:eastAsiaTheme="minorEastAsia" w:cstheme="minorEastAsia"/>
          <w:b/>
          <w:kern w:val="2"/>
          <w:sz w:val="30"/>
          <w:szCs w:val="30"/>
        </w:rPr>
        <w:t>十、招标文件要求的或供应商认为须提交的其他材料</w:t>
      </w:r>
      <w:bookmarkEnd w:id="319"/>
      <w:bookmarkEnd w:id="320"/>
    </w:p>
    <w:p w14:paraId="566E10F9">
      <w:pPr>
        <w:spacing w:line="360" w:lineRule="auto"/>
        <w:rPr>
          <w:rFonts w:hint="eastAsia" w:asciiTheme="minorEastAsia" w:hAnsiTheme="minorEastAsia" w:eastAsiaTheme="minorEastAsia" w:cstheme="minorEastAsia"/>
          <w:sz w:val="24"/>
          <w:shd w:val="clear" w:color="FFFFFF" w:fill="D9D9D9"/>
        </w:rPr>
      </w:pPr>
    </w:p>
    <w:p w14:paraId="578E162B">
      <w:pPr>
        <w:spacing w:line="600" w:lineRule="exact"/>
        <w:ind w:firstLine="560" w:firstLineChars="200"/>
        <w:rPr>
          <w:rFonts w:hint="eastAsia" w:ascii="宋体" w:hAnsi="宋体" w:cs="宋体"/>
          <w:sz w:val="28"/>
          <w:szCs w:val="28"/>
        </w:rPr>
      </w:pPr>
      <w:r>
        <w:rPr>
          <w:rFonts w:hint="eastAsia" w:ascii="宋体" w:hAnsi="宋体" w:cs="宋体"/>
          <w:sz w:val="28"/>
          <w:szCs w:val="28"/>
        </w:rPr>
        <w:t>招标文件规定的其他资料及供应商认为需要提交的其他材料。</w:t>
      </w:r>
    </w:p>
    <w:p w14:paraId="00F5572D">
      <w:pPr>
        <w:spacing w:line="600" w:lineRule="exact"/>
        <w:ind w:firstLine="600" w:firstLineChars="200"/>
        <w:rPr>
          <w:rFonts w:hint="eastAsia" w:ascii="仿宋" w:hAnsi="仿宋" w:eastAsia="仿宋" w:cs="仿宋"/>
          <w:sz w:val="30"/>
          <w:szCs w:val="30"/>
        </w:rPr>
      </w:pPr>
    </w:p>
    <w:p w14:paraId="5F1E0DDF">
      <w:pPr>
        <w:widowControl/>
        <w:spacing w:line="580" w:lineRule="atLeast"/>
        <w:jc w:val="center"/>
        <w:rPr>
          <w:rFonts w:hint="eastAsia" w:asciiTheme="minorEastAsia" w:hAnsiTheme="minorEastAsia" w:eastAsiaTheme="minorEastAsia" w:cstheme="minorEastAsia"/>
          <w:b/>
          <w:kern w:val="0"/>
          <w:sz w:val="32"/>
          <w:szCs w:val="32"/>
        </w:rPr>
      </w:pPr>
    </w:p>
    <w:p w14:paraId="1F070A84">
      <w:pPr>
        <w:spacing w:line="440" w:lineRule="exact"/>
        <w:rPr>
          <w:rFonts w:hint="eastAsia" w:ascii="宋体" w:hAnsi="宋体" w:cs="宋体"/>
          <w:b/>
          <w:sz w:val="36"/>
          <w:szCs w:val="36"/>
        </w:rPr>
      </w:pPr>
    </w:p>
    <w:p w14:paraId="6C2B3B79">
      <w:pPr>
        <w:spacing w:line="440" w:lineRule="exact"/>
        <w:jc w:val="center"/>
        <w:rPr>
          <w:rFonts w:hint="eastAsia" w:ascii="宋体" w:hAnsi="宋体" w:cs="宋体"/>
          <w:b/>
          <w:sz w:val="36"/>
          <w:szCs w:val="36"/>
        </w:rPr>
      </w:pPr>
    </w:p>
    <w:p w14:paraId="519582C6">
      <w:pPr>
        <w:rPr>
          <w:rFonts w:hint="eastAsia" w:ascii="宋体" w:hAnsi="宋体" w:cs="宋体"/>
          <w:sz w:val="36"/>
          <w:szCs w:val="36"/>
        </w:rPr>
      </w:pPr>
    </w:p>
    <w:p w14:paraId="6FC6BC78">
      <w:pPr>
        <w:rPr>
          <w:rFonts w:hint="eastAsia" w:ascii="宋体" w:hAnsi="宋体" w:cs="宋体"/>
          <w:b/>
          <w:sz w:val="36"/>
          <w:szCs w:val="36"/>
        </w:rPr>
      </w:pPr>
    </w:p>
    <w:p w14:paraId="36393FEE">
      <w:pPr>
        <w:spacing w:line="440" w:lineRule="exact"/>
        <w:jc w:val="center"/>
        <w:rPr>
          <w:rFonts w:hint="eastAsia" w:ascii="宋体" w:hAnsi="宋体" w:cs="宋体"/>
          <w:b/>
          <w:sz w:val="36"/>
          <w:szCs w:val="36"/>
        </w:rPr>
      </w:pPr>
    </w:p>
    <w:p w14:paraId="4D565C83"/>
    <w:p w14:paraId="0527D945">
      <w:pPr>
        <w:pStyle w:val="35"/>
      </w:pPr>
    </w:p>
    <w:p w14:paraId="64C6F113">
      <w:pPr>
        <w:pStyle w:val="36"/>
        <w:rPr>
          <w:color w:val="auto"/>
        </w:rPr>
      </w:pPr>
    </w:p>
    <w:p w14:paraId="3F1B4AE8">
      <w:pPr>
        <w:pStyle w:val="37"/>
      </w:pPr>
    </w:p>
    <w:p w14:paraId="15157A6E">
      <w:pPr>
        <w:pStyle w:val="38"/>
      </w:pPr>
    </w:p>
    <w:p w14:paraId="740680C2"/>
    <w:p w14:paraId="38869886">
      <w:pPr>
        <w:pStyle w:val="35"/>
      </w:pPr>
    </w:p>
    <w:p w14:paraId="1E9624DF">
      <w:pPr>
        <w:pStyle w:val="36"/>
        <w:rPr>
          <w:color w:val="auto"/>
        </w:rPr>
      </w:pPr>
    </w:p>
    <w:p w14:paraId="011150D6">
      <w:pPr>
        <w:pStyle w:val="37"/>
      </w:pPr>
    </w:p>
    <w:p w14:paraId="1056E2B5">
      <w:pPr>
        <w:pStyle w:val="38"/>
      </w:pPr>
    </w:p>
    <w:p w14:paraId="7043FFBC"/>
    <w:p w14:paraId="7BB6CDA9">
      <w:pPr>
        <w:pStyle w:val="35"/>
      </w:pPr>
    </w:p>
    <w:p w14:paraId="2EFCC674">
      <w:pPr>
        <w:pStyle w:val="36"/>
        <w:rPr>
          <w:color w:val="auto"/>
        </w:rPr>
      </w:pPr>
    </w:p>
    <w:p w14:paraId="325625EF">
      <w:pPr>
        <w:pStyle w:val="37"/>
      </w:pPr>
    </w:p>
    <w:p w14:paraId="2DFA1AD7">
      <w:pPr>
        <w:pStyle w:val="38"/>
      </w:pPr>
    </w:p>
    <w:p w14:paraId="6EE47BDA">
      <w:pPr>
        <w:pStyle w:val="35"/>
      </w:pPr>
    </w:p>
    <w:p w14:paraId="4E703A8D">
      <w:pPr>
        <w:spacing w:line="360" w:lineRule="auto"/>
        <w:jc w:val="center"/>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优化和提升政府采购政策</w:t>
      </w:r>
    </w:p>
    <w:p w14:paraId="428323D7">
      <w:pPr>
        <w:pStyle w:val="35"/>
      </w:pPr>
    </w:p>
    <w:p w14:paraId="3C02C92B">
      <w:pPr>
        <w:shd w:val="clear" w:color="auto" w:fill="FFFFFF"/>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一、全面取消采购文件费用和投标保证金费用。</w:t>
      </w:r>
    </w:p>
    <w:p w14:paraId="51EC5D32">
      <w:pPr>
        <w:shd w:val="clear" w:color="auto" w:fill="FFFFFF"/>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二、免收履约保证金。确因项目需要的，应以保函等非现金形式收取，比例不得超过合同金额的</w:t>
      </w:r>
      <w:r>
        <w:rPr>
          <w:rFonts w:hint="eastAsia" w:asciiTheme="minorEastAsia" w:hAnsiTheme="minorEastAsia" w:eastAsiaTheme="minorEastAsia" w:cstheme="minorEastAsia"/>
          <w:sz w:val="24"/>
          <w:u w:val="single"/>
        </w:rPr>
        <w:t>6%</w:t>
      </w:r>
      <w:r>
        <w:rPr>
          <w:rFonts w:hint="eastAsia" w:asciiTheme="minorEastAsia" w:hAnsiTheme="minorEastAsia" w:eastAsiaTheme="minorEastAsia" w:cstheme="minorEastAsia"/>
          <w:sz w:val="24"/>
        </w:rPr>
        <w:t>，并按约定的时间和条件退还。</w:t>
      </w:r>
    </w:p>
    <w:p w14:paraId="73C03A8D">
      <w:pPr>
        <w:shd w:val="clear" w:color="auto" w:fill="FFFFFF"/>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三、评标结果确认时限。自评标（评审）结束后应2个工作日内确定中标供应商，5个工作日内公告结果，同时发送中标通知书。</w:t>
      </w:r>
    </w:p>
    <w:p w14:paraId="309328F0">
      <w:pPr>
        <w:shd w:val="clear" w:color="auto" w:fill="FFFFFF"/>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四、合同签订时限。自中标通知书发出之日起</w:t>
      </w:r>
      <w:r>
        <w:rPr>
          <w:rFonts w:hint="eastAsia" w:asciiTheme="minorEastAsia" w:hAnsiTheme="minorEastAsia" w:eastAsiaTheme="minorEastAsia" w:cstheme="minorEastAsia"/>
          <w:sz w:val="24"/>
          <w:u w:val="single"/>
        </w:rPr>
        <w:t>15</w:t>
      </w:r>
      <w:r>
        <w:rPr>
          <w:rFonts w:hint="eastAsia" w:asciiTheme="minorEastAsia" w:hAnsiTheme="minorEastAsia" w:eastAsiaTheme="minorEastAsia" w:cstheme="minorEastAsia"/>
          <w:sz w:val="24"/>
        </w:rPr>
        <w:t xml:space="preserve">日内，按照采购文件和投标文件确定的事项签订政府采购合同。 </w:t>
      </w:r>
    </w:p>
    <w:p w14:paraId="18964074">
      <w:pPr>
        <w:shd w:val="clear" w:color="auto" w:fill="FFFFFF"/>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五、合同公告和备案时限。自合同签订之日起2个工作日内。</w:t>
      </w:r>
    </w:p>
    <w:p w14:paraId="57335DA2">
      <w:pPr>
        <w:shd w:val="clear" w:color="auto" w:fill="FFFFFF"/>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六、项目验收。自收到供应商项目验收建议之日起5个工作日内组织验收；验收结束后2个工作日内出具《验收报告》，并在焦作市政府采购网公告验收结果。</w:t>
      </w:r>
    </w:p>
    <w:p w14:paraId="689BF23B">
      <w:pPr>
        <w:shd w:val="clear" w:color="auto" w:fill="FFFFFF"/>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七、资金支付。按照合同约定的条件及时支付资金，不得因机构变更、人员更替、政策调整等原因拒绝或延迟资金支付。</w:t>
      </w:r>
    </w:p>
    <w:p w14:paraId="41A8AE3B">
      <w:pPr>
        <w:shd w:val="clear" w:color="auto" w:fill="FFFFFF"/>
        <w:spacing w:line="360" w:lineRule="auto"/>
        <w:ind w:firstLine="480" w:firstLineChars="200"/>
        <w:rPr>
          <w:rFonts w:hint="eastAsia"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在政府采购活动中，若发现采购人或采购代理机构未按以上政策执行的，可向监督部门举报反映。</w:t>
      </w:r>
    </w:p>
    <w:p w14:paraId="7F30DD61">
      <w:pPr>
        <w:shd w:val="clear" w:color="auto" w:fill="FFFFFF"/>
        <w:spacing w:line="360" w:lineRule="auto"/>
        <w:ind w:firstLine="480" w:firstLineChars="200"/>
        <w:rPr>
          <w:rFonts w:hint="eastAsia"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监督单位：博爱县财政局政府采购监督管理办公室</w:t>
      </w:r>
    </w:p>
    <w:p w14:paraId="10A9CB2D">
      <w:pPr>
        <w:shd w:val="clear" w:color="auto" w:fill="FFFFFF"/>
        <w:spacing w:line="360" w:lineRule="auto"/>
        <w:ind w:firstLine="480" w:firstLineChars="200"/>
        <w:rPr>
          <w:rFonts w:hint="eastAsia"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监督电话：0391-8683273</w:t>
      </w:r>
    </w:p>
    <w:p w14:paraId="5CE4376A">
      <w:pPr>
        <w:shd w:val="clear" w:color="auto" w:fill="FFFFFF"/>
        <w:spacing w:line="360" w:lineRule="auto"/>
        <w:ind w:firstLine="480" w:firstLineChars="200"/>
        <w:rPr>
          <w:rFonts w:hint="eastAsia"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地址：博爱县发展大道188号机关综合办公楼主楼1213室</w:t>
      </w:r>
    </w:p>
    <w:p w14:paraId="3A2ED4F2">
      <w:pPr>
        <w:spacing w:line="440" w:lineRule="exact"/>
        <w:jc w:val="center"/>
        <w:rPr>
          <w:rFonts w:hint="eastAsia" w:ascii="宋体" w:hAnsi="宋体" w:cs="宋体"/>
          <w:b/>
          <w:sz w:val="36"/>
          <w:szCs w:val="36"/>
        </w:rPr>
      </w:pPr>
    </w:p>
    <w:p w14:paraId="31AC0FEC">
      <w:pPr>
        <w:spacing w:line="440" w:lineRule="exact"/>
        <w:jc w:val="center"/>
        <w:rPr>
          <w:rFonts w:hint="eastAsia" w:ascii="宋体" w:hAnsi="宋体" w:cs="宋体"/>
          <w:b/>
          <w:sz w:val="36"/>
          <w:szCs w:val="36"/>
        </w:rPr>
      </w:pPr>
    </w:p>
    <w:p w14:paraId="30EB9991">
      <w:pPr>
        <w:pStyle w:val="10"/>
        <w:rPr>
          <w:rFonts w:hint="eastAsia" w:ascii="宋体" w:hAnsi="宋体" w:cs="宋体"/>
          <w:sz w:val="36"/>
          <w:szCs w:val="36"/>
        </w:rPr>
      </w:pPr>
    </w:p>
    <w:p w14:paraId="596F186E">
      <w:pPr>
        <w:spacing w:line="440" w:lineRule="exact"/>
        <w:rPr>
          <w:rFonts w:hint="eastAsia" w:ascii="宋体" w:hAnsi="宋体" w:cs="宋体"/>
          <w:b/>
          <w:sz w:val="36"/>
          <w:szCs w:val="36"/>
        </w:rPr>
      </w:pPr>
    </w:p>
    <w:p w14:paraId="16091C1D">
      <w:pPr>
        <w:pStyle w:val="35"/>
      </w:pPr>
    </w:p>
    <w:p w14:paraId="76884A71">
      <w:pPr>
        <w:spacing w:line="440" w:lineRule="exact"/>
        <w:jc w:val="center"/>
        <w:rPr>
          <w:rFonts w:hint="eastAsia" w:ascii="宋体" w:hAnsi="宋体" w:cs="宋体"/>
          <w:b/>
          <w:sz w:val="36"/>
          <w:szCs w:val="36"/>
        </w:rPr>
      </w:pPr>
      <w:r>
        <w:rPr>
          <w:rFonts w:hint="eastAsia" w:ascii="宋体" w:hAnsi="宋体" w:cs="宋体"/>
          <w:b/>
          <w:sz w:val="36"/>
          <w:szCs w:val="36"/>
        </w:rPr>
        <w:t>河南省政府采购合同融资政策告知函</w:t>
      </w:r>
    </w:p>
    <w:p w14:paraId="659CBCF2">
      <w:pPr>
        <w:spacing w:line="420" w:lineRule="exact"/>
        <w:ind w:firstLine="420" w:firstLineChars="175"/>
        <w:rPr>
          <w:rFonts w:hint="eastAsia" w:ascii="宋体" w:hAnsi="宋体" w:cs="宋体"/>
          <w:bCs/>
          <w:sz w:val="24"/>
        </w:rPr>
      </w:pPr>
      <w:r>
        <w:rPr>
          <w:rFonts w:hint="eastAsia" w:ascii="宋体" w:hAnsi="宋体" w:cs="宋体"/>
          <w:bCs/>
          <w:sz w:val="24"/>
        </w:rPr>
        <w:t>各供应商：</w:t>
      </w:r>
    </w:p>
    <w:p w14:paraId="49097F55">
      <w:pPr>
        <w:spacing w:line="420" w:lineRule="exact"/>
        <w:ind w:firstLine="420" w:firstLineChars="175"/>
        <w:rPr>
          <w:rFonts w:hint="eastAsia" w:ascii="宋体" w:hAnsi="宋体" w:cs="宋体"/>
          <w:bCs/>
          <w:sz w:val="24"/>
        </w:rPr>
      </w:pPr>
      <w:r>
        <w:rPr>
          <w:rFonts w:hint="eastAsia" w:ascii="宋体" w:hAnsi="宋体" w:cs="宋体"/>
          <w:bCs/>
          <w:sz w:val="24"/>
        </w:rPr>
        <w:t xml:space="preserve">   欢迎贵公司参与河南省政府采购活动！</w:t>
      </w:r>
    </w:p>
    <w:p w14:paraId="0C66BD8B">
      <w:pPr>
        <w:spacing w:line="420" w:lineRule="exact"/>
        <w:ind w:firstLine="420" w:firstLineChars="175"/>
        <w:rPr>
          <w:rFonts w:hint="eastAsia" w:ascii="宋体" w:hAnsi="宋体" w:cs="宋体"/>
          <w:bCs/>
          <w:sz w:val="24"/>
        </w:rPr>
      </w:pPr>
      <w:r>
        <w:rPr>
          <w:rFonts w:hint="eastAsia" w:ascii="宋体" w:hAnsi="宋体" w:cs="宋体"/>
          <w:bCs/>
          <w:sz w:val="24"/>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14:paraId="5C8232EB">
      <w:pPr>
        <w:spacing w:line="420" w:lineRule="exact"/>
        <w:ind w:firstLine="420" w:firstLineChars="175"/>
        <w:rPr>
          <w:rFonts w:hint="eastAsia" w:ascii="宋体" w:hAnsi="宋体" w:cs="宋体"/>
          <w:bCs/>
          <w:sz w:val="24"/>
        </w:rPr>
      </w:pPr>
      <w:r>
        <w:rPr>
          <w:rFonts w:hint="eastAsia" w:ascii="宋体" w:hAnsi="宋体" w:cs="宋体"/>
          <w:bCs/>
          <w:sz w:val="24"/>
        </w:rPr>
        <w:t xml:space="preserve"> 贷款渠道和提供贷款的金融机构，可在河南省政府采购网“河南省政府采购合同融资平台”查询联系。</w:t>
      </w:r>
    </w:p>
    <w:p w14:paraId="09E84EC5">
      <w:pPr>
        <w:jc w:val="center"/>
        <w:rPr>
          <w:rFonts w:hint="eastAsia" w:ascii="宋体" w:hAnsi="宋体"/>
          <w:b/>
          <w:sz w:val="32"/>
          <w:szCs w:val="32"/>
        </w:rPr>
      </w:pPr>
      <w:r>
        <w:rPr>
          <w:rFonts w:hint="eastAsia" w:ascii="宋体" w:hAnsi="宋体"/>
          <w:b/>
          <w:sz w:val="32"/>
          <w:szCs w:val="32"/>
        </w:rPr>
        <w:t>焦作市政府采购合同融资合作企业</w:t>
      </w:r>
    </w:p>
    <w:tbl>
      <w:tblPr>
        <w:tblStyle w:val="30"/>
        <w:tblW w:w="9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3"/>
        <w:gridCol w:w="1353"/>
        <w:gridCol w:w="2064"/>
        <w:gridCol w:w="2558"/>
      </w:tblGrid>
      <w:tr w14:paraId="59CCA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023" w:type="dxa"/>
            <w:vAlign w:val="center"/>
          </w:tcPr>
          <w:p w14:paraId="30229689">
            <w:pPr>
              <w:widowControl/>
              <w:tabs>
                <w:tab w:val="left" w:pos="0"/>
              </w:tabs>
              <w:jc w:val="center"/>
              <w:rPr>
                <w:rFonts w:hint="eastAsia" w:ascii="黑体" w:hAnsi="黑体" w:eastAsia="黑体"/>
                <w:sz w:val="30"/>
                <w:szCs w:val="30"/>
              </w:rPr>
            </w:pPr>
            <w:r>
              <w:rPr>
                <w:rFonts w:hint="eastAsia" w:ascii="黑体" w:hAnsi="黑体" w:eastAsia="黑体"/>
                <w:sz w:val="30"/>
                <w:szCs w:val="30"/>
              </w:rPr>
              <w:t>名称</w:t>
            </w:r>
          </w:p>
        </w:tc>
        <w:tc>
          <w:tcPr>
            <w:tcW w:w="1353" w:type="dxa"/>
            <w:vAlign w:val="center"/>
          </w:tcPr>
          <w:p w14:paraId="39F5DDBC">
            <w:pPr>
              <w:widowControl/>
              <w:tabs>
                <w:tab w:val="left" w:pos="0"/>
              </w:tabs>
              <w:jc w:val="center"/>
              <w:rPr>
                <w:rFonts w:hint="eastAsia" w:ascii="黑体" w:hAnsi="黑体" w:eastAsia="黑体"/>
                <w:sz w:val="30"/>
                <w:szCs w:val="30"/>
              </w:rPr>
            </w:pPr>
            <w:r>
              <w:rPr>
                <w:rFonts w:hint="eastAsia" w:ascii="黑体" w:hAnsi="黑体" w:eastAsia="黑体"/>
                <w:sz w:val="30"/>
                <w:szCs w:val="30"/>
              </w:rPr>
              <w:t>联系人</w:t>
            </w:r>
          </w:p>
        </w:tc>
        <w:tc>
          <w:tcPr>
            <w:tcW w:w="2064" w:type="dxa"/>
            <w:vAlign w:val="center"/>
          </w:tcPr>
          <w:p w14:paraId="28485894">
            <w:pPr>
              <w:widowControl/>
              <w:tabs>
                <w:tab w:val="left" w:pos="0"/>
              </w:tabs>
              <w:jc w:val="center"/>
              <w:rPr>
                <w:rFonts w:hint="eastAsia" w:ascii="黑体" w:hAnsi="黑体" w:eastAsia="黑体"/>
                <w:sz w:val="30"/>
                <w:szCs w:val="30"/>
              </w:rPr>
            </w:pPr>
            <w:r>
              <w:rPr>
                <w:rFonts w:hint="eastAsia" w:ascii="黑体" w:hAnsi="黑体" w:eastAsia="黑体"/>
                <w:sz w:val="30"/>
                <w:szCs w:val="30"/>
              </w:rPr>
              <w:t>联系电话</w:t>
            </w:r>
          </w:p>
        </w:tc>
        <w:tc>
          <w:tcPr>
            <w:tcW w:w="2558" w:type="dxa"/>
            <w:vAlign w:val="center"/>
          </w:tcPr>
          <w:p w14:paraId="7A7AF317">
            <w:pPr>
              <w:widowControl/>
              <w:tabs>
                <w:tab w:val="left" w:pos="0"/>
              </w:tabs>
              <w:jc w:val="center"/>
              <w:rPr>
                <w:rFonts w:hint="eastAsia" w:ascii="黑体" w:hAnsi="黑体" w:eastAsia="黑体"/>
                <w:sz w:val="30"/>
                <w:szCs w:val="30"/>
              </w:rPr>
            </w:pPr>
            <w:r>
              <w:rPr>
                <w:rFonts w:hint="eastAsia" w:ascii="黑体" w:hAnsi="黑体" w:eastAsia="黑体"/>
                <w:sz w:val="30"/>
                <w:szCs w:val="30"/>
              </w:rPr>
              <w:t>地址</w:t>
            </w:r>
          </w:p>
        </w:tc>
      </w:tr>
      <w:tr w14:paraId="4C946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4023" w:type="dxa"/>
            <w:shd w:val="clear" w:color="auto" w:fill="auto"/>
            <w:vAlign w:val="center"/>
          </w:tcPr>
          <w:p w14:paraId="1AD298E9">
            <w:pPr>
              <w:widowControl/>
              <w:tabs>
                <w:tab w:val="left" w:pos="0"/>
              </w:tabs>
              <w:spacing w:line="360" w:lineRule="exact"/>
              <w:rPr>
                <w:rFonts w:hint="eastAsia" w:ascii="宋体" w:hAnsi="宋体" w:cs="宋体"/>
                <w:sz w:val="24"/>
              </w:rPr>
            </w:pPr>
            <w:r>
              <w:rPr>
                <w:rFonts w:hint="eastAsia" w:ascii="宋体" w:hAnsi="宋体" w:cs="宋体"/>
                <w:sz w:val="24"/>
              </w:rPr>
              <w:t>中国农业银行股份有限公司</w:t>
            </w:r>
          </w:p>
          <w:p w14:paraId="1C40DFA3">
            <w:pPr>
              <w:widowControl/>
              <w:tabs>
                <w:tab w:val="left" w:pos="0"/>
              </w:tabs>
              <w:spacing w:line="360" w:lineRule="exact"/>
              <w:rPr>
                <w:rFonts w:hint="eastAsia" w:ascii="宋体" w:hAnsi="宋体" w:cs="宋体"/>
                <w:sz w:val="24"/>
              </w:rPr>
            </w:pPr>
            <w:r>
              <w:rPr>
                <w:rFonts w:hint="eastAsia" w:ascii="宋体" w:hAnsi="宋体" w:cs="宋体"/>
                <w:sz w:val="24"/>
              </w:rPr>
              <w:t>焦作分行</w:t>
            </w:r>
          </w:p>
        </w:tc>
        <w:tc>
          <w:tcPr>
            <w:tcW w:w="1353" w:type="dxa"/>
            <w:shd w:val="solid" w:color="FFFFFF" w:fill="auto"/>
            <w:vAlign w:val="center"/>
          </w:tcPr>
          <w:p w14:paraId="7FD04481">
            <w:pPr>
              <w:shd w:val="solid" w:color="FFFFFF" w:fill="auto"/>
              <w:autoSpaceDN w:val="0"/>
              <w:jc w:val="center"/>
              <w:textAlignment w:val="center"/>
              <w:rPr>
                <w:rFonts w:hint="eastAsia" w:ascii="宋体" w:hAnsi="宋体" w:cs="宋体"/>
                <w:sz w:val="24"/>
              </w:rPr>
            </w:pPr>
            <w:r>
              <w:rPr>
                <w:rFonts w:hint="eastAsia" w:ascii="宋体" w:hAnsi="宋体" w:cs="宋体"/>
                <w:sz w:val="24"/>
                <w:shd w:val="clear" w:color="auto" w:fill="FFFFFF"/>
              </w:rPr>
              <w:t>薛国战</w:t>
            </w:r>
          </w:p>
        </w:tc>
        <w:tc>
          <w:tcPr>
            <w:tcW w:w="2064" w:type="dxa"/>
            <w:shd w:val="solid" w:color="FFFFFF" w:fill="auto"/>
            <w:vAlign w:val="center"/>
          </w:tcPr>
          <w:p w14:paraId="73E11653">
            <w:pPr>
              <w:shd w:val="solid" w:color="FFFFFF" w:fill="auto"/>
              <w:autoSpaceDN w:val="0"/>
              <w:jc w:val="center"/>
              <w:textAlignment w:val="center"/>
              <w:rPr>
                <w:rFonts w:hint="eastAsia" w:ascii="宋体" w:hAnsi="宋体" w:cs="宋体"/>
                <w:sz w:val="24"/>
                <w:shd w:val="clear" w:color="auto" w:fill="FFFFFF"/>
              </w:rPr>
            </w:pPr>
            <w:r>
              <w:rPr>
                <w:rFonts w:hint="eastAsia" w:ascii="宋体" w:hAnsi="宋体" w:cs="宋体"/>
                <w:sz w:val="24"/>
                <w:shd w:val="clear" w:color="auto" w:fill="FFFFFF"/>
              </w:rPr>
              <w:t>0391-2878039       13839109026</w:t>
            </w:r>
          </w:p>
        </w:tc>
        <w:tc>
          <w:tcPr>
            <w:tcW w:w="2558" w:type="dxa"/>
            <w:shd w:val="solid" w:color="FFFFFF" w:fill="auto"/>
            <w:vAlign w:val="center"/>
          </w:tcPr>
          <w:p w14:paraId="1D226BF6">
            <w:pPr>
              <w:shd w:val="solid" w:color="FFFFFF" w:fill="auto"/>
              <w:autoSpaceDN w:val="0"/>
              <w:jc w:val="center"/>
              <w:textAlignment w:val="center"/>
              <w:rPr>
                <w:rFonts w:hint="eastAsia" w:ascii="宋体" w:hAnsi="宋体" w:cs="宋体"/>
                <w:sz w:val="24"/>
                <w:shd w:val="clear" w:color="auto" w:fill="FFFFFF"/>
              </w:rPr>
            </w:pPr>
            <w:r>
              <w:rPr>
                <w:rFonts w:hint="eastAsia" w:ascii="宋体" w:hAnsi="宋体" w:cs="宋体"/>
                <w:sz w:val="24"/>
                <w:shd w:val="clear" w:color="auto" w:fill="FFFFFF"/>
              </w:rPr>
              <w:t>焦作市民主南路88号</w:t>
            </w:r>
          </w:p>
        </w:tc>
      </w:tr>
      <w:tr w14:paraId="2B356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3" w:type="dxa"/>
            <w:shd w:val="clear" w:color="auto" w:fill="auto"/>
            <w:vAlign w:val="center"/>
          </w:tcPr>
          <w:p w14:paraId="757104B1">
            <w:pPr>
              <w:widowControl/>
              <w:tabs>
                <w:tab w:val="left" w:pos="0"/>
              </w:tabs>
              <w:spacing w:line="360" w:lineRule="exact"/>
              <w:rPr>
                <w:rFonts w:hint="eastAsia" w:ascii="宋体" w:hAnsi="宋体" w:cs="宋体"/>
                <w:sz w:val="24"/>
              </w:rPr>
            </w:pPr>
            <w:r>
              <w:rPr>
                <w:rFonts w:hint="eastAsia" w:ascii="宋体" w:hAnsi="宋体" w:cs="宋体"/>
                <w:sz w:val="24"/>
              </w:rPr>
              <w:t>中国银行股份有限公司焦作分行</w:t>
            </w:r>
          </w:p>
        </w:tc>
        <w:tc>
          <w:tcPr>
            <w:tcW w:w="1353" w:type="dxa"/>
            <w:shd w:val="solid" w:color="FFFFFF" w:fill="auto"/>
            <w:vAlign w:val="center"/>
          </w:tcPr>
          <w:p w14:paraId="0BCDDEC8">
            <w:pPr>
              <w:shd w:val="solid" w:color="FFFFFF" w:fill="auto"/>
              <w:autoSpaceDN w:val="0"/>
              <w:jc w:val="center"/>
              <w:textAlignment w:val="center"/>
              <w:rPr>
                <w:rFonts w:hint="eastAsia" w:ascii="宋体" w:hAnsi="宋体" w:cs="宋体"/>
                <w:sz w:val="24"/>
              </w:rPr>
            </w:pPr>
            <w:r>
              <w:rPr>
                <w:rFonts w:hint="eastAsia" w:ascii="宋体" w:hAnsi="宋体" w:cs="宋体"/>
                <w:sz w:val="24"/>
                <w:shd w:val="clear" w:color="auto" w:fill="FFFFFF"/>
              </w:rPr>
              <w:t>曹阳</w:t>
            </w:r>
          </w:p>
        </w:tc>
        <w:tc>
          <w:tcPr>
            <w:tcW w:w="2064" w:type="dxa"/>
            <w:shd w:val="solid" w:color="FFFFFF" w:fill="auto"/>
            <w:vAlign w:val="center"/>
          </w:tcPr>
          <w:p w14:paraId="73E86875">
            <w:pPr>
              <w:shd w:val="solid" w:color="FFFFFF" w:fill="auto"/>
              <w:autoSpaceDN w:val="0"/>
              <w:jc w:val="center"/>
              <w:textAlignment w:val="center"/>
              <w:rPr>
                <w:rFonts w:hint="eastAsia" w:ascii="宋体" w:hAnsi="宋体" w:cs="宋体"/>
                <w:sz w:val="24"/>
                <w:shd w:val="clear" w:color="auto" w:fill="FFFFFF"/>
              </w:rPr>
            </w:pPr>
            <w:r>
              <w:rPr>
                <w:rFonts w:hint="eastAsia" w:ascii="宋体" w:hAnsi="宋体" w:cs="宋体"/>
                <w:sz w:val="24"/>
                <w:shd w:val="clear" w:color="auto" w:fill="FFFFFF"/>
              </w:rPr>
              <w:t>0391-8825171  13839118160</w:t>
            </w:r>
          </w:p>
        </w:tc>
        <w:tc>
          <w:tcPr>
            <w:tcW w:w="2558" w:type="dxa"/>
            <w:shd w:val="solid" w:color="FFFFFF" w:fill="auto"/>
            <w:vAlign w:val="center"/>
          </w:tcPr>
          <w:p w14:paraId="35FC4D7C">
            <w:pPr>
              <w:shd w:val="solid" w:color="FFFFFF" w:fill="auto"/>
              <w:autoSpaceDN w:val="0"/>
              <w:jc w:val="center"/>
              <w:textAlignment w:val="center"/>
              <w:rPr>
                <w:rFonts w:hint="eastAsia" w:ascii="宋体" w:hAnsi="宋体" w:cs="宋体"/>
                <w:sz w:val="24"/>
                <w:shd w:val="clear" w:color="auto" w:fill="FFFFFF"/>
              </w:rPr>
            </w:pPr>
            <w:r>
              <w:rPr>
                <w:rFonts w:hint="eastAsia" w:ascii="宋体" w:hAnsi="宋体" w:cs="宋体"/>
                <w:sz w:val="24"/>
                <w:shd w:val="clear" w:color="auto" w:fill="FFFFFF"/>
              </w:rPr>
              <w:t>焦作市丰收路159号</w:t>
            </w:r>
          </w:p>
        </w:tc>
      </w:tr>
      <w:tr w14:paraId="7096B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23" w:type="dxa"/>
            <w:shd w:val="clear" w:color="auto" w:fill="auto"/>
            <w:vAlign w:val="center"/>
          </w:tcPr>
          <w:p w14:paraId="3ABCC2B0">
            <w:pPr>
              <w:widowControl/>
              <w:tabs>
                <w:tab w:val="left" w:pos="0"/>
              </w:tabs>
              <w:spacing w:line="360" w:lineRule="exact"/>
              <w:rPr>
                <w:rFonts w:hint="eastAsia" w:ascii="宋体" w:hAnsi="宋体" w:cs="宋体"/>
                <w:sz w:val="24"/>
              </w:rPr>
            </w:pPr>
            <w:r>
              <w:rPr>
                <w:rFonts w:hint="eastAsia" w:ascii="宋体" w:hAnsi="宋体" w:cs="宋体"/>
                <w:sz w:val="24"/>
              </w:rPr>
              <w:t>中国建设银行股份有限公司焦作分行</w:t>
            </w:r>
          </w:p>
        </w:tc>
        <w:tc>
          <w:tcPr>
            <w:tcW w:w="1353" w:type="dxa"/>
            <w:shd w:val="clear" w:color="auto" w:fill="auto"/>
            <w:vAlign w:val="center"/>
          </w:tcPr>
          <w:p w14:paraId="7685BE6A">
            <w:pPr>
              <w:widowControl/>
              <w:tabs>
                <w:tab w:val="left" w:pos="0"/>
              </w:tabs>
              <w:spacing w:line="360" w:lineRule="exact"/>
              <w:jc w:val="center"/>
              <w:rPr>
                <w:rFonts w:hint="eastAsia" w:ascii="宋体" w:hAnsi="宋体" w:cs="宋体"/>
                <w:sz w:val="24"/>
              </w:rPr>
            </w:pPr>
            <w:r>
              <w:rPr>
                <w:rFonts w:hint="eastAsia" w:ascii="宋体" w:hAnsi="宋体" w:cs="宋体"/>
                <w:sz w:val="24"/>
              </w:rPr>
              <w:t>李华莹</w:t>
            </w:r>
          </w:p>
        </w:tc>
        <w:tc>
          <w:tcPr>
            <w:tcW w:w="2064" w:type="dxa"/>
            <w:shd w:val="clear" w:color="auto" w:fill="auto"/>
            <w:vAlign w:val="center"/>
          </w:tcPr>
          <w:p w14:paraId="03E6D89B">
            <w:pPr>
              <w:widowControl/>
              <w:tabs>
                <w:tab w:val="left" w:pos="0"/>
              </w:tabs>
              <w:spacing w:line="360" w:lineRule="exact"/>
              <w:jc w:val="center"/>
              <w:rPr>
                <w:rFonts w:hint="eastAsia" w:ascii="宋体" w:hAnsi="宋体" w:cs="宋体"/>
                <w:sz w:val="24"/>
              </w:rPr>
            </w:pPr>
            <w:r>
              <w:rPr>
                <w:rFonts w:hint="eastAsia" w:ascii="宋体" w:hAnsi="宋体" w:cs="宋体"/>
                <w:sz w:val="24"/>
              </w:rPr>
              <w:t>0391-3918471</w:t>
            </w:r>
          </w:p>
        </w:tc>
        <w:tc>
          <w:tcPr>
            <w:tcW w:w="2558" w:type="dxa"/>
            <w:shd w:val="solid" w:color="FFFFFF" w:fill="auto"/>
            <w:vAlign w:val="center"/>
          </w:tcPr>
          <w:p w14:paraId="4A105B98">
            <w:pPr>
              <w:widowControl/>
              <w:tabs>
                <w:tab w:val="left" w:pos="0"/>
              </w:tabs>
              <w:spacing w:line="360" w:lineRule="exact"/>
              <w:rPr>
                <w:rFonts w:hint="eastAsia" w:ascii="宋体" w:hAnsi="宋体" w:cs="宋体"/>
                <w:sz w:val="24"/>
              </w:rPr>
            </w:pPr>
            <w:r>
              <w:rPr>
                <w:rFonts w:hint="eastAsia" w:ascii="宋体" w:hAnsi="宋体" w:cs="宋体"/>
                <w:sz w:val="24"/>
              </w:rPr>
              <w:t>焦作市建设东路152号</w:t>
            </w:r>
          </w:p>
        </w:tc>
      </w:tr>
      <w:tr w14:paraId="67D38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3" w:type="dxa"/>
            <w:shd w:val="clear" w:color="auto" w:fill="auto"/>
            <w:vAlign w:val="center"/>
          </w:tcPr>
          <w:p w14:paraId="60689B8F">
            <w:pPr>
              <w:widowControl/>
              <w:tabs>
                <w:tab w:val="left" w:pos="0"/>
              </w:tabs>
              <w:spacing w:line="360" w:lineRule="exact"/>
              <w:rPr>
                <w:rFonts w:hint="eastAsia" w:ascii="宋体" w:hAnsi="宋体" w:cs="宋体"/>
                <w:sz w:val="24"/>
              </w:rPr>
            </w:pPr>
            <w:r>
              <w:rPr>
                <w:rFonts w:hint="eastAsia" w:ascii="宋体" w:hAnsi="宋体" w:cs="宋体"/>
                <w:sz w:val="24"/>
              </w:rPr>
              <w:t>中国邮政储蓄银行股份有限公司焦作市分行</w:t>
            </w:r>
          </w:p>
        </w:tc>
        <w:tc>
          <w:tcPr>
            <w:tcW w:w="1353" w:type="dxa"/>
            <w:shd w:val="solid" w:color="FFFFFF" w:fill="auto"/>
            <w:vAlign w:val="center"/>
          </w:tcPr>
          <w:p w14:paraId="2824A507">
            <w:pPr>
              <w:shd w:val="solid" w:color="FFFFFF" w:fill="auto"/>
              <w:autoSpaceDN w:val="0"/>
              <w:jc w:val="center"/>
              <w:textAlignment w:val="center"/>
              <w:rPr>
                <w:rFonts w:hint="eastAsia" w:ascii="宋体" w:hAnsi="宋体" w:cs="宋体"/>
                <w:sz w:val="24"/>
              </w:rPr>
            </w:pPr>
            <w:r>
              <w:rPr>
                <w:rFonts w:hint="eastAsia" w:ascii="宋体" w:hAnsi="宋体" w:cs="宋体"/>
                <w:sz w:val="24"/>
                <w:shd w:val="clear" w:color="auto" w:fill="FFFFFF"/>
              </w:rPr>
              <w:t>李天祥</w:t>
            </w:r>
          </w:p>
        </w:tc>
        <w:tc>
          <w:tcPr>
            <w:tcW w:w="2064" w:type="dxa"/>
            <w:shd w:val="solid" w:color="FFFFFF" w:fill="auto"/>
            <w:vAlign w:val="center"/>
          </w:tcPr>
          <w:p w14:paraId="20DBBC7C">
            <w:pPr>
              <w:shd w:val="solid" w:color="FFFFFF" w:fill="auto"/>
              <w:autoSpaceDN w:val="0"/>
              <w:jc w:val="center"/>
              <w:textAlignment w:val="center"/>
              <w:rPr>
                <w:rFonts w:hint="eastAsia" w:ascii="宋体" w:hAnsi="宋体" w:cs="宋体"/>
                <w:sz w:val="24"/>
                <w:shd w:val="clear" w:color="auto" w:fill="FFFFFF"/>
              </w:rPr>
            </w:pPr>
            <w:r>
              <w:rPr>
                <w:rFonts w:hint="eastAsia" w:ascii="宋体" w:hAnsi="宋体" w:cs="宋体"/>
                <w:sz w:val="24"/>
                <w:shd w:val="clear" w:color="auto" w:fill="FFFFFF"/>
              </w:rPr>
              <w:t>0391-2981968 13523359082</w:t>
            </w:r>
          </w:p>
        </w:tc>
        <w:tc>
          <w:tcPr>
            <w:tcW w:w="2558" w:type="dxa"/>
            <w:shd w:val="solid" w:color="FFFFFF" w:fill="auto"/>
            <w:vAlign w:val="center"/>
          </w:tcPr>
          <w:p w14:paraId="28DAAAB4">
            <w:pPr>
              <w:shd w:val="solid" w:color="FFFFFF" w:fill="auto"/>
              <w:autoSpaceDN w:val="0"/>
              <w:jc w:val="center"/>
              <w:textAlignment w:val="center"/>
              <w:rPr>
                <w:rFonts w:hint="eastAsia" w:ascii="宋体" w:hAnsi="宋体" w:cs="宋体"/>
                <w:sz w:val="24"/>
                <w:shd w:val="clear" w:color="auto" w:fill="FFFFFF"/>
              </w:rPr>
            </w:pPr>
            <w:r>
              <w:rPr>
                <w:rFonts w:hint="eastAsia" w:ascii="宋体" w:hAnsi="宋体" w:cs="宋体"/>
                <w:sz w:val="24"/>
                <w:shd w:val="clear" w:color="auto" w:fill="FFFFFF"/>
              </w:rPr>
              <w:t>焦作市丰收中路2233号</w:t>
            </w:r>
          </w:p>
        </w:tc>
      </w:tr>
      <w:tr w14:paraId="03749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4023" w:type="dxa"/>
            <w:shd w:val="clear" w:color="auto" w:fill="auto"/>
            <w:vAlign w:val="center"/>
          </w:tcPr>
          <w:p w14:paraId="387E87B9">
            <w:pPr>
              <w:widowControl/>
              <w:tabs>
                <w:tab w:val="left" w:pos="0"/>
              </w:tabs>
              <w:spacing w:line="360" w:lineRule="exact"/>
              <w:rPr>
                <w:rFonts w:hint="eastAsia" w:ascii="宋体" w:hAnsi="宋体" w:cs="宋体"/>
                <w:sz w:val="24"/>
              </w:rPr>
            </w:pPr>
            <w:r>
              <w:rPr>
                <w:rFonts w:hint="eastAsia" w:ascii="宋体" w:hAnsi="宋体" w:cs="宋体"/>
                <w:sz w:val="24"/>
              </w:rPr>
              <w:t>焦作中旅银行股份有限公司</w:t>
            </w:r>
          </w:p>
        </w:tc>
        <w:tc>
          <w:tcPr>
            <w:tcW w:w="1353" w:type="dxa"/>
            <w:shd w:val="solid" w:color="FFFFFF" w:fill="auto"/>
            <w:vAlign w:val="center"/>
          </w:tcPr>
          <w:p w14:paraId="69298E3C">
            <w:pPr>
              <w:shd w:val="solid" w:color="FFFFFF" w:fill="auto"/>
              <w:autoSpaceDN w:val="0"/>
              <w:jc w:val="center"/>
              <w:textAlignment w:val="center"/>
              <w:rPr>
                <w:rFonts w:hint="eastAsia" w:ascii="宋体" w:hAnsi="宋体" w:cs="宋体"/>
                <w:sz w:val="24"/>
              </w:rPr>
            </w:pPr>
            <w:r>
              <w:rPr>
                <w:rFonts w:hint="eastAsia" w:ascii="宋体" w:hAnsi="宋体" w:cs="宋体"/>
                <w:sz w:val="24"/>
                <w:shd w:val="clear" w:color="auto" w:fill="FFFFFF"/>
              </w:rPr>
              <w:t>周建林</w:t>
            </w:r>
          </w:p>
        </w:tc>
        <w:tc>
          <w:tcPr>
            <w:tcW w:w="2064" w:type="dxa"/>
            <w:shd w:val="solid" w:color="FFFFFF" w:fill="auto"/>
            <w:vAlign w:val="center"/>
          </w:tcPr>
          <w:p w14:paraId="7A427F51">
            <w:pPr>
              <w:shd w:val="solid" w:color="FFFFFF" w:fill="auto"/>
              <w:autoSpaceDN w:val="0"/>
              <w:jc w:val="center"/>
              <w:textAlignment w:val="center"/>
              <w:rPr>
                <w:rFonts w:hint="eastAsia" w:ascii="宋体" w:hAnsi="宋体" w:cs="宋体"/>
                <w:sz w:val="24"/>
                <w:shd w:val="clear" w:color="auto" w:fill="FFFFFF"/>
              </w:rPr>
            </w:pPr>
            <w:r>
              <w:rPr>
                <w:rFonts w:hint="eastAsia" w:ascii="宋体" w:hAnsi="宋体" w:cs="宋体"/>
                <w:sz w:val="24"/>
                <w:shd w:val="clear" w:color="auto" w:fill="FFFFFF"/>
              </w:rPr>
              <w:t xml:space="preserve">0391-2116963 15893053027 </w:t>
            </w:r>
          </w:p>
        </w:tc>
        <w:tc>
          <w:tcPr>
            <w:tcW w:w="2558" w:type="dxa"/>
            <w:shd w:val="solid" w:color="FFFFFF" w:fill="auto"/>
            <w:vAlign w:val="center"/>
          </w:tcPr>
          <w:p w14:paraId="641B395D">
            <w:pPr>
              <w:shd w:val="solid" w:color="FFFFFF" w:fill="auto"/>
              <w:autoSpaceDN w:val="0"/>
              <w:jc w:val="center"/>
              <w:textAlignment w:val="center"/>
              <w:rPr>
                <w:rFonts w:hint="eastAsia" w:ascii="宋体" w:hAnsi="宋体" w:cs="宋体"/>
                <w:sz w:val="24"/>
                <w:shd w:val="clear" w:color="auto" w:fill="FFFFFF"/>
              </w:rPr>
            </w:pPr>
            <w:r>
              <w:rPr>
                <w:rFonts w:hint="eastAsia" w:ascii="宋体" w:hAnsi="宋体" w:cs="宋体"/>
                <w:sz w:val="24"/>
                <w:shd w:val="clear" w:color="auto" w:fill="FFFFFF"/>
              </w:rPr>
              <w:t>焦作市山阳区迎宾路1号</w:t>
            </w:r>
          </w:p>
        </w:tc>
      </w:tr>
      <w:tr w14:paraId="10F86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4023" w:type="dxa"/>
            <w:shd w:val="clear" w:color="auto" w:fill="auto"/>
            <w:vAlign w:val="center"/>
          </w:tcPr>
          <w:p w14:paraId="2AD96761">
            <w:pPr>
              <w:widowControl/>
              <w:tabs>
                <w:tab w:val="left" w:pos="0"/>
              </w:tabs>
              <w:spacing w:line="360" w:lineRule="exact"/>
              <w:rPr>
                <w:rFonts w:hint="eastAsia" w:ascii="宋体" w:hAnsi="宋体" w:cs="宋体"/>
                <w:sz w:val="24"/>
              </w:rPr>
            </w:pPr>
            <w:r>
              <w:rPr>
                <w:rFonts w:hint="eastAsia" w:ascii="宋体" w:hAnsi="宋体" w:cs="宋体"/>
                <w:sz w:val="24"/>
              </w:rPr>
              <w:t>中信银行股份有限公司焦作分行</w:t>
            </w:r>
          </w:p>
        </w:tc>
        <w:tc>
          <w:tcPr>
            <w:tcW w:w="1353" w:type="dxa"/>
            <w:shd w:val="clear" w:color="auto" w:fill="auto"/>
            <w:vAlign w:val="center"/>
          </w:tcPr>
          <w:p w14:paraId="715FC4A2">
            <w:pPr>
              <w:widowControl/>
              <w:tabs>
                <w:tab w:val="left" w:pos="0"/>
              </w:tabs>
              <w:spacing w:line="360" w:lineRule="exact"/>
              <w:jc w:val="center"/>
              <w:rPr>
                <w:rFonts w:hint="eastAsia" w:ascii="宋体" w:hAnsi="宋体" w:cs="宋体"/>
                <w:sz w:val="24"/>
              </w:rPr>
            </w:pPr>
            <w:r>
              <w:rPr>
                <w:rFonts w:hint="eastAsia" w:ascii="宋体" w:hAnsi="宋体" w:cs="宋体"/>
                <w:sz w:val="24"/>
              </w:rPr>
              <w:t>周江江</w:t>
            </w:r>
          </w:p>
        </w:tc>
        <w:tc>
          <w:tcPr>
            <w:tcW w:w="2064" w:type="dxa"/>
            <w:shd w:val="clear" w:color="auto" w:fill="auto"/>
            <w:vAlign w:val="center"/>
          </w:tcPr>
          <w:p w14:paraId="0207773D">
            <w:pPr>
              <w:widowControl/>
              <w:tabs>
                <w:tab w:val="left" w:pos="0"/>
              </w:tabs>
              <w:spacing w:line="360" w:lineRule="exact"/>
              <w:jc w:val="center"/>
              <w:rPr>
                <w:rFonts w:hint="eastAsia" w:ascii="宋体" w:hAnsi="宋体" w:cs="宋体"/>
                <w:sz w:val="24"/>
              </w:rPr>
            </w:pPr>
            <w:r>
              <w:rPr>
                <w:rFonts w:hint="eastAsia" w:ascii="宋体" w:hAnsi="宋体" w:cs="宋体"/>
                <w:sz w:val="24"/>
              </w:rPr>
              <w:t>17639185001</w:t>
            </w:r>
          </w:p>
        </w:tc>
        <w:tc>
          <w:tcPr>
            <w:tcW w:w="2558" w:type="dxa"/>
            <w:shd w:val="solid" w:color="FFFFFF" w:fill="auto"/>
            <w:vAlign w:val="center"/>
          </w:tcPr>
          <w:p w14:paraId="7376005A">
            <w:pPr>
              <w:widowControl/>
              <w:tabs>
                <w:tab w:val="left" w:pos="0"/>
              </w:tabs>
              <w:spacing w:line="360" w:lineRule="exact"/>
              <w:rPr>
                <w:rFonts w:hint="eastAsia" w:ascii="宋体" w:hAnsi="宋体" w:cs="宋体"/>
                <w:sz w:val="24"/>
              </w:rPr>
            </w:pPr>
            <w:r>
              <w:rPr>
                <w:rFonts w:hint="eastAsia" w:ascii="宋体" w:hAnsi="宋体" w:cs="宋体"/>
                <w:sz w:val="24"/>
              </w:rPr>
              <w:t>焦作市塔南路1736号嘉隆国际中心</w:t>
            </w:r>
          </w:p>
        </w:tc>
      </w:tr>
      <w:tr w14:paraId="1DEA4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023" w:type="dxa"/>
            <w:shd w:val="clear" w:color="auto" w:fill="auto"/>
            <w:vAlign w:val="center"/>
          </w:tcPr>
          <w:p w14:paraId="24CBAF9D">
            <w:pPr>
              <w:widowControl/>
              <w:tabs>
                <w:tab w:val="left" w:pos="0"/>
              </w:tabs>
              <w:spacing w:line="360" w:lineRule="exact"/>
              <w:rPr>
                <w:rFonts w:hint="eastAsia" w:ascii="宋体" w:hAnsi="宋体" w:cs="宋体"/>
                <w:sz w:val="24"/>
              </w:rPr>
            </w:pPr>
            <w:r>
              <w:rPr>
                <w:rFonts w:hint="eastAsia" w:ascii="宋体" w:hAnsi="宋体" w:cs="宋体"/>
                <w:bCs/>
                <w:sz w:val="24"/>
              </w:rPr>
              <w:t>中国光大银行股份有限公司焦作分行</w:t>
            </w:r>
          </w:p>
        </w:tc>
        <w:tc>
          <w:tcPr>
            <w:tcW w:w="1353" w:type="dxa"/>
            <w:shd w:val="solid" w:color="FFFFFF" w:fill="auto"/>
            <w:vAlign w:val="center"/>
          </w:tcPr>
          <w:p w14:paraId="351CD77A">
            <w:pPr>
              <w:shd w:val="solid" w:color="FFFFFF" w:fill="auto"/>
              <w:autoSpaceDN w:val="0"/>
              <w:jc w:val="center"/>
              <w:textAlignment w:val="center"/>
              <w:rPr>
                <w:rFonts w:hint="eastAsia" w:ascii="宋体" w:hAnsi="宋体" w:cs="宋体"/>
                <w:sz w:val="24"/>
              </w:rPr>
            </w:pPr>
            <w:r>
              <w:rPr>
                <w:rFonts w:hint="eastAsia" w:ascii="宋体" w:hAnsi="宋体" w:cs="宋体"/>
                <w:sz w:val="24"/>
                <w:shd w:val="clear" w:color="auto" w:fill="FFFFFF"/>
              </w:rPr>
              <w:t>王海宾</w:t>
            </w:r>
          </w:p>
        </w:tc>
        <w:tc>
          <w:tcPr>
            <w:tcW w:w="2064" w:type="dxa"/>
            <w:shd w:val="solid" w:color="FFFFFF" w:fill="auto"/>
            <w:vAlign w:val="center"/>
          </w:tcPr>
          <w:p w14:paraId="2E833B10">
            <w:pPr>
              <w:shd w:val="solid" w:color="FFFFFF" w:fill="auto"/>
              <w:autoSpaceDN w:val="0"/>
              <w:jc w:val="center"/>
              <w:textAlignment w:val="center"/>
              <w:rPr>
                <w:rFonts w:hint="eastAsia" w:ascii="宋体" w:hAnsi="宋体" w:cs="宋体"/>
                <w:sz w:val="24"/>
                <w:shd w:val="clear" w:color="auto" w:fill="FFFFFF"/>
              </w:rPr>
            </w:pPr>
            <w:r>
              <w:rPr>
                <w:rFonts w:hint="eastAsia" w:ascii="宋体" w:hAnsi="宋体" w:cs="宋体"/>
                <w:sz w:val="24"/>
                <w:shd w:val="clear" w:color="auto" w:fill="FFFFFF"/>
              </w:rPr>
              <w:t>0391-8787996 13598534626</w:t>
            </w:r>
          </w:p>
        </w:tc>
        <w:tc>
          <w:tcPr>
            <w:tcW w:w="2558" w:type="dxa"/>
            <w:shd w:val="solid" w:color="FFFFFF" w:fill="auto"/>
            <w:vAlign w:val="center"/>
          </w:tcPr>
          <w:p w14:paraId="7B7DA32F">
            <w:pPr>
              <w:shd w:val="solid" w:color="FFFFFF" w:fill="auto"/>
              <w:autoSpaceDN w:val="0"/>
              <w:jc w:val="center"/>
              <w:textAlignment w:val="center"/>
              <w:rPr>
                <w:rFonts w:hint="eastAsia" w:ascii="宋体" w:hAnsi="宋体" w:cs="宋体"/>
                <w:sz w:val="24"/>
                <w:shd w:val="clear" w:color="auto" w:fill="FFFFFF"/>
              </w:rPr>
            </w:pPr>
            <w:r>
              <w:rPr>
                <w:rFonts w:hint="eastAsia" w:ascii="宋体" w:hAnsi="宋体" w:cs="宋体"/>
                <w:sz w:val="24"/>
                <w:shd w:val="clear" w:color="auto" w:fill="FFFFFF"/>
              </w:rPr>
              <w:t>焦作市塔南路1736号</w:t>
            </w:r>
          </w:p>
        </w:tc>
      </w:tr>
      <w:tr w14:paraId="20FDC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4023" w:type="dxa"/>
            <w:shd w:val="clear" w:color="auto" w:fill="auto"/>
            <w:vAlign w:val="center"/>
          </w:tcPr>
          <w:p w14:paraId="3EF7AFCC">
            <w:pPr>
              <w:widowControl/>
              <w:tabs>
                <w:tab w:val="left" w:pos="0"/>
              </w:tabs>
              <w:spacing w:line="360" w:lineRule="exact"/>
              <w:rPr>
                <w:rFonts w:hint="eastAsia" w:ascii="宋体" w:hAnsi="宋体" w:cs="宋体"/>
                <w:sz w:val="24"/>
              </w:rPr>
            </w:pPr>
            <w:r>
              <w:rPr>
                <w:rFonts w:hint="eastAsia" w:ascii="宋体" w:hAnsi="宋体" w:cs="宋体"/>
                <w:sz w:val="24"/>
              </w:rPr>
              <w:t>中原银行股份有限公司焦作分行</w:t>
            </w:r>
          </w:p>
        </w:tc>
        <w:tc>
          <w:tcPr>
            <w:tcW w:w="1353" w:type="dxa"/>
            <w:shd w:val="solid" w:color="FFFFFF" w:fill="auto"/>
            <w:vAlign w:val="center"/>
          </w:tcPr>
          <w:p w14:paraId="3F200DB6">
            <w:pPr>
              <w:shd w:val="solid" w:color="FFFFFF" w:fill="auto"/>
              <w:autoSpaceDN w:val="0"/>
              <w:jc w:val="center"/>
              <w:textAlignment w:val="center"/>
              <w:rPr>
                <w:rFonts w:hint="eastAsia" w:ascii="宋体" w:hAnsi="宋体" w:cs="宋体"/>
                <w:sz w:val="24"/>
              </w:rPr>
            </w:pPr>
            <w:r>
              <w:rPr>
                <w:rFonts w:hint="eastAsia" w:ascii="宋体" w:hAnsi="宋体" w:cs="宋体"/>
                <w:sz w:val="24"/>
                <w:shd w:val="clear" w:color="auto" w:fill="FFFFFF"/>
              </w:rPr>
              <w:t>赵伟</w:t>
            </w:r>
          </w:p>
        </w:tc>
        <w:tc>
          <w:tcPr>
            <w:tcW w:w="2064" w:type="dxa"/>
            <w:shd w:val="solid" w:color="FFFFFF" w:fill="auto"/>
            <w:vAlign w:val="center"/>
          </w:tcPr>
          <w:p w14:paraId="4BBAC879">
            <w:pPr>
              <w:shd w:val="solid" w:color="FFFFFF" w:fill="auto"/>
              <w:autoSpaceDN w:val="0"/>
              <w:jc w:val="center"/>
              <w:textAlignment w:val="center"/>
              <w:rPr>
                <w:rFonts w:hint="eastAsia" w:ascii="宋体" w:hAnsi="宋体" w:cs="宋体"/>
                <w:sz w:val="24"/>
                <w:shd w:val="clear" w:color="auto" w:fill="FFFFFF"/>
              </w:rPr>
            </w:pPr>
            <w:r>
              <w:rPr>
                <w:rFonts w:hint="eastAsia" w:ascii="宋体" w:hAnsi="宋体" w:cs="宋体"/>
                <w:sz w:val="24"/>
                <w:shd w:val="clear" w:color="auto" w:fill="FFFFFF"/>
              </w:rPr>
              <w:t>0391-8796520 15738533033</w:t>
            </w:r>
          </w:p>
        </w:tc>
        <w:tc>
          <w:tcPr>
            <w:tcW w:w="2558" w:type="dxa"/>
            <w:shd w:val="solid" w:color="FFFFFF" w:fill="auto"/>
            <w:vAlign w:val="center"/>
          </w:tcPr>
          <w:p w14:paraId="57A99D20">
            <w:pPr>
              <w:shd w:val="solid" w:color="FFFFFF" w:fill="auto"/>
              <w:autoSpaceDN w:val="0"/>
              <w:jc w:val="center"/>
              <w:textAlignment w:val="center"/>
              <w:rPr>
                <w:rFonts w:hint="eastAsia" w:ascii="宋体" w:hAnsi="宋体" w:cs="宋体"/>
                <w:sz w:val="24"/>
                <w:shd w:val="clear" w:color="auto" w:fill="FFFFFF"/>
              </w:rPr>
            </w:pPr>
            <w:r>
              <w:rPr>
                <w:rFonts w:hint="eastAsia" w:ascii="宋体" w:hAnsi="宋体" w:cs="宋体"/>
                <w:sz w:val="24"/>
                <w:shd w:val="clear" w:color="auto" w:fill="FFFFFF"/>
              </w:rPr>
              <w:t>焦作市解放区人民路479号</w:t>
            </w:r>
          </w:p>
        </w:tc>
      </w:tr>
      <w:tr w14:paraId="6F3F0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4023" w:type="dxa"/>
            <w:shd w:val="clear" w:color="auto" w:fill="auto"/>
            <w:vAlign w:val="center"/>
          </w:tcPr>
          <w:p w14:paraId="42ACF3C7">
            <w:pPr>
              <w:widowControl/>
              <w:tabs>
                <w:tab w:val="left" w:pos="0"/>
              </w:tabs>
              <w:spacing w:line="360" w:lineRule="exact"/>
              <w:rPr>
                <w:rFonts w:hint="eastAsia" w:ascii="宋体" w:hAnsi="宋体" w:cs="宋体"/>
                <w:sz w:val="24"/>
              </w:rPr>
            </w:pPr>
            <w:r>
              <w:rPr>
                <w:rFonts w:hint="eastAsia" w:ascii="宋体" w:hAnsi="宋体" w:cs="宋体"/>
                <w:sz w:val="24"/>
              </w:rPr>
              <w:t>广发银行股份有限公司焦作分行</w:t>
            </w:r>
          </w:p>
        </w:tc>
        <w:tc>
          <w:tcPr>
            <w:tcW w:w="1353" w:type="dxa"/>
            <w:shd w:val="solid" w:color="FFFFFF" w:fill="auto"/>
            <w:vAlign w:val="center"/>
          </w:tcPr>
          <w:p w14:paraId="0010EC8B">
            <w:pPr>
              <w:shd w:val="solid" w:color="FFFFFF" w:fill="auto"/>
              <w:autoSpaceDN w:val="0"/>
              <w:jc w:val="center"/>
              <w:textAlignment w:val="center"/>
              <w:rPr>
                <w:rFonts w:hint="eastAsia" w:ascii="宋体" w:hAnsi="宋体" w:cs="宋体"/>
                <w:sz w:val="24"/>
              </w:rPr>
            </w:pPr>
            <w:r>
              <w:rPr>
                <w:rFonts w:hint="eastAsia" w:ascii="宋体" w:hAnsi="宋体" w:cs="宋体"/>
                <w:sz w:val="24"/>
                <w:shd w:val="clear" w:color="auto" w:fill="FFFFFF"/>
              </w:rPr>
              <w:t>张嘉强</w:t>
            </w:r>
          </w:p>
        </w:tc>
        <w:tc>
          <w:tcPr>
            <w:tcW w:w="2064" w:type="dxa"/>
            <w:shd w:val="solid" w:color="FFFFFF" w:fill="auto"/>
            <w:vAlign w:val="center"/>
          </w:tcPr>
          <w:p w14:paraId="244F3C68">
            <w:pPr>
              <w:shd w:val="solid" w:color="FFFFFF" w:fill="auto"/>
              <w:autoSpaceDN w:val="0"/>
              <w:jc w:val="center"/>
              <w:textAlignment w:val="center"/>
              <w:rPr>
                <w:rFonts w:hint="eastAsia" w:ascii="宋体" w:hAnsi="宋体" w:cs="宋体"/>
                <w:sz w:val="24"/>
                <w:shd w:val="clear" w:color="auto" w:fill="FFFFFF"/>
              </w:rPr>
            </w:pPr>
            <w:r>
              <w:rPr>
                <w:rFonts w:hint="eastAsia" w:ascii="宋体" w:hAnsi="宋体" w:cs="宋体"/>
                <w:sz w:val="24"/>
                <w:shd w:val="clear" w:color="auto" w:fill="FFFFFF"/>
              </w:rPr>
              <w:t>0391-653785 13203910032</w:t>
            </w:r>
          </w:p>
        </w:tc>
        <w:tc>
          <w:tcPr>
            <w:tcW w:w="2558" w:type="dxa"/>
            <w:shd w:val="solid" w:color="FFFFFF" w:fill="auto"/>
            <w:vAlign w:val="center"/>
          </w:tcPr>
          <w:p w14:paraId="0ECD2632">
            <w:pPr>
              <w:shd w:val="solid" w:color="FFFFFF" w:fill="auto"/>
              <w:autoSpaceDN w:val="0"/>
              <w:jc w:val="center"/>
              <w:textAlignment w:val="center"/>
              <w:rPr>
                <w:rFonts w:hint="eastAsia" w:ascii="宋体" w:hAnsi="宋体" w:cs="宋体"/>
                <w:sz w:val="24"/>
                <w:shd w:val="clear" w:color="auto" w:fill="FFFFFF"/>
              </w:rPr>
            </w:pPr>
            <w:r>
              <w:rPr>
                <w:rFonts w:hint="eastAsia" w:ascii="宋体" w:hAnsi="宋体" w:cs="宋体"/>
                <w:sz w:val="24"/>
                <w:shd w:val="clear" w:color="auto" w:fill="FFFFFF"/>
              </w:rPr>
              <w:t>焦作市塔南路1736号嘉隆金融中心</w:t>
            </w:r>
          </w:p>
        </w:tc>
      </w:tr>
    </w:tbl>
    <w:p w14:paraId="5FFE9B72">
      <w:r>
        <w:rPr>
          <w:rFonts w:hint="eastAsia" w:ascii="宋体" w:hAnsi="宋体" w:cs="宋体"/>
          <w:sz w:val="24"/>
        </w:rPr>
        <w:t>备注：融资服务机构名单和人员联系方式会随时变化。具体情况可登录“焦作市政府采购网”政府采购合同融资平台查询。</w:t>
      </w:r>
    </w:p>
    <w:sectPr>
      <w:pgSz w:w="11907" w:h="16840"/>
      <w:pgMar w:top="1440" w:right="1519" w:bottom="1440" w:left="1576" w:header="850" w:footer="998" w:gutter="0"/>
      <w:pgNumType w:fmt="numberInDash"/>
      <w:cols w:space="0" w:num="1"/>
      <w:docGrid w:type="lines" w:linePitch="3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A00002EF" w:usb1="4000207B"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Do7esOBB+FangSong">
    <w:altName w:val="Segoe Print"/>
    <w:panose1 w:val="02010609060101010101"/>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DB0C2">
    <w:pPr>
      <w:pStyle w:val="21"/>
    </w:pPr>
    <w:r>
      <mc:AlternateContent>
        <mc:Choice Requires="wps">
          <w:drawing>
            <wp:anchor distT="0" distB="0" distL="114300" distR="114300" simplePos="0" relativeHeight="251667456" behindDoc="0" locked="0" layoutInCell="1" allowOverlap="1">
              <wp:simplePos x="0" y="0"/>
              <wp:positionH relativeFrom="margin">
                <wp:posOffset>2403475</wp:posOffset>
              </wp:positionH>
              <wp:positionV relativeFrom="paragraph">
                <wp:posOffset>-276225</wp:posOffset>
              </wp:positionV>
              <wp:extent cx="1514475" cy="2105025"/>
              <wp:effectExtent l="0" t="0" r="0" b="0"/>
              <wp:wrapNone/>
              <wp:docPr id="10" name="文本框 1"/>
              <wp:cNvGraphicFramePr/>
              <a:graphic xmlns:a="http://schemas.openxmlformats.org/drawingml/2006/main">
                <a:graphicData uri="http://schemas.microsoft.com/office/word/2010/wordprocessingShape">
                  <wps:wsp>
                    <wps:cNvSpPr txBox="1"/>
                    <wps:spPr>
                      <a:xfrm>
                        <a:off x="0" y="0"/>
                        <a:ext cx="1514475" cy="2105025"/>
                      </a:xfrm>
                      <a:prstGeom prst="rect">
                        <a:avLst/>
                      </a:prstGeom>
                      <a:noFill/>
                      <a:ln>
                        <a:noFill/>
                      </a:ln>
                      <a:effectLst/>
                    </wps:spPr>
                    <wps:txbx>
                      <w:txbxContent>
                        <w:p w14:paraId="7F2579AB">
                          <w:pPr>
                            <w:snapToGrid w:val="0"/>
                            <w:rPr>
                              <w:sz w:val="18"/>
                            </w:rPr>
                          </w:pPr>
                        </w:p>
                      </w:txbxContent>
                    </wps:txbx>
                    <wps:bodyPr upright="1"/>
                  </wps:wsp>
                </a:graphicData>
              </a:graphic>
            </wp:anchor>
          </w:drawing>
        </mc:Choice>
        <mc:Fallback>
          <w:pict>
            <v:shape id="文本框 1" o:spid="_x0000_s1026" o:spt="202" type="#_x0000_t202" style="position:absolute;left:0pt;margin-left:189.25pt;margin-top:-21.75pt;height:165.75pt;width:119.25pt;mso-position-horizontal-relative:margin;z-index:251667456;mso-width-relative:page;mso-height-relative:page;" filled="f" stroked="f" coordsize="21600,21600" o:gfxdata="UEsDBAoAAAAAAIdO4kAAAAAAAAAAAAAAAAAEAAAAZHJzL1BLAwQUAAAACACHTuJAjj3/ptgAAAAL&#10;AQAADwAAAGRycy9kb3ducmV2LnhtbE2Py07DQAxF90j8w8hI7NqZ9BlCnC5AbEGUh8RumrhJRMYT&#10;ZaZN+HvMiu5s+ej63Hw3uU6daQitZ4RkbkARl75quUZ4f3uapaBCtFzZzjMh/FCAXXF9ldus8iO/&#10;0nkfayUhHDKL0MTYZ1qHsiFnw9z3xHI7+sHZKOtQ62qwo4S7Ti+M2WhnW5YPje3poaHye39yCB/P&#10;x6/PlXmpH926H/1kNLs7jXh7k5h7UJGm+A/Dn76oQyFOB3/iKqgOYblN14IizFZLGYTYJFtpd0BY&#10;pKkBXeT6skPxC1BLAwQUAAAACACHTuJATdVtv7EBAABeAwAADgAAAGRycy9lMm9Eb2MueG1srVNL&#10;btswEN0X6B0I7mtKRtwWguUAgZFuirZA2gPQFGkR4A8c2pIv0N6gq26677l8jg4pxUnTTRbZUMP5&#10;vJn3hlpfj9aQo4ygvWtpvagokU74Trt9S799vX3znhJI3HXceCdbepJArzevX62H0Mil773pZCQI&#10;4qAZQkv7lELDGIheWg4LH6TDoPLR8oTXuGdd5AOiW8OWVfWWDT52IXohAdC7nYJ0RozPAfRKaSG3&#10;XhysdGlCjdLwhJSg1wHopkyrlBTps1IgEzEtRaapnNgE7V0+2WbNm33koddiHoE/Z4QnnCzXDpte&#10;oLY8cXKI+j8oq0X04FVaCG/ZRKQogizq6ok2dz0PsnBBqSFcRIeXgxWfjl8i0R2+BJTEcYsbP//8&#10;cf715/z7O6mzPkOABtPuAiam8caPmHvvB3Rm2qOKNn+REME4Qp0u6soxEZGLVvXV1bsVJQJjy7pa&#10;VctVxmEP5SFC+iC9JdloacT1FVX58SOkKfU+JXdz/lYbU1Zo3D8OxJw8sryBuTozmSbOVhp340xv&#10;57sTsjuEqPc9Ni78WE5C2cuE8xPJe318R/vxb7H5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49&#10;/6bYAAAACwEAAA8AAAAAAAAAAQAgAAAAIgAAAGRycy9kb3ducmV2LnhtbFBLAQIUABQAAAAIAIdO&#10;4kBN1W2/sQEAAF4DAAAOAAAAAAAAAAEAIAAAACcBAABkcnMvZTJvRG9jLnhtbFBLBQYAAAAABgAG&#10;AFkBAABKBQAAAAA=&#10;">
              <v:fill on="f" focussize="0,0"/>
              <v:stroke on="f"/>
              <v:imagedata o:title=""/>
              <o:lock v:ext="edit" aspectratio="f"/>
              <v:textbox>
                <w:txbxContent>
                  <w:p w14:paraId="7F2579AB">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BD602">
    <w:pPr>
      <w:pStyle w:val="21"/>
      <w:rPr>
        <w:sz w:val="16"/>
        <w:szCs w:val="22"/>
      </w:rPr>
    </w:pPr>
    <w:r>
      <w:rPr>
        <w:sz w:val="20"/>
        <w:szCs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9" name="文本框 3"/>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a:noFill/>
                      </a:ln>
                      <a:effectLst/>
                    </wps:spPr>
                    <wps:txbx>
                      <w:txbxContent>
                        <w:p w14:paraId="7660C867">
                          <w:pPr>
                            <w:pStyle w:val="21"/>
                          </w:pPr>
                          <w:r>
                            <w:fldChar w:fldCharType="begin"/>
                          </w:r>
                          <w:r>
                            <w:instrText xml:space="preserve"> PAGE  \* MERGEFORMAT </w:instrText>
                          </w:r>
                          <w:r>
                            <w:fldChar w:fldCharType="separate"/>
                          </w:r>
                          <w:r>
                            <w:t>- 30 -</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g4rLnTAQAApQMAAA4AAABkcnMvZTJvRG9jLnhtbK1TS27bMBDdF+gd&#10;CO5rSfkUjWA5SGGkKFC0BdIcgKZIiwB/4NCWfIH2Bl11033P5XN0SElOmm6yyIYazgzfzHszWl4P&#10;RpO9CKCcbWi1KCkRlrtW2W1D77/dvnlHCURmW6adFQ09CKDXq9evlr2vxZnrnG5FIAhioe59Q7sY&#10;fV0UwDthGCycFxaD0gXDIl7DtmgD6xHd6OKsLN8WvQutD44LAPSuxyCdEMNzAJ2Uiou14zsjbBxR&#10;g9AsIiXolAe6yt1KKXj8IiWISHRDkWnMJxZBe5POYrVk9TYw3yk+tcCe08ITToYpi0VPUGsWGdkF&#10;9R+UUTw4cDIuuDPFSCQrgiyq8ok2dx3zInNBqcGfRIeXg+Wf918DUW1DryixzODAjz9/HH/9Of7+&#10;Ts6TPL2HGrPuPObF4b0bcGlmP6AzsR5kMOmLfAjGUdzDSVwxRMLTo6vyssQIx1B1Xl1cXCaU4uGx&#10;DxA/CGdIMhoacHZZUrb/BHFMnVNSLetuldZ5ftr+40DM0SPyAkyvE4+x32TFYTNM5DauPSC3Hpeg&#10;oRZ3nhL90aLGaV9mI8zGZjZ2Pqhth41WuUvwN7uILeVOU4URFhmmC04vc502La3H43vOevi7V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oqRS7NAAAAADAQAADwAAAAAAAAABACAAAAAiAAAAZHJz&#10;L2Rvd25yZXYueG1sUEsBAhQAFAAAAAgAh07iQOg4rLnTAQAApQMAAA4AAAAAAAAAAQAgAAAAHwEA&#10;AGRycy9lMm9Eb2MueG1sUEsFBgAAAAAGAAYAWQEAAGQFAAAAAA==&#10;">
              <v:fill on="f" focussize="0,0"/>
              <v:stroke on="f"/>
              <v:imagedata o:title=""/>
              <o:lock v:ext="edit" aspectratio="f"/>
              <v:textbox inset="0mm,0mm,0mm,0mm" style="mso-fit-shape-to-text:t;">
                <w:txbxContent>
                  <w:p w14:paraId="7660C867">
                    <w:pPr>
                      <w:pStyle w:val="21"/>
                    </w:pPr>
                    <w:r>
                      <w:fldChar w:fldCharType="begin"/>
                    </w:r>
                    <w:r>
                      <w:instrText xml:space="preserve"> PAGE  \* MERGEFORMAT </w:instrText>
                    </w:r>
                    <w:r>
                      <w:fldChar w:fldCharType="separate"/>
                    </w:r>
                    <w:r>
                      <w:t>- 30 -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9B26E">
    <w:pPr>
      <w:pStyle w:val="2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B039FA"/>
    <w:multiLevelType w:val="singleLevel"/>
    <w:tmpl w:val="9FB039FA"/>
    <w:lvl w:ilvl="0" w:tentative="0">
      <w:start w:val="2"/>
      <w:numFmt w:val="chineseCounting"/>
      <w:suff w:val="nothing"/>
      <w:lvlText w:val="%1、"/>
      <w:lvlJc w:val="left"/>
      <w:rPr>
        <w:rFonts w:hint="eastAsia"/>
      </w:rPr>
    </w:lvl>
  </w:abstractNum>
  <w:abstractNum w:abstractNumId="1">
    <w:nsid w:val="A2C6ACF8"/>
    <w:multiLevelType w:val="singleLevel"/>
    <w:tmpl w:val="A2C6ACF8"/>
    <w:lvl w:ilvl="0" w:tentative="0">
      <w:start w:val="1"/>
      <w:numFmt w:val="decimal"/>
      <w:suff w:val="nothing"/>
      <w:lvlText w:val="（%1）"/>
      <w:lvlJc w:val="left"/>
      <w:pPr>
        <w:ind w:left="480" w:firstLine="0"/>
      </w:pPr>
      <w:rPr>
        <w:rFonts w:hint="default"/>
        <w:b w:val="0"/>
        <w:bCs w:val="0"/>
      </w:rPr>
    </w:lvl>
  </w:abstractNum>
  <w:abstractNum w:abstractNumId="2">
    <w:nsid w:val="A58974FB"/>
    <w:multiLevelType w:val="singleLevel"/>
    <w:tmpl w:val="A58974FB"/>
    <w:lvl w:ilvl="0" w:tentative="0">
      <w:start w:val="1"/>
      <w:numFmt w:val="decimal"/>
      <w:suff w:val="space"/>
      <w:lvlText w:val="%1."/>
      <w:lvlJc w:val="left"/>
    </w:lvl>
  </w:abstractNum>
  <w:abstractNum w:abstractNumId="3">
    <w:nsid w:val="B7CCEAB9"/>
    <w:multiLevelType w:val="singleLevel"/>
    <w:tmpl w:val="B7CCEAB9"/>
    <w:lvl w:ilvl="0" w:tentative="0">
      <w:start w:val="1"/>
      <w:numFmt w:val="decimal"/>
      <w:suff w:val="space"/>
      <w:lvlText w:val="%1."/>
      <w:lvlJc w:val="left"/>
      <w:pPr>
        <w:ind w:left="600" w:firstLine="0"/>
      </w:pPr>
    </w:lvl>
  </w:abstractNum>
  <w:abstractNum w:abstractNumId="4">
    <w:nsid w:val="E25B3C03"/>
    <w:multiLevelType w:val="singleLevel"/>
    <w:tmpl w:val="E25B3C03"/>
    <w:lvl w:ilvl="0" w:tentative="0">
      <w:start w:val="1"/>
      <w:numFmt w:val="decimal"/>
      <w:suff w:val="nothing"/>
      <w:lvlText w:val="（%1）"/>
      <w:lvlJc w:val="left"/>
    </w:lvl>
  </w:abstractNum>
  <w:abstractNum w:abstractNumId="5">
    <w:nsid w:val="074054F6"/>
    <w:multiLevelType w:val="multilevel"/>
    <w:tmpl w:val="074054F6"/>
    <w:lvl w:ilvl="0" w:tentative="0">
      <w:start w:val="1"/>
      <w:numFmt w:val="decimal"/>
      <w:pStyle w:val="42"/>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6">
    <w:nsid w:val="12BF81D8"/>
    <w:multiLevelType w:val="singleLevel"/>
    <w:tmpl w:val="12BF81D8"/>
    <w:lvl w:ilvl="0" w:tentative="0">
      <w:start w:val="2"/>
      <w:numFmt w:val="decimal"/>
      <w:suff w:val="nothing"/>
      <w:lvlText w:val="%1、"/>
      <w:lvlJc w:val="left"/>
    </w:lvl>
  </w:abstractNum>
  <w:abstractNum w:abstractNumId="7">
    <w:nsid w:val="1C58BAF0"/>
    <w:multiLevelType w:val="singleLevel"/>
    <w:tmpl w:val="1C58BAF0"/>
    <w:lvl w:ilvl="0" w:tentative="0">
      <w:start w:val="1"/>
      <w:numFmt w:val="decimal"/>
      <w:suff w:val="nothing"/>
      <w:lvlText w:val="（%1）"/>
      <w:lvlJc w:val="left"/>
    </w:lvl>
  </w:abstractNum>
  <w:abstractNum w:abstractNumId="8">
    <w:nsid w:val="1D491617"/>
    <w:multiLevelType w:val="multilevel"/>
    <w:tmpl w:val="1D491617"/>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9">
    <w:nsid w:val="2E675402"/>
    <w:multiLevelType w:val="singleLevel"/>
    <w:tmpl w:val="2E675402"/>
    <w:lvl w:ilvl="0" w:tentative="0">
      <w:start w:val="1"/>
      <w:numFmt w:val="chineseCounting"/>
      <w:suff w:val="nothing"/>
      <w:lvlText w:val="（%1）"/>
      <w:lvlJc w:val="left"/>
      <w:rPr>
        <w:rFonts w:hint="eastAsia"/>
      </w:rPr>
    </w:lvl>
  </w:abstractNum>
  <w:abstractNum w:abstractNumId="10">
    <w:nsid w:val="59CCA2E1"/>
    <w:multiLevelType w:val="singleLevel"/>
    <w:tmpl w:val="59CCA2E1"/>
    <w:lvl w:ilvl="0" w:tentative="0">
      <w:start w:val="1"/>
      <w:numFmt w:val="decimal"/>
      <w:suff w:val="nothing"/>
      <w:lvlText w:val="（%1）"/>
      <w:lvlJc w:val="left"/>
    </w:lvl>
  </w:abstractNum>
  <w:abstractNum w:abstractNumId="11">
    <w:nsid w:val="75324FB0"/>
    <w:multiLevelType w:val="singleLevel"/>
    <w:tmpl w:val="75324FB0"/>
    <w:lvl w:ilvl="0" w:tentative="0">
      <w:start w:val="1"/>
      <w:numFmt w:val="chineseCounting"/>
      <w:suff w:val="space"/>
      <w:lvlText w:val="第%1章"/>
      <w:lvlJc w:val="left"/>
      <w:pPr>
        <w:ind w:left="630"/>
      </w:pPr>
      <w:rPr>
        <w:rFonts w:hint="eastAsia"/>
      </w:rPr>
    </w:lvl>
  </w:abstractNum>
  <w:abstractNum w:abstractNumId="12">
    <w:nsid w:val="768FB672"/>
    <w:multiLevelType w:val="singleLevel"/>
    <w:tmpl w:val="768FB672"/>
    <w:lvl w:ilvl="0" w:tentative="0">
      <w:start w:val="4"/>
      <w:numFmt w:val="chineseCounting"/>
      <w:suff w:val="nothing"/>
      <w:lvlText w:val="%1、"/>
      <w:lvlJc w:val="left"/>
      <w:pPr>
        <w:ind w:left="-60"/>
      </w:pPr>
      <w:rPr>
        <w:rFonts w:hint="eastAsia"/>
      </w:rPr>
    </w:lvl>
  </w:abstractNum>
  <w:num w:numId="1">
    <w:abstractNumId w:val="5"/>
  </w:num>
  <w:num w:numId="2">
    <w:abstractNumId w:val="1"/>
  </w:num>
  <w:num w:numId="3">
    <w:abstractNumId w:val="11"/>
  </w:num>
  <w:num w:numId="4">
    <w:abstractNumId w:val="7"/>
  </w:num>
  <w:num w:numId="5">
    <w:abstractNumId w:val="4"/>
  </w:num>
  <w:num w:numId="6">
    <w:abstractNumId w:val="12"/>
  </w:num>
  <w:num w:numId="7">
    <w:abstractNumId w:val="8"/>
  </w:num>
  <w:num w:numId="8">
    <w:abstractNumId w:val="2"/>
  </w:num>
  <w:num w:numId="9">
    <w:abstractNumId w:val="9"/>
  </w:num>
  <w:num w:numId="10">
    <w:abstractNumId w:val="10"/>
  </w:num>
  <w:num w:numId="11">
    <w:abstractNumId w:val="0"/>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VerticalSpacing w:val="190"/>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kNjMzZDFjMzkyYWM3NWU4ZWQ0YTYyYjViMjVmYmYifQ=="/>
    <w:docVar w:name="KSO_WPS_MARK_KEY" w:val="7b2f0240-85bb-4b13-bebb-70d144b1ca43"/>
  </w:docVars>
  <w:rsids>
    <w:rsidRoot w:val="00CF3BAF"/>
    <w:rsid w:val="00013DD1"/>
    <w:rsid w:val="000227C5"/>
    <w:rsid w:val="000514B2"/>
    <w:rsid w:val="00056AD4"/>
    <w:rsid w:val="00081779"/>
    <w:rsid w:val="000C0CCC"/>
    <w:rsid w:val="001036E9"/>
    <w:rsid w:val="00113652"/>
    <w:rsid w:val="00113F01"/>
    <w:rsid w:val="001536B8"/>
    <w:rsid w:val="001A005D"/>
    <w:rsid w:val="001E47D0"/>
    <w:rsid w:val="00205DE3"/>
    <w:rsid w:val="002075F5"/>
    <w:rsid w:val="00227539"/>
    <w:rsid w:val="00236004"/>
    <w:rsid w:val="00261DC9"/>
    <w:rsid w:val="00272A9F"/>
    <w:rsid w:val="0027581C"/>
    <w:rsid w:val="00281BCC"/>
    <w:rsid w:val="00293D01"/>
    <w:rsid w:val="00295A55"/>
    <w:rsid w:val="002D45A3"/>
    <w:rsid w:val="0034193D"/>
    <w:rsid w:val="003464E3"/>
    <w:rsid w:val="003662B9"/>
    <w:rsid w:val="00382698"/>
    <w:rsid w:val="00387019"/>
    <w:rsid w:val="00392426"/>
    <w:rsid w:val="003D5A28"/>
    <w:rsid w:val="003E0C6B"/>
    <w:rsid w:val="003F6608"/>
    <w:rsid w:val="00422435"/>
    <w:rsid w:val="0042593E"/>
    <w:rsid w:val="00437FCD"/>
    <w:rsid w:val="0044589E"/>
    <w:rsid w:val="00451A98"/>
    <w:rsid w:val="00471CF0"/>
    <w:rsid w:val="00481283"/>
    <w:rsid w:val="004856FA"/>
    <w:rsid w:val="004B78BE"/>
    <w:rsid w:val="004C776B"/>
    <w:rsid w:val="004E286C"/>
    <w:rsid w:val="004E3BC3"/>
    <w:rsid w:val="004E4875"/>
    <w:rsid w:val="005106E0"/>
    <w:rsid w:val="00536F66"/>
    <w:rsid w:val="00554290"/>
    <w:rsid w:val="005542F2"/>
    <w:rsid w:val="0058421F"/>
    <w:rsid w:val="005A2870"/>
    <w:rsid w:val="005A5867"/>
    <w:rsid w:val="005E14C7"/>
    <w:rsid w:val="005F220F"/>
    <w:rsid w:val="00603253"/>
    <w:rsid w:val="00631E63"/>
    <w:rsid w:val="0063367A"/>
    <w:rsid w:val="00650F15"/>
    <w:rsid w:val="00651B64"/>
    <w:rsid w:val="00651BA7"/>
    <w:rsid w:val="00656FFA"/>
    <w:rsid w:val="00666E50"/>
    <w:rsid w:val="00675512"/>
    <w:rsid w:val="006805EA"/>
    <w:rsid w:val="006B2CA3"/>
    <w:rsid w:val="006C7E0E"/>
    <w:rsid w:val="006D3E74"/>
    <w:rsid w:val="00712A58"/>
    <w:rsid w:val="00712D43"/>
    <w:rsid w:val="00713767"/>
    <w:rsid w:val="007145D8"/>
    <w:rsid w:val="007270F5"/>
    <w:rsid w:val="00767590"/>
    <w:rsid w:val="00783CF9"/>
    <w:rsid w:val="007952CC"/>
    <w:rsid w:val="007C65BE"/>
    <w:rsid w:val="007E2B28"/>
    <w:rsid w:val="0081081C"/>
    <w:rsid w:val="00826247"/>
    <w:rsid w:val="00850F37"/>
    <w:rsid w:val="008672C4"/>
    <w:rsid w:val="00870BF2"/>
    <w:rsid w:val="008767AC"/>
    <w:rsid w:val="00884C5F"/>
    <w:rsid w:val="00893CC3"/>
    <w:rsid w:val="008B741E"/>
    <w:rsid w:val="008D2851"/>
    <w:rsid w:val="008D314A"/>
    <w:rsid w:val="009368F4"/>
    <w:rsid w:val="009431A8"/>
    <w:rsid w:val="00951DF1"/>
    <w:rsid w:val="00983A1D"/>
    <w:rsid w:val="009A0E66"/>
    <w:rsid w:val="009B3631"/>
    <w:rsid w:val="009B656B"/>
    <w:rsid w:val="009C50BF"/>
    <w:rsid w:val="009C7C12"/>
    <w:rsid w:val="009E6501"/>
    <w:rsid w:val="009F60C5"/>
    <w:rsid w:val="00A152DF"/>
    <w:rsid w:val="00A41F14"/>
    <w:rsid w:val="00A52CAF"/>
    <w:rsid w:val="00A53E4A"/>
    <w:rsid w:val="00AA57A6"/>
    <w:rsid w:val="00AD577B"/>
    <w:rsid w:val="00AF19B8"/>
    <w:rsid w:val="00AF4EA8"/>
    <w:rsid w:val="00B32984"/>
    <w:rsid w:val="00B34D9F"/>
    <w:rsid w:val="00B41EAA"/>
    <w:rsid w:val="00B96434"/>
    <w:rsid w:val="00BC19AF"/>
    <w:rsid w:val="00BF3DA8"/>
    <w:rsid w:val="00C371A7"/>
    <w:rsid w:val="00C63E59"/>
    <w:rsid w:val="00C86DE2"/>
    <w:rsid w:val="00C93CF9"/>
    <w:rsid w:val="00C94A06"/>
    <w:rsid w:val="00C94AF7"/>
    <w:rsid w:val="00C95C63"/>
    <w:rsid w:val="00CC33FE"/>
    <w:rsid w:val="00CD310A"/>
    <w:rsid w:val="00CF3BAF"/>
    <w:rsid w:val="00D22FC5"/>
    <w:rsid w:val="00D57D12"/>
    <w:rsid w:val="00D823F8"/>
    <w:rsid w:val="00D90A3E"/>
    <w:rsid w:val="00DA0BC1"/>
    <w:rsid w:val="00DB5C27"/>
    <w:rsid w:val="00DB6ECC"/>
    <w:rsid w:val="00DC6004"/>
    <w:rsid w:val="00DE7C62"/>
    <w:rsid w:val="00E5544B"/>
    <w:rsid w:val="00E616E3"/>
    <w:rsid w:val="00E61A34"/>
    <w:rsid w:val="00E75C1B"/>
    <w:rsid w:val="00E77C6E"/>
    <w:rsid w:val="00EA2A40"/>
    <w:rsid w:val="00EC289C"/>
    <w:rsid w:val="00EC5A2D"/>
    <w:rsid w:val="00ED32EC"/>
    <w:rsid w:val="00EE5F37"/>
    <w:rsid w:val="00EF61C9"/>
    <w:rsid w:val="00F01D54"/>
    <w:rsid w:val="00F16816"/>
    <w:rsid w:val="00F5227C"/>
    <w:rsid w:val="00F91D0F"/>
    <w:rsid w:val="00F93CFE"/>
    <w:rsid w:val="00FB3E02"/>
    <w:rsid w:val="00FC0F08"/>
    <w:rsid w:val="00FE4037"/>
    <w:rsid w:val="014132F4"/>
    <w:rsid w:val="015A0ED7"/>
    <w:rsid w:val="018B79D4"/>
    <w:rsid w:val="01930027"/>
    <w:rsid w:val="019C74BD"/>
    <w:rsid w:val="01A249C3"/>
    <w:rsid w:val="01A90C02"/>
    <w:rsid w:val="01CD0413"/>
    <w:rsid w:val="01F77570"/>
    <w:rsid w:val="01F80A87"/>
    <w:rsid w:val="01F97E2C"/>
    <w:rsid w:val="0224187C"/>
    <w:rsid w:val="02474136"/>
    <w:rsid w:val="024768DF"/>
    <w:rsid w:val="02534437"/>
    <w:rsid w:val="02781E5F"/>
    <w:rsid w:val="027C2CDB"/>
    <w:rsid w:val="02975B59"/>
    <w:rsid w:val="02A079AD"/>
    <w:rsid w:val="02AD7AC3"/>
    <w:rsid w:val="02B2279A"/>
    <w:rsid w:val="02C572FD"/>
    <w:rsid w:val="02D346FD"/>
    <w:rsid w:val="02DF753E"/>
    <w:rsid w:val="03957852"/>
    <w:rsid w:val="03EF01A2"/>
    <w:rsid w:val="03FE7771"/>
    <w:rsid w:val="0403320F"/>
    <w:rsid w:val="04035DC5"/>
    <w:rsid w:val="040845C6"/>
    <w:rsid w:val="040F5B2D"/>
    <w:rsid w:val="041F1D93"/>
    <w:rsid w:val="042E56D4"/>
    <w:rsid w:val="04351B1E"/>
    <w:rsid w:val="0445134A"/>
    <w:rsid w:val="046F0DBE"/>
    <w:rsid w:val="04730C9A"/>
    <w:rsid w:val="04760D95"/>
    <w:rsid w:val="04955EBF"/>
    <w:rsid w:val="049A5F70"/>
    <w:rsid w:val="04B015F5"/>
    <w:rsid w:val="04B80A56"/>
    <w:rsid w:val="04F44273"/>
    <w:rsid w:val="05476DA0"/>
    <w:rsid w:val="0587053C"/>
    <w:rsid w:val="05CF063D"/>
    <w:rsid w:val="05E90531"/>
    <w:rsid w:val="06112117"/>
    <w:rsid w:val="061F1094"/>
    <w:rsid w:val="064662A5"/>
    <w:rsid w:val="06494301"/>
    <w:rsid w:val="064B3EA8"/>
    <w:rsid w:val="067B2348"/>
    <w:rsid w:val="06B269FF"/>
    <w:rsid w:val="06C3755C"/>
    <w:rsid w:val="06F1337E"/>
    <w:rsid w:val="07190068"/>
    <w:rsid w:val="07310D7F"/>
    <w:rsid w:val="074D4119"/>
    <w:rsid w:val="07803D44"/>
    <w:rsid w:val="07997BA5"/>
    <w:rsid w:val="07E07FF3"/>
    <w:rsid w:val="08161B2A"/>
    <w:rsid w:val="081C6790"/>
    <w:rsid w:val="08355432"/>
    <w:rsid w:val="083A174E"/>
    <w:rsid w:val="083B347B"/>
    <w:rsid w:val="083D3697"/>
    <w:rsid w:val="08685028"/>
    <w:rsid w:val="0885658D"/>
    <w:rsid w:val="08910593"/>
    <w:rsid w:val="08B6562F"/>
    <w:rsid w:val="09102B5A"/>
    <w:rsid w:val="09247854"/>
    <w:rsid w:val="098B21E0"/>
    <w:rsid w:val="09E0077E"/>
    <w:rsid w:val="09E55D95"/>
    <w:rsid w:val="0A083831"/>
    <w:rsid w:val="0A127867"/>
    <w:rsid w:val="0A1A5EE2"/>
    <w:rsid w:val="0A3D6877"/>
    <w:rsid w:val="0A406050"/>
    <w:rsid w:val="0A645EB1"/>
    <w:rsid w:val="0A84735B"/>
    <w:rsid w:val="0A8B4CEF"/>
    <w:rsid w:val="0A8C6210"/>
    <w:rsid w:val="0A9A1E42"/>
    <w:rsid w:val="0AFE4F5A"/>
    <w:rsid w:val="0AFF2E86"/>
    <w:rsid w:val="0B057D70"/>
    <w:rsid w:val="0B2D5070"/>
    <w:rsid w:val="0B405D3F"/>
    <w:rsid w:val="0B440CBC"/>
    <w:rsid w:val="0B627FDD"/>
    <w:rsid w:val="0B664CB3"/>
    <w:rsid w:val="0B7902B3"/>
    <w:rsid w:val="0B8C1399"/>
    <w:rsid w:val="0B901D30"/>
    <w:rsid w:val="0BC06B33"/>
    <w:rsid w:val="0BF15384"/>
    <w:rsid w:val="0C051155"/>
    <w:rsid w:val="0C076843"/>
    <w:rsid w:val="0C2D57D1"/>
    <w:rsid w:val="0C3C2F86"/>
    <w:rsid w:val="0CB21806"/>
    <w:rsid w:val="0CB90E13"/>
    <w:rsid w:val="0CD05128"/>
    <w:rsid w:val="0D1F5B07"/>
    <w:rsid w:val="0D22719E"/>
    <w:rsid w:val="0D270828"/>
    <w:rsid w:val="0D792EC2"/>
    <w:rsid w:val="0D81592D"/>
    <w:rsid w:val="0D8716C8"/>
    <w:rsid w:val="0D974D65"/>
    <w:rsid w:val="0DB937C0"/>
    <w:rsid w:val="0E2200DA"/>
    <w:rsid w:val="0E651252"/>
    <w:rsid w:val="0E8C0D4D"/>
    <w:rsid w:val="0EA33B28"/>
    <w:rsid w:val="0EA67121"/>
    <w:rsid w:val="0EDC105C"/>
    <w:rsid w:val="0EDE6CBA"/>
    <w:rsid w:val="0EE45391"/>
    <w:rsid w:val="0EF32EFA"/>
    <w:rsid w:val="0F0410E0"/>
    <w:rsid w:val="0F0740B7"/>
    <w:rsid w:val="0F340C24"/>
    <w:rsid w:val="0F63312F"/>
    <w:rsid w:val="0F71456D"/>
    <w:rsid w:val="0FDE2EA6"/>
    <w:rsid w:val="0FE73EE9"/>
    <w:rsid w:val="100420C3"/>
    <w:rsid w:val="1012372A"/>
    <w:rsid w:val="10202516"/>
    <w:rsid w:val="10257C82"/>
    <w:rsid w:val="10544429"/>
    <w:rsid w:val="10586A77"/>
    <w:rsid w:val="107D20E4"/>
    <w:rsid w:val="10A2678D"/>
    <w:rsid w:val="11164A85"/>
    <w:rsid w:val="11481AF6"/>
    <w:rsid w:val="117266CB"/>
    <w:rsid w:val="11761DEC"/>
    <w:rsid w:val="11920A50"/>
    <w:rsid w:val="119A56B6"/>
    <w:rsid w:val="119B16ED"/>
    <w:rsid w:val="11A25357"/>
    <w:rsid w:val="11B34CF4"/>
    <w:rsid w:val="11E65143"/>
    <w:rsid w:val="11F2782C"/>
    <w:rsid w:val="120C0D33"/>
    <w:rsid w:val="12253216"/>
    <w:rsid w:val="12323723"/>
    <w:rsid w:val="125032C0"/>
    <w:rsid w:val="125F4D1B"/>
    <w:rsid w:val="12B87983"/>
    <w:rsid w:val="12F25439"/>
    <w:rsid w:val="134734DE"/>
    <w:rsid w:val="13732E71"/>
    <w:rsid w:val="13A23695"/>
    <w:rsid w:val="13B32A60"/>
    <w:rsid w:val="13E9022F"/>
    <w:rsid w:val="14114C4D"/>
    <w:rsid w:val="143C687A"/>
    <w:rsid w:val="144162BD"/>
    <w:rsid w:val="144353ED"/>
    <w:rsid w:val="14860849"/>
    <w:rsid w:val="14AB3737"/>
    <w:rsid w:val="14B42FE5"/>
    <w:rsid w:val="14B770B6"/>
    <w:rsid w:val="14CC19C6"/>
    <w:rsid w:val="14CD5863"/>
    <w:rsid w:val="14DA2E06"/>
    <w:rsid w:val="14DE5E10"/>
    <w:rsid w:val="14E629C1"/>
    <w:rsid w:val="15195D1C"/>
    <w:rsid w:val="15267F04"/>
    <w:rsid w:val="152E231F"/>
    <w:rsid w:val="15545B7C"/>
    <w:rsid w:val="15826B8D"/>
    <w:rsid w:val="159D7523"/>
    <w:rsid w:val="15BD334E"/>
    <w:rsid w:val="15F70220"/>
    <w:rsid w:val="15FF5FA5"/>
    <w:rsid w:val="16322361"/>
    <w:rsid w:val="16493207"/>
    <w:rsid w:val="164B3423"/>
    <w:rsid w:val="16504596"/>
    <w:rsid w:val="165F3BC6"/>
    <w:rsid w:val="16695CC5"/>
    <w:rsid w:val="166D59E0"/>
    <w:rsid w:val="16730A84"/>
    <w:rsid w:val="16997753"/>
    <w:rsid w:val="169D288C"/>
    <w:rsid w:val="16BC02B9"/>
    <w:rsid w:val="17134F36"/>
    <w:rsid w:val="179C380B"/>
    <w:rsid w:val="17AC6DF4"/>
    <w:rsid w:val="17D3631C"/>
    <w:rsid w:val="17E770CB"/>
    <w:rsid w:val="181867A0"/>
    <w:rsid w:val="18264209"/>
    <w:rsid w:val="183D74A2"/>
    <w:rsid w:val="18574301"/>
    <w:rsid w:val="188D6271"/>
    <w:rsid w:val="190C07F3"/>
    <w:rsid w:val="1942306E"/>
    <w:rsid w:val="19670574"/>
    <w:rsid w:val="196A7BE4"/>
    <w:rsid w:val="19742C91"/>
    <w:rsid w:val="19A2423E"/>
    <w:rsid w:val="19D674A8"/>
    <w:rsid w:val="19EE17C2"/>
    <w:rsid w:val="19EF2318"/>
    <w:rsid w:val="1A100548"/>
    <w:rsid w:val="1A1025AF"/>
    <w:rsid w:val="1A2B26E2"/>
    <w:rsid w:val="1A3B0CC2"/>
    <w:rsid w:val="1A8B2040"/>
    <w:rsid w:val="1A913822"/>
    <w:rsid w:val="1AD02BB1"/>
    <w:rsid w:val="1B0F127C"/>
    <w:rsid w:val="1B33310F"/>
    <w:rsid w:val="1B4A551B"/>
    <w:rsid w:val="1B577881"/>
    <w:rsid w:val="1BD529D4"/>
    <w:rsid w:val="1BE9127A"/>
    <w:rsid w:val="1BFC0795"/>
    <w:rsid w:val="1C211654"/>
    <w:rsid w:val="1C2B1493"/>
    <w:rsid w:val="1C2D32A0"/>
    <w:rsid w:val="1C644670"/>
    <w:rsid w:val="1C753023"/>
    <w:rsid w:val="1C9363D1"/>
    <w:rsid w:val="1CA85995"/>
    <w:rsid w:val="1CC37618"/>
    <w:rsid w:val="1CC51ABE"/>
    <w:rsid w:val="1CD57C9C"/>
    <w:rsid w:val="1D1E6C5C"/>
    <w:rsid w:val="1D2A77A9"/>
    <w:rsid w:val="1D3C3AC6"/>
    <w:rsid w:val="1D4A5CC7"/>
    <w:rsid w:val="1D525097"/>
    <w:rsid w:val="1D5A65E9"/>
    <w:rsid w:val="1D743812"/>
    <w:rsid w:val="1DA06BBC"/>
    <w:rsid w:val="1DC13FCB"/>
    <w:rsid w:val="1DCA10D2"/>
    <w:rsid w:val="1DDA0B91"/>
    <w:rsid w:val="1E212A6F"/>
    <w:rsid w:val="1E360353"/>
    <w:rsid w:val="1E4779B9"/>
    <w:rsid w:val="1E7C3987"/>
    <w:rsid w:val="1E921418"/>
    <w:rsid w:val="1EB33136"/>
    <w:rsid w:val="1EE937D9"/>
    <w:rsid w:val="1EF17A1C"/>
    <w:rsid w:val="1EF55393"/>
    <w:rsid w:val="1F111512"/>
    <w:rsid w:val="1F3F59B3"/>
    <w:rsid w:val="1FA91310"/>
    <w:rsid w:val="1FBB33A3"/>
    <w:rsid w:val="1FCF0C21"/>
    <w:rsid w:val="1FD46237"/>
    <w:rsid w:val="204B093F"/>
    <w:rsid w:val="20AB64FD"/>
    <w:rsid w:val="20E259AF"/>
    <w:rsid w:val="20E67A15"/>
    <w:rsid w:val="216175BB"/>
    <w:rsid w:val="216A2ED1"/>
    <w:rsid w:val="21854D72"/>
    <w:rsid w:val="218872DA"/>
    <w:rsid w:val="219C4D8C"/>
    <w:rsid w:val="21A63782"/>
    <w:rsid w:val="21A96F53"/>
    <w:rsid w:val="21C64730"/>
    <w:rsid w:val="220B3A67"/>
    <w:rsid w:val="22635651"/>
    <w:rsid w:val="22821933"/>
    <w:rsid w:val="22851F14"/>
    <w:rsid w:val="22937A29"/>
    <w:rsid w:val="22A44C61"/>
    <w:rsid w:val="22E0486C"/>
    <w:rsid w:val="22E7389D"/>
    <w:rsid w:val="236C0699"/>
    <w:rsid w:val="23971A56"/>
    <w:rsid w:val="23A75A11"/>
    <w:rsid w:val="23C21A0E"/>
    <w:rsid w:val="23C245F9"/>
    <w:rsid w:val="24364D63"/>
    <w:rsid w:val="24565832"/>
    <w:rsid w:val="24581EC9"/>
    <w:rsid w:val="245D7AC3"/>
    <w:rsid w:val="246511FA"/>
    <w:rsid w:val="24845123"/>
    <w:rsid w:val="24A85EE5"/>
    <w:rsid w:val="255249D2"/>
    <w:rsid w:val="25627E42"/>
    <w:rsid w:val="25B6127B"/>
    <w:rsid w:val="260C386E"/>
    <w:rsid w:val="26211AAB"/>
    <w:rsid w:val="264840A1"/>
    <w:rsid w:val="2671382C"/>
    <w:rsid w:val="26AB160B"/>
    <w:rsid w:val="26AF355A"/>
    <w:rsid w:val="26BA05DD"/>
    <w:rsid w:val="26BB1EFF"/>
    <w:rsid w:val="26D40659"/>
    <w:rsid w:val="27070CA1"/>
    <w:rsid w:val="27144052"/>
    <w:rsid w:val="27481489"/>
    <w:rsid w:val="27765E26"/>
    <w:rsid w:val="27817A81"/>
    <w:rsid w:val="27B228CA"/>
    <w:rsid w:val="27CF39BA"/>
    <w:rsid w:val="28013942"/>
    <w:rsid w:val="28406DD2"/>
    <w:rsid w:val="284F56AB"/>
    <w:rsid w:val="28547F1D"/>
    <w:rsid w:val="287019A1"/>
    <w:rsid w:val="28A077A5"/>
    <w:rsid w:val="28BD1C36"/>
    <w:rsid w:val="29034F6A"/>
    <w:rsid w:val="291F753F"/>
    <w:rsid w:val="29AD1F3E"/>
    <w:rsid w:val="29FC7FCE"/>
    <w:rsid w:val="2A1118F0"/>
    <w:rsid w:val="2A1D4C7F"/>
    <w:rsid w:val="2A334727"/>
    <w:rsid w:val="2A716636"/>
    <w:rsid w:val="2A8D3BB3"/>
    <w:rsid w:val="2AA84457"/>
    <w:rsid w:val="2ABE19E5"/>
    <w:rsid w:val="2B1105F0"/>
    <w:rsid w:val="2B2362C5"/>
    <w:rsid w:val="2B3F6790"/>
    <w:rsid w:val="2B9A5BB7"/>
    <w:rsid w:val="2B9B6B8C"/>
    <w:rsid w:val="2C0F5312"/>
    <w:rsid w:val="2C5243EF"/>
    <w:rsid w:val="2CC164E4"/>
    <w:rsid w:val="2CC20013"/>
    <w:rsid w:val="2CF34593"/>
    <w:rsid w:val="2D104627"/>
    <w:rsid w:val="2D340FB7"/>
    <w:rsid w:val="2D4759F0"/>
    <w:rsid w:val="2D4B17C9"/>
    <w:rsid w:val="2DA17287"/>
    <w:rsid w:val="2DEF0B6D"/>
    <w:rsid w:val="2E04418C"/>
    <w:rsid w:val="2E090307"/>
    <w:rsid w:val="2E2F7C70"/>
    <w:rsid w:val="2E7164C1"/>
    <w:rsid w:val="2EA45C18"/>
    <w:rsid w:val="2EC469FF"/>
    <w:rsid w:val="2ECE479A"/>
    <w:rsid w:val="2ED658FB"/>
    <w:rsid w:val="2ED80964"/>
    <w:rsid w:val="2EF41B1E"/>
    <w:rsid w:val="2F3D38F1"/>
    <w:rsid w:val="2F662BA9"/>
    <w:rsid w:val="2F6B6F8C"/>
    <w:rsid w:val="2FA713A3"/>
    <w:rsid w:val="2FA84FEB"/>
    <w:rsid w:val="301F0DBC"/>
    <w:rsid w:val="30204B81"/>
    <w:rsid w:val="3054090C"/>
    <w:rsid w:val="30766F52"/>
    <w:rsid w:val="30A7457C"/>
    <w:rsid w:val="30AF513E"/>
    <w:rsid w:val="30BF439A"/>
    <w:rsid w:val="30F11783"/>
    <w:rsid w:val="31183696"/>
    <w:rsid w:val="311B58CA"/>
    <w:rsid w:val="312875A3"/>
    <w:rsid w:val="31432453"/>
    <w:rsid w:val="315C20A8"/>
    <w:rsid w:val="315E08FB"/>
    <w:rsid w:val="316D2ED6"/>
    <w:rsid w:val="327012C3"/>
    <w:rsid w:val="32900317"/>
    <w:rsid w:val="32A73338"/>
    <w:rsid w:val="32AC094E"/>
    <w:rsid w:val="32DD09B1"/>
    <w:rsid w:val="334616B1"/>
    <w:rsid w:val="336B5FF6"/>
    <w:rsid w:val="3398566D"/>
    <w:rsid w:val="339B530E"/>
    <w:rsid w:val="33B71CA0"/>
    <w:rsid w:val="34375174"/>
    <w:rsid w:val="34490FA6"/>
    <w:rsid w:val="345E5DAC"/>
    <w:rsid w:val="347B2F71"/>
    <w:rsid w:val="348A2F11"/>
    <w:rsid w:val="34BF0E0C"/>
    <w:rsid w:val="35400F5E"/>
    <w:rsid w:val="356103C1"/>
    <w:rsid w:val="35624307"/>
    <w:rsid w:val="356E75B4"/>
    <w:rsid w:val="35C41641"/>
    <w:rsid w:val="35EF40B4"/>
    <w:rsid w:val="35F6214D"/>
    <w:rsid w:val="36D77DC4"/>
    <w:rsid w:val="36F2243E"/>
    <w:rsid w:val="36F80BB7"/>
    <w:rsid w:val="37316346"/>
    <w:rsid w:val="376D0FF4"/>
    <w:rsid w:val="379522F8"/>
    <w:rsid w:val="379678D2"/>
    <w:rsid w:val="37BB5BE3"/>
    <w:rsid w:val="37C3064D"/>
    <w:rsid w:val="37C94B02"/>
    <w:rsid w:val="37EB48F4"/>
    <w:rsid w:val="385E298D"/>
    <w:rsid w:val="386115E2"/>
    <w:rsid w:val="38812459"/>
    <w:rsid w:val="38AC21D5"/>
    <w:rsid w:val="38C51FA1"/>
    <w:rsid w:val="38C56745"/>
    <w:rsid w:val="38ED5B17"/>
    <w:rsid w:val="391F5908"/>
    <w:rsid w:val="393A5E0A"/>
    <w:rsid w:val="3A64580B"/>
    <w:rsid w:val="3A7D665D"/>
    <w:rsid w:val="3AAA205E"/>
    <w:rsid w:val="3AAB47A9"/>
    <w:rsid w:val="3AB76C35"/>
    <w:rsid w:val="3AB94D13"/>
    <w:rsid w:val="3AC405E4"/>
    <w:rsid w:val="3ACB34B8"/>
    <w:rsid w:val="3B1B2B15"/>
    <w:rsid w:val="3B27182E"/>
    <w:rsid w:val="3B5755D8"/>
    <w:rsid w:val="3B680882"/>
    <w:rsid w:val="3BB11661"/>
    <w:rsid w:val="3BC85536"/>
    <w:rsid w:val="3BEE3DAF"/>
    <w:rsid w:val="3C3E4D0D"/>
    <w:rsid w:val="3C5740DD"/>
    <w:rsid w:val="3C6A6013"/>
    <w:rsid w:val="3C806CA2"/>
    <w:rsid w:val="3C875BD5"/>
    <w:rsid w:val="3D22238A"/>
    <w:rsid w:val="3D2A072A"/>
    <w:rsid w:val="3D3F6549"/>
    <w:rsid w:val="3D483969"/>
    <w:rsid w:val="3D510A70"/>
    <w:rsid w:val="3D6E3B32"/>
    <w:rsid w:val="3DA476DF"/>
    <w:rsid w:val="3DA9026A"/>
    <w:rsid w:val="3DE713D4"/>
    <w:rsid w:val="3E007463"/>
    <w:rsid w:val="3E0A4140"/>
    <w:rsid w:val="3E3D322B"/>
    <w:rsid w:val="3E5A2068"/>
    <w:rsid w:val="3E8D79E9"/>
    <w:rsid w:val="3E8E1D06"/>
    <w:rsid w:val="3E955212"/>
    <w:rsid w:val="3EC3599D"/>
    <w:rsid w:val="3EF618CF"/>
    <w:rsid w:val="3F1C6570"/>
    <w:rsid w:val="3F51170A"/>
    <w:rsid w:val="3FD66319"/>
    <w:rsid w:val="40507902"/>
    <w:rsid w:val="405204BF"/>
    <w:rsid w:val="407A6954"/>
    <w:rsid w:val="407C1AED"/>
    <w:rsid w:val="40926141"/>
    <w:rsid w:val="40AE6405"/>
    <w:rsid w:val="40BE7560"/>
    <w:rsid w:val="40E2372C"/>
    <w:rsid w:val="41237074"/>
    <w:rsid w:val="416F7716"/>
    <w:rsid w:val="4176039B"/>
    <w:rsid w:val="417B430D"/>
    <w:rsid w:val="41A76EB0"/>
    <w:rsid w:val="41A82C28"/>
    <w:rsid w:val="41C95079"/>
    <w:rsid w:val="41F76A00"/>
    <w:rsid w:val="420C4EF5"/>
    <w:rsid w:val="42181E5B"/>
    <w:rsid w:val="421F4DB9"/>
    <w:rsid w:val="422B007C"/>
    <w:rsid w:val="427312E5"/>
    <w:rsid w:val="42881AA6"/>
    <w:rsid w:val="42A81132"/>
    <w:rsid w:val="42D42289"/>
    <w:rsid w:val="42E02E33"/>
    <w:rsid w:val="42F65BA4"/>
    <w:rsid w:val="434C47FE"/>
    <w:rsid w:val="434F15AD"/>
    <w:rsid w:val="43582988"/>
    <w:rsid w:val="4364501E"/>
    <w:rsid w:val="43FF38BC"/>
    <w:rsid w:val="440C7848"/>
    <w:rsid w:val="44337121"/>
    <w:rsid w:val="44443036"/>
    <w:rsid w:val="4453447A"/>
    <w:rsid w:val="44BD4C3D"/>
    <w:rsid w:val="44CD30D2"/>
    <w:rsid w:val="44E855CD"/>
    <w:rsid w:val="44EE4354"/>
    <w:rsid w:val="44F64D49"/>
    <w:rsid w:val="450A5A18"/>
    <w:rsid w:val="459B770E"/>
    <w:rsid w:val="459D408E"/>
    <w:rsid w:val="45A42374"/>
    <w:rsid w:val="45D313A6"/>
    <w:rsid w:val="45D94A67"/>
    <w:rsid w:val="45E375FE"/>
    <w:rsid w:val="46192D48"/>
    <w:rsid w:val="461E42D2"/>
    <w:rsid w:val="46316751"/>
    <w:rsid w:val="463827CD"/>
    <w:rsid w:val="46642C04"/>
    <w:rsid w:val="46B03E18"/>
    <w:rsid w:val="46B94545"/>
    <w:rsid w:val="46BD0F24"/>
    <w:rsid w:val="46C978C9"/>
    <w:rsid w:val="46F40E8A"/>
    <w:rsid w:val="46FF153C"/>
    <w:rsid w:val="47103BFA"/>
    <w:rsid w:val="47195F8F"/>
    <w:rsid w:val="471C20EE"/>
    <w:rsid w:val="472509CB"/>
    <w:rsid w:val="472B3D7F"/>
    <w:rsid w:val="473C24B5"/>
    <w:rsid w:val="478A2A55"/>
    <w:rsid w:val="479E38D8"/>
    <w:rsid w:val="47D55BE2"/>
    <w:rsid w:val="47EB734B"/>
    <w:rsid w:val="48167CD1"/>
    <w:rsid w:val="486E372E"/>
    <w:rsid w:val="48934AEB"/>
    <w:rsid w:val="492E33C0"/>
    <w:rsid w:val="495261A3"/>
    <w:rsid w:val="495D6F47"/>
    <w:rsid w:val="4968124F"/>
    <w:rsid w:val="498A0C86"/>
    <w:rsid w:val="499A379E"/>
    <w:rsid w:val="49C66AAA"/>
    <w:rsid w:val="4A0550BC"/>
    <w:rsid w:val="4A0B4816"/>
    <w:rsid w:val="4A0F5A93"/>
    <w:rsid w:val="4A107CDA"/>
    <w:rsid w:val="4A2E328A"/>
    <w:rsid w:val="4A600544"/>
    <w:rsid w:val="4A79782A"/>
    <w:rsid w:val="4AC0649D"/>
    <w:rsid w:val="4AE901CC"/>
    <w:rsid w:val="4AE90539"/>
    <w:rsid w:val="4AF33166"/>
    <w:rsid w:val="4B8D3FB4"/>
    <w:rsid w:val="4BFA0441"/>
    <w:rsid w:val="4C4814B5"/>
    <w:rsid w:val="4CD16F98"/>
    <w:rsid w:val="4CD722EC"/>
    <w:rsid w:val="4D1A48B8"/>
    <w:rsid w:val="4D495436"/>
    <w:rsid w:val="4D4C3002"/>
    <w:rsid w:val="4D553C64"/>
    <w:rsid w:val="4D69341E"/>
    <w:rsid w:val="4D7C440A"/>
    <w:rsid w:val="4D8C494F"/>
    <w:rsid w:val="4D907392"/>
    <w:rsid w:val="4DDE0F4B"/>
    <w:rsid w:val="4E2467B1"/>
    <w:rsid w:val="4E4C44BA"/>
    <w:rsid w:val="4E7C3AE4"/>
    <w:rsid w:val="4E7D486E"/>
    <w:rsid w:val="4EB6646D"/>
    <w:rsid w:val="4EBE5C67"/>
    <w:rsid w:val="4ED11A10"/>
    <w:rsid w:val="4ED36571"/>
    <w:rsid w:val="4F01461F"/>
    <w:rsid w:val="4F2A2BCF"/>
    <w:rsid w:val="4F5E692A"/>
    <w:rsid w:val="4F8E2092"/>
    <w:rsid w:val="4FA766A8"/>
    <w:rsid w:val="4FDA48F5"/>
    <w:rsid w:val="500B3467"/>
    <w:rsid w:val="504413AB"/>
    <w:rsid w:val="50964CC0"/>
    <w:rsid w:val="50F41DA8"/>
    <w:rsid w:val="510F6896"/>
    <w:rsid w:val="51171D45"/>
    <w:rsid w:val="51404F43"/>
    <w:rsid w:val="51426BF5"/>
    <w:rsid w:val="519805C3"/>
    <w:rsid w:val="519C7BCD"/>
    <w:rsid w:val="51A02FF6"/>
    <w:rsid w:val="51B11685"/>
    <w:rsid w:val="51CC5132"/>
    <w:rsid w:val="51F82BBB"/>
    <w:rsid w:val="522B7DE8"/>
    <w:rsid w:val="522D3402"/>
    <w:rsid w:val="523C53F3"/>
    <w:rsid w:val="527728CF"/>
    <w:rsid w:val="52D56254"/>
    <w:rsid w:val="52DC6BD6"/>
    <w:rsid w:val="52EB6588"/>
    <w:rsid w:val="52EF677C"/>
    <w:rsid w:val="53157C48"/>
    <w:rsid w:val="5324413E"/>
    <w:rsid w:val="53AC0B8F"/>
    <w:rsid w:val="53AC11E6"/>
    <w:rsid w:val="53BD2F33"/>
    <w:rsid w:val="542D2B1D"/>
    <w:rsid w:val="54413DC6"/>
    <w:rsid w:val="545F208E"/>
    <w:rsid w:val="5472334E"/>
    <w:rsid w:val="54A61249"/>
    <w:rsid w:val="54C03891"/>
    <w:rsid w:val="54D77655"/>
    <w:rsid w:val="54F634F2"/>
    <w:rsid w:val="551C7980"/>
    <w:rsid w:val="55256612"/>
    <w:rsid w:val="55316AA0"/>
    <w:rsid w:val="55417957"/>
    <w:rsid w:val="5549056E"/>
    <w:rsid w:val="555E5F8A"/>
    <w:rsid w:val="55C81AB9"/>
    <w:rsid w:val="55E95892"/>
    <w:rsid w:val="55FF6EF7"/>
    <w:rsid w:val="56277A93"/>
    <w:rsid w:val="56325CFA"/>
    <w:rsid w:val="56370B3D"/>
    <w:rsid w:val="564E7DEA"/>
    <w:rsid w:val="5664557C"/>
    <w:rsid w:val="56913258"/>
    <w:rsid w:val="569A430A"/>
    <w:rsid w:val="569B7D3A"/>
    <w:rsid w:val="56BB3C75"/>
    <w:rsid w:val="56C07F03"/>
    <w:rsid w:val="56C3089C"/>
    <w:rsid w:val="56DE7067"/>
    <w:rsid w:val="570955B4"/>
    <w:rsid w:val="5725657E"/>
    <w:rsid w:val="574C257C"/>
    <w:rsid w:val="57527C3E"/>
    <w:rsid w:val="57714A87"/>
    <w:rsid w:val="5783793E"/>
    <w:rsid w:val="578C0BCA"/>
    <w:rsid w:val="579D4B86"/>
    <w:rsid w:val="57CC2BA0"/>
    <w:rsid w:val="580956C4"/>
    <w:rsid w:val="583E5061"/>
    <w:rsid w:val="587B1836"/>
    <w:rsid w:val="58B54151"/>
    <w:rsid w:val="58DC7930"/>
    <w:rsid w:val="58DF3A45"/>
    <w:rsid w:val="59257C80"/>
    <w:rsid w:val="592D7DD9"/>
    <w:rsid w:val="597B5DBE"/>
    <w:rsid w:val="597C73A7"/>
    <w:rsid w:val="598D26AC"/>
    <w:rsid w:val="599F77C9"/>
    <w:rsid w:val="59B44408"/>
    <w:rsid w:val="59BF49F3"/>
    <w:rsid w:val="59C70988"/>
    <w:rsid w:val="59C95F43"/>
    <w:rsid w:val="59DE214B"/>
    <w:rsid w:val="59F53571"/>
    <w:rsid w:val="5A0045B8"/>
    <w:rsid w:val="5A0D0F8F"/>
    <w:rsid w:val="5A21245B"/>
    <w:rsid w:val="5A3B26B8"/>
    <w:rsid w:val="5A772767"/>
    <w:rsid w:val="5A93268F"/>
    <w:rsid w:val="5AB2046A"/>
    <w:rsid w:val="5AC82B93"/>
    <w:rsid w:val="5AE14D89"/>
    <w:rsid w:val="5AE6318E"/>
    <w:rsid w:val="5AFB13A2"/>
    <w:rsid w:val="5B4E0490"/>
    <w:rsid w:val="5BFF13ED"/>
    <w:rsid w:val="5C142F3C"/>
    <w:rsid w:val="5C583771"/>
    <w:rsid w:val="5C8E651C"/>
    <w:rsid w:val="5CA377CF"/>
    <w:rsid w:val="5CCE57E1"/>
    <w:rsid w:val="5CE3404F"/>
    <w:rsid w:val="5CE538EF"/>
    <w:rsid w:val="5D120EE1"/>
    <w:rsid w:val="5D3A5D7E"/>
    <w:rsid w:val="5D766CBF"/>
    <w:rsid w:val="5D7C6FEB"/>
    <w:rsid w:val="5DA550B9"/>
    <w:rsid w:val="5DB443B5"/>
    <w:rsid w:val="5DC012A8"/>
    <w:rsid w:val="5DCA7D57"/>
    <w:rsid w:val="5DE3706A"/>
    <w:rsid w:val="5E2D4789"/>
    <w:rsid w:val="5E313880"/>
    <w:rsid w:val="5E803BCC"/>
    <w:rsid w:val="5E873E9A"/>
    <w:rsid w:val="5E8A187A"/>
    <w:rsid w:val="5EAE4FD3"/>
    <w:rsid w:val="5EB27108"/>
    <w:rsid w:val="5EC43DFE"/>
    <w:rsid w:val="5F09244A"/>
    <w:rsid w:val="5F1A63D6"/>
    <w:rsid w:val="5F9177D9"/>
    <w:rsid w:val="5FBC4DCF"/>
    <w:rsid w:val="5FBD159D"/>
    <w:rsid w:val="5FD41D53"/>
    <w:rsid w:val="5FDE4B10"/>
    <w:rsid w:val="600474BD"/>
    <w:rsid w:val="600C2AB9"/>
    <w:rsid w:val="602A334A"/>
    <w:rsid w:val="60410FB0"/>
    <w:rsid w:val="60B10D84"/>
    <w:rsid w:val="60B25AEA"/>
    <w:rsid w:val="60B92304"/>
    <w:rsid w:val="60E11843"/>
    <w:rsid w:val="61322ED2"/>
    <w:rsid w:val="614442C4"/>
    <w:rsid w:val="615C6151"/>
    <w:rsid w:val="616017BB"/>
    <w:rsid w:val="61686204"/>
    <w:rsid w:val="61BD2A1D"/>
    <w:rsid w:val="61BE134F"/>
    <w:rsid w:val="61CB6793"/>
    <w:rsid w:val="62047871"/>
    <w:rsid w:val="622B3906"/>
    <w:rsid w:val="62494283"/>
    <w:rsid w:val="62BA2B93"/>
    <w:rsid w:val="62EF46F3"/>
    <w:rsid w:val="63572911"/>
    <w:rsid w:val="63D170AC"/>
    <w:rsid w:val="642B7DAF"/>
    <w:rsid w:val="644E5082"/>
    <w:rsid w:val="646D3E65"/>
    <w:rsid w:val="647D2112"/>
    <w:rsid w:val="64914748"/>
    <w:rsid w:val="64C93ECA"/>
    <w:rsid w:val="64CA3CB4"/>
    <w:rsid w:val="64CB0731"/>
    <w:rsid w:val="64E2585A"/>
    <w:rsid w:val="64EA5182"/>
    <w:rsid w:val="64EC0669"/>
    <w:rsid w:val="65044496"/>
    <w:rsid w:val="652103CF"/>
    <w:rsid w:val="653250D8"/>
    <w:rsid w:val="65693C54"/>
    <w:rsid w:val="65714A10"/>
    <w:rsid w:val="65776156"/>
    <w:rsid w:val="65896749"/>
    <w:rsid w:val="65B705EA"/>
    <w:rsid w:val="65EF7DA6"/>
    <w:rsid w:val="65FC09A8"/>
    <w:rsid w:val="660C265C"/>
    <w:rsid w:val="66903AB5"/>
    <w:rsid w:val="66BA6E26"/>
    <w:rsid w:val="66F10A4A"/>
    <w:rsid w:val="66F978FF"/>
    <w:rsid w:val="674409CD"/>
    <w:rsid w:val="67477DD7"/>
    <w:rsid w:val="675E1BBE"/>
    <w:rsid w:val="6788637E"/>
    <w:rsid w:val="67923FAF"/>
    <w:rsid w:val="67997816"/>
    <w:rsid w:val="67A856DC"/>
    <w:rsid w:val="67AB689B"/>
    <w:rsid w:val="67D565E6"/>
    <w:rsid w:val="682E6AFE"/>
    <w:rsid w:val="6843464A"/>
    <w:rsid w:val="68A501F9"/>
    <w:rsid w:val="68AF4719"/>
    <w:rsid w:val="68B476C6"/>
    <w:rsid w:val="68D250A1"/>
    <w:rsid w:val="69194288"/>
    <w:rsid w:val="695F41A3"/>
    <w:rsid w:val="69676C0C"/>
    <w:rsid w:val="698D10CC"/>
    <w:rsid w:val="69A00505"/>
    <w:rsid w:val="69AE1092"/>
    <w:rsid w:val="69C410AA"/>
    <w:rsid w:val="69C959DF"/>
    <w:rsid w:val="6A2D62D3"/>
    <w:rsid w:val="6A346D48"/>
    <w:rsid w:val="6A4B43FD"/>
    <w:rsid w:val="6A556D9B"/>
    <w:rsid w:val="6A576495"/>
    <w:rsid w:val="6A753B41"/>
    <w:rsid w:val="6A940813"/>
    <w:rsid w:val="6AB16272"/>
    <w:rsid w:val="6AB30270"/>
    <w:rsid w:val="6AC00E8A"/>
    <w:rsid w:val="6AC33D7B"/>
    <w:rsid w:val="6AC515DC"/>
    <w:rsid w:val="6B0335F9"/>
    <w:rsid w:val="6B454EF2"/>
    <w:rsid w:val="6BA30B8B"/>
    <w:rsid w:val="6BC664F4"/>
    <w:rsid w:val="6BD36CF4"/>
    <w:rsid w:val="6BD43941"/>
    <w:rsid w:val="6C402332"/>
    <w:rsid w:val="6C6B6118"/>
    <w:rsid w:val="6C891725"/>
    <w:rsid w:val="6CDE2D6D"/>
    <w:rsid w:val="6CDF630A"/>
    <w:rsid w:val="6CFE17CB"/>
    <w:rsid w:val="6D025E70"/>
    <w:rsid w:val="6D0A63C2"/>
    <w:rsid w:val="6D0E40DB"/>
    <w:rsid w:val="6D2120C6"/>
    <w:rsid w:val="6D2917A9"/>
    <w:rsid w:val="6D2C01D4"/>
    <w:rsid w:val="6D4E6E2B"/>
    <w:rsid w:val="6D514B1A"/>
    <w:rsid w:val="6D785A21"/>
    <w:rsid w:val="6DCD6F00"/>
    <w:rsid w:val="6DD70987"/>
    <w:rsid w:val="6DD85753"/>
    <w:rsid w:val="6DDA2BFD"/>
    <w:rsid w:val="6DDE05B9"/>
    <w:rsid w:val="6DE049BF"/>
    <w:rsid w:val="6E6C0E13"/>
    <w:rsid w:val="6E8615C7"/>
    <w:rsid w:val="6E886FBB"/>
    <w:rsid w:val="6EA23ED2"/>
    <w:rsid w:val="6EA4707E"/>
    <w:rsid w:val="6EDD1581"/>
    <w:rsid w:val="6EE37D9F"/>
    <w:rsid w:val="6EF57BEA"/>
    <w:rsid w:val="6F1B4E23"/>
    <w:rsid w:val="6F1E3CE5"/>
    <w:rsid w:val="6F33431F"/>
    <w:rsid w:val="6F627C19"/>
    <w:rsid w:val="6F8C7562"/>
    <w:rsid w:val="6FA35FE5"/>
    <w:rsid w:val="6FD71E92"/>
    <w:rsid w:val="6FDC1B6B"/>
    <w:rsid w:val="6FE0340A"/>
    <w:rsid w:val="6FE93004"/>
    <w:rsid w:val="6FED3CDB"/>
    <w:rsid w:val="701F1A47"/>
    <w:rsid w:val="70227EC6"/>
    <w:rsid w:val="702D49F8"/>
    <w:rsid w:val="703F60A8"/>
    <w:rsid w:val="70460911"/>
    <w:rsid w:val="70530681"/>
    <w:rsid w:val="70822713"/>
    <w:rsid w:val="70B46F74"/>
    <w:rsid w:val="70E02081"/>
    <w:rsid w:val="70E37655"/>
    <w:rsid w:val="70EF1F9B"/>
    <w:rsid w:val="714E772A"/>
    <w:rsid w:val="71616E00"/>
    <w:rsid w:val="71A32941"/>
    <w:rsid w:val="71E73175"/>
    <w:rsid w:val="71FB028A"/>
    <w:rsid w:val="72485353"/>
    <w:rsid w:val="724B5262"/>
    <w:rsid w:val="7254536D"/>
    <w:rsid w:val="72867401"/>
    <w:rsid w:val="72875C50"/>
    <w:rsid w:val="729130E1"/>
    <w:rsid w:val="72D134DE"/>
    <w:rsid w:val="72FD1EE3"/>
    <w:rsid w:val="734C0DB6"/>
    <w:rsid w:val="73900C02"/>
    <w:rsid w:val="73940F35"/>
    <w:rsid w:val="73BE334D"/>
    <w:rsid w:val="73D253BE"/>
    <w:rsid w:val="740E0F6C"/>
    <w:rsid w:val="746C5BB4"/>
    <w:rsid w:val="74A909A2"/>
    <w:rsid w:val="74E538AA"/>
    <w:rsid w:val="74EB0EC0"/>
    <w:rsid w:val="74FA2CFF"/>
    <w:rsid w:val="7529519B"/>
    <w:rsid w:val="752A613E"/>
    <w:rsid w:val="75360D61"/>
    <w:rsid w:val="7541494A"/>
    <w:rsid w:val="7544659D"/>
    <w:rsid w:val="75AB44BA"/>
    <w:rsid w:val="75CC203F"/>
    <w:rsid w:val="75EC3BA5"/>
    <w:rsid w:val="75F6021B"/>
    <w:rsid w:val="76026A27"/>
    <w:rsid w:val="76557CFE"/>
    <w:rsid w:val="76650F73"/>
    <w:rsid w:val="767D2702"/>
    <w:rsid w:val="76A47A33"/>
    <w:rsid w:val="76A52F33"/>
    <w:rsid w:val="76AD3EE0"/>
    <w:rsid w:val="76B40FB3"/>
    <w:rsid w:val="77162D24"/>
    <w:rsid w:val="772A0B42"/>
    <w:rsid w:val="77463913"/>
    <w:rsid w:val="778154D2"/>
    <w:rsid w:val="77B3710F"/>
    <w:rsid w:val="77E4782D"/>
    <w:rsid w:val="77F14B39"/>
    <w:rsid w:val="7818656F"/>
    <w:rsid w:val="784E6FD5"/>
    <w:rsid w:val="787A58C4"/>
    <w:rsid w:val="79460D8A"/>
    <w:rsid w:val="795758AD"/>
    <w:rsid w:val="7982320E"/>
    <w:rsid w:val="79992F3A"/>
    <w:rsid w:val="79A04F7A"/>
    <w:rsid w:val="79AE33E5"/>
    <w:rsid w:val="79DF3E60"/>
    <w:rsid w:val="79EC68CF"/>
    <w:rsid w:val="7A921700"/>
    <w:rsid w:val="7A9D7487"/>
    <w:rsid w:val="7AB22019"/>
    <w:rsid w:val="7AD324E9"/>
    <w:rsid w:val="7ADF7850"/>
    <w:rsid w:val="7B447C52"/>
    <w:rsid w:val="7B4E05AB"/>
    <w:rsid w:val="7B5D1DB2"/>
    <w:rsid w:val="7B8A1A01"/>
    <w:rsid w:val="7BBF4CC5"/>
    <w:rsid w:val="7BE44282"/>
    <w:rsid w:val="7BEB23A7"/>
    <w:rsid w:val="7C1A207B"/>
    <w:rsid w:val="7C30076C"/>
    <w:rsid w:val="7C537629"/>
    <w:rsid w:val="7C9712F4"/>
    <w:rsid w:val="7CAE5E12"/>
    <w:rsid w:val="7CC04CEF"/>
    <w:rsid w:val="7CC83F86"/>
    <w:rsid w:val="7CCA3711"/>
    <w:rsid w:val="7CCE6A29"/>
    <w:rsid w:val="7CEC0790"/>
    <w:rsid w:val="7D0D0CD7"/>
    <w:rsid w:val="7D1A5598"/>
    <w:rsid w:val="7D1F193A"/>
    <w:rsid w:val="7D2E5A63"/>
    <w:rsid w:val="7D86745E"/>
    <w:rsid w:val="7D9A12A0"/>
    <w:rsid w:val="7DD53558"/>
    <w:rsid w:val="7DE00C30"/>
    <w:rsid w:val="7DEE4676"/>
    <w:rsid w:val="7DFE187A"/>
    <w:rsid w:val="7E0706D0"/>
    <w:rsid w:val="7E331077"/>
    <w:rsid w:val="7E6D055E"/>
    <w:rsid w:val="7E8A7362"/>
    <w:rsid w:val="7EBF38DE"/>
    <w:rsid w:val="7ED25A6D"/>
    <w:rsid w:val="7EF95A5A"/>
    <w:rsid w:val="7EF96296"/>
    <w:rsid w:val="7F2E09F5"/>
    <w:rsid w:val="7F531E4A"/>
    <w:rsid w:val="7F6F10F3"/>
    <w:rsid w:val="7FA346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Times New Roman"/>
      <w:kern w:val="2"/>
      <w:sz w:val="21"/>
      <w:szCs w:val="24"/>
      <w:lang w:val="en-US" w:eastAsia="zh-CN" w:bidi="ar-SA"/>
    </w:rPr>
  </w:style>
  <w:style w:type="paragraph" w:styleId="9">
    <w:name w:val="heading 1"/>
    <w:basedOn w:val="1"/>
    <w:next w:val="1"/>
    <w:qFormat/>
    <w:uiPriority w:val="0"/>
    <w:pPr>
      <w:keepNext/>
      <w:keepLines/>
      <w:spacing w:before="340" w:after="330" w:line="578" w:lineRule="auto"/>
      <w:jc w:val="center"/>
      <w:outlineLvl w:val="0"/>
    </w:pPr>
    <w:rPr>
      <w:b/>
      <w:bCs/>
      <w:kern w:val="44"/>
      <w:sz w:val="44"/>
      <w:szCs w:val="44"/>
    </w:rPr>
  </w:style>
  <w:style w:type="paragraph" w:styleId="10">
    <w:name w:val="heading 2"/>
    <w:basedOn w:val="1"/>
    <w:next w:val="1"/>
    <w:qFormat/>
    <w:uiPriority w:val="99"/>
    <w:pPr>
      <w:keepNext/>
      <w:keepLines/>
      <w:spacing w:before="260" w:after="260" w:line="416" w:lineRule="auto"/>
      <w:outlineLvl w:val="1"/>
    </w:pPr>
    <w:rPr>
      <w:rFonts w:ascii="Calibri Light" w:hAnsi="Calibri Light"/>
      <w:b/>
      <w:bCs/>
      <w:sz w:val="32"/>
      <w:szCs w:val="32"/>
    </w:rPr>
  </w:style>
  <w:style w:type="paragraph" w:styleId="11">
    <w:name w:val="heading 3"/>
    <w:basedOn w:val="1"/>
    <w:next w:val="1"/>
    <w:qFormat/>
    <w:uiPriority w:val="0"/>
    <w:pPr>
      <w:keepNext/>
      <w:keepLines/>
      <w:spacing w:before="260" w:after="260" w:line="416" w:lineRule="auto"/>
      <w:outlineLvl w:val="2"/>
    </w:pPr>
    <w:rPr>
      <w:b/>
      <w:bCs/>
      <w:kern w:val="0"/>
      <w:sz w:val="32"/>
      <w:szCs w:val="32"/>
    </w:rPr>
  </w:style>
  <w:style w:type="paragraph" w:styleId="12">
    <w:name w:val="heading 4"/>
    <w:basedOn w:val="1"/>
    <w:next w:val="1"/>
    <w:qFormat/>
    <w:uiPriority w:val="0"/>
    <w:pPr>
      <w:keepNext/>
      <w:keepLines/>
      <w:spacing w:before="280" w:after="290" w:line="376" w:lineRule="auto"/>
      <w:outlineLvl w:val="3"/>
    </w:pPr>
    <w:rPr>
      <w:rFonts w:ascii="Times New Roman" w:hAnsi="Times New Roman"/>
      <w:sz w:val="32"/>
      <w:szCs w:val="20"/>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6"/>
    <w:qFormat/>
    <w:uiPriority w:val="0"/>
    <w:pPr>
      <w:autoSpaceDE w:val="0"/>
      <w:autoSpaceDN w:val="0"/>
      <w:adjustRightInd w:val="0"/>
      <w:jc w:val="left"/>
    </w:pPr>
    <w:rPr>
      <w:rFonts w:hint="eastAsia" w:ascii="宋体" w:hAnsi="Calibri"/>
      <w:color w:val="000000"/>
      <w:kern w:val="0"/>
      <w:sz w:val="24"/>
    </w:rPr>
  </w:style>
  <w:style w:type="paragraph" w:styleId="3">
    <w:name w:val="Plain Text"/>
    <w:basedOn w:val="1"/>
    <w:next w:val="4"/>
    <w:qFormat/>
    <w:uiPriority w:val="0"/>
    <w:rPr>
      <w:rFonts w:hint="eastAsia" w:ascii="宋体" w:hAnsi="Courier New"/>
      <w:szCs w:val="21"/>
    </w:rPr>
  </w:style>
  <w:style w:type="paragraph" w:styleId="4">
    <w:name w:val="Body Text"/>
    <w:basedOn w:val="1"/>
    <w:next w:val="5"/>
    <w:qFormat/>
    <w:uiPriority w:val="0"/>
    <w:rPr>
      <w:rFonts w:ascii="Times New Roman" w:hAnsi="Times New Roman"/>
    </w:rPr>
  </w:style>
  <w:style w:type="paragraph" w:styleId="5">
    <w:name w:val="Title"/>
    <w:basedOn w:val="1"/>
    <w:next w:val="1"/>
    <w:qFormat/>
    <w:uiPriority w:val="0"/>
    <w:pPr>
      <w:spacing w:before="240" w:after="60"/>
      <w:jc w:val="center"/>
      <w:outlineLvl w:val="0"/>
    </w:pPr>
    <w:rPr>
      <w:rFonts w:ascii="Calibri Light" w:hAnsi="Calibri Light" w:eastAsia="Calibri Light"/>
      <w:b/>
      <w:sz w:val="32"/>
      <w:szCs w:val="32"/>
    </w:rPr>
  </w:style>
  <w:style w:type="paragraph" w:customStyle="1" w:styleId="6">
    <w:name w:val="大标题"/>
    <w:basedOn w:val="1"/>
    <w:next w:val="7"/>
    <w:qFormat/>
    <w:uiPriority w:val="0"/>
    <w:pPr>
      <w:jc w:val="center"/>
    </w:pPr>
    <w:rPr>
      <w:rFonts w:ascii="Arial" w:hAnsi="Arial"/>
      <w:b/>
      <w:sz w:val="28"/>
    </w:rPr>
  </w:style>
  <w:style w:type="paragraph" w:styleId="7">
    <w:name w:val="Body Text First Indent 2"/>
    <w:basedOn w:val="8"/>
    <w:next w:val="1"/>
    <w:qFormat/>
    <w:uiPriority w:val="0"/>
    <w:pPr>
      <w:ind w:firstLine="420"/>
    </w:pPr>
  </w:style>
  <w:style w:type="paragraph" w:styleId="8">
    <w:name w:val="Body Text Indent"/>
    <w:basedOn w:val="1"/>
    <w:qFormat/>
    <w:uiPriority w:val="0"/>
    <w:pPr>
      <w:ind w:firstLine="560" w:firstLineChars="200"/>
    </w:pPr>
    <w:rPr>
      <w:rFonts w:ascii="Times New Roman" w:hAnsi="Times New Roman"/>
    </w:rPr>
  </w:style>
  <w:style w:type="paragraph" w:styleId="13">
    <w:name w:val="table of authorities"/>
    <w:basedOn w:val="1"/>
    <w:next w:val="1"/>
    <w:unhideWhenUsed/>
    <w:qFormat/>
    <w:uiPriority w:val="99"/>
    <w:pPr>
      <w:ind w:left="420" w:leftChars="200"/>
    </w:pPr>
  </w:style>
  <w:style w:type="paragraph" w:styleId="14">
    <w:name w:val="Normal Indent"/>
    <w:basedOn w:val="1"/>
    <w:unhideWhenUsed/>
    <w:qFormat/>
    <w:uiPriority w:val="99"/>
    <w:pPr>
      <w:ind w:firstLine="420"/>
    </w:pPr>
    <w:rPr>
      <w:rFonts w:ascii="Calibri" w:hAnsi="Calibri"/>
      <w:szCs w:val="20"/>
    </w:rPr>
  </w:style>
  <w:style w:type="paragraph" w:styleId="15">
    <w:name w:val="caption"/>
    <w:basedOn w:val="1"/>
    <w:next w:val="1"/>
    <w:qFormat/>
    <w:uiPriority w:val="0"/>
    <w:rPr>
      <w:rFonts w:ascii="Arial" w:hAnsi="Arial" w:eastAsia="黑体" w:cstheme="minorBidi"/>
      <w:sz w:val="20"/>
    </w:rPr>
  </w:style>
  <w:style w:type="paragraph" w:styleId="16">
    <w:name w:val="toa heading"/>
    <w:basedOn w:val="1"/>
    <w:next w:val="1"/>
    <w:unhideWhenUsed/>
    <w:qFormat/>
    <w:uiPriority w:val="99"/>
    <w:pPr>
      <w:spacing w:before="120"/>
    </w:pPr>
    <w:rPr>
      <w:rFonts w:ascii="Arial" w:hAnsi="Arial" w:cs="Arial"/>
      <w:sz w:val="24"/>
    </w:rPr>
  </w:style>
  <w:style w:type="paragraph" w:styleId="17">
    <w:name w:val="annotation text"/>
    <w:basedOn w:val="1"/>
    <w:link w:val="61"/>
    <w:qFormat/>
    <w:uiPriority w:val="0"/>
    <w:pPr>
      <w:jc w:val="left"/>
    </w:pPr>
  </w:style>
  <w:style w:type="paragraph" w:styleId="18">
    <w:name w:val="Body Text 3"/>
    <w:basedOn w:val="1"/>
    <w:unhideWhenUsed/>
    <w:qFormat/>
    <w:uiPriority w:val="0"/>
    <w:pPr>
      <w:spacing w:after="120"/>
    </w:pPr>
    <w:rPr>
      <w:rFonts w:ascii="Times New Roman" w:hAnsi="Times New Roman"/>
      <w:sz w:val="16"/>
      <w:szCs w:val="16"/>
    </w:rPr>
  </w:style>
  <w:style w:type="paragraph" w:styleId="19">
    <w:name w:val="toc 3"/>
    <w:basedOn w:val="1"/>
    <w:next w:val="1"/>
    <w:qFormat/>
    <w:uiPriority w:val="0"/>
    <w:pPr>
      <w:ind w:left="840" w:leftChars="400"/>
    </w:pPr>
  </w:style>
  <w:style w:type="paragraph" w:styleId="20">
    <w:name w:val="Balloon Text"/>
    <w:basedOn w:val="1"/>
    <w:link w:val="63"/>
    <w:qFormat/>
    <w:uiPriority w:val="0"/>
    <w:rPr>
      <w:sz w:val="18"/>
      <w:szCs w:val="18"/>
    </w:rPr>
  </w:style>
  <w:style w:type="paragraph" w:styleId="21">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22">
    <w:name w:val="envelope return"/>
    <w:basedOn w:val="1"/>
    <w:qFormat/>
    <w:uiPriority w:val="99"/>
    <w:pPr>
      <w:snapToGrid w:val="0"/>
    </w:pPr>
    <w:rPr>
      <w:rFonts w:ascii="Arial" w:hAnsi="Arial" w:cs="Arial"/>
    </w:rPr>
  </w:style>
  <w:style w:type="paragraph" w:styleId="2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szCs w:val="18"/>
    </w:rPr>
  </w:style>
  <w:style w:type="paragraph" w:styleId="24">
    <w:name w:val="toc 1"/>
    <w:basedOn w:val="1"/>
    <w:next w:val="1"/>
    <w:qFormat/>
    <w:uiPriority w:val="0"/>
    <w:rPr>
      <w:rFonts w:ascii="Times New Roman" w:hAnsi="Times New Roman"/>
    </w:rPr>
  </w:style>
  <w:style w:type="paragraph" w:styleId="25">
    <w:name w:val="toc 2"/>
    <w:basedOn w:val="1"/>
    <w:next w:val="1"/>
    <w:qFormat/>
    <w:uiPriority w:val="0"/>
    <w:pPr>
      <w:ind w:left="420" w:leftChars="200"/>
    </w:pPr>
  </w:style>
  <w:style w:type="paragraph" w:styleId="26">
    <w:name w:val="Body Text 2"/>
    <w:basedOn w:val="1"/>
    <w:next w:val="4"/>
    <w:unhideWhenUsed/>
    <w:qFormat/>
    <w:uiPriority w:val="0"/>
    <w:pPr>
      <w:spacing w:after="120" w:line="480" w:lineRule="auto"/>
    </w:pPr>
    <w:rPr>
      <w:rFonts w:ascii="Times New Roman" w:hAnsi="Times New Roman"/>
    </w:rPr>
  </w:style>
  <w:style w:type="paragraph" w:styleId="2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8">
    <w:name w:val="annotation subject"/>
    <w:basedOn w:val="17"/>
    <w:next w:val="17"/>
    <w:link w:val="62"/>
    <w:qFormat/>
    <w:uiPriority w:val="0"/>
    <w:rPr>
      <w:b/>
      <w:bCs/>
    </w:rPr>
  </w:style>
  <w:style w:type="paragraph" w:styleId="29">
    <w:name w:val="Body Text First Indent"/>
    <w:basedOn w:val="4"/>
    <w:next w:val="7"/>
    <w:unhideWhenUsed/>
    <w:qFormat/>
    <w:uiPriority w:val="0"/>
    <w:pPr>
      <w:ind w:firstLine="420" w:firstLineChars="100"/>
    </w:pPr>
    <w:rPr>
      <w:rFonts w:hint="eastAsia" w:ascii="楷体_GB2312" w:eastAsia="楷体_GB2312"/>
      <w:sz w:val="32"/>
    </w:rPr>
  </w:style>
  <w:style w:type="table" w:styleId="31">
    <w:name w:val="Table Grid"/>
    <w:basedOn w:val="3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Hyperlink"/>
    <w:basedOn w:val="32"/>
    <w:qFormat/>
    <w:uiPriority w:val="99"/>
    <w:rPr>
      <w:rFonts w:cs="Times New Roman"/>
      <w:color w:val="0000FF"/>
      <w:u w:val="single"/>
    </w:rPr>
  </w:style>
  <w:style w:type="character" w:styleId="34">
    <w:name w:val="annotation reference"/>
    <w:basedOn w:val="32"/>
    <w:qFormat/>
    <w:uiPriority w:val="0"/>
    <w:rPr>
      <w:sz w:val="21"/>
      <w:szCs w:val="21"/>
    </w:rPr>
  </w:style>
  <w:style w:type="paragraph" w:customStyle="1" w:styleId="35">
    <w:name w:val="无间隔1"/>
    <w:basedOn w:val="1"/>
    <w:next w:val="36"/>
    <w:qFormat/>
    <w:uiPriority w:val="0"/>
    <w:pPr>
      <w:spacing w:line="400" w:lineRule="exact"/>
    </w:pPr>
    <w:rPr>
      <w:sz w:val="24"/>
    </w:rPr>
  </w:style>
  <w:style w:type="paragraph" w:customStyle="1" w:styleId="36">
    <w:name w:val="正文（首行缩进） Char"/>
    <w:basedOn w:val="1"/>
    <w:next w:val="37"/>
    <w:qFormat/>
    <w:uiPriority w:val="0"/>
    <w:pPr>
      <w:spacing w:line="360" w:lineRule="auto"/>
      <w:ind w:firstLine="480"/>
    </w:pPr>
    <w:rPr>
      <w:rFonts w:ascii="Arial"/>
      <w:color w:val="000000"/>
      <w:sz w:val="24"/>
    </w:rPr>
  </w:style>
  <w:style w:type="paragraph" w:customStyle="1" w:styleId="37">
    <w:name w:val="2号黑体加粗"/>
    <w:basedOn w:val="1"/>
    <w:next w:val="38"/>
    <w:qFormat/>
    <w:uiPriority w:val="0"/>
    <w:pPr>
      <w:jc w:val="center"/>
    </w:pPr>
    <w:rPr>
      <w:rFonts w:ascii="Calibri" w:eastAsia="黑体"/>
      <w:b/>
      <w:sz w:val="44"/>
    </w:rPr>
  </w:style>
  <w:style w:type="paragraph" w:customStyle="1" w:styleId="38">
    <w:name w:val="表格文字"/>
    <w:basedOn w:val="1"/>
    <w:next w:val="1"/>
    <w:qFormat/>
    <w:uiPriority w:val="0"/>
    <w:pPr>
      <w:adjustRightInd w:val="0"/>
      <w:spacing w:line="420" w:lineRule="atLeast"/>
      <w:jc w:val="left"/>
      <w:textAlignment w:val="baseline"/>
    </w:pPr>
    <w:rPr>
      <w:kern w:val="0"/>
    </w:rPr>
  </w:style>
  <w:style w:type="paragraph" w:customStyle="1" w:styleId="39">
    <w:name w:val="style4"/>
    <w:basedOn w:val="40"/>
    <w:next w:val="41"/>
    <w:qFormat/>
    <w:uiPriority w:val="0"/>
    <w:pPr>
      <w:widowControl/>
      <w:spacing w:before="100" w:beforeAutospacing="1" w:after="100" w:afterAutospacing="1"/>
      <w:jc w:val="left"/>
    </w:pPr>
    <w:rPr>
      <w:rFonts w:ascii="宋体" w:hAnsi="宋体" w:cs="宋体"/>
      <w:kern w:val="0"/>
      <w:sz w:val="18"/>
      <w:szCs w:val="18"/>
    </w:rPr>
  </w:style>
  <w:style w:type="paragraph" w:customStyle="1" w:styleId="40">
    <w:name w:val="正文_0"/>
    <w:next w:val="2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Style1"/>
    <w:next w:val="43"/>
    <w:qFormat/>
    <w:uiPriority w:val="0"/>
    <w:pPr>
      <w:numPr>
        <w:ilvl w:val="0"/>
        <w:numId w:val="1"/>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lang w:val="en-GB" w:eastAsia="zh-CN" w:bidi="ar-SA"/>
    </w:rPr>
  </w:style>
  <w:style w:type="paragraph" w:customStyle="1" w:styleId="43">
    <w:name w:val="*正文"/>
    <w:basedOn w:val="1"/>
    <w:qFormat/>
    <w:uiPriority w:val="0"/>
    <w:pPr>
      <w:ind w:firstLine="200" w:firstLineChars="200"/>
    </w:pPr>
    <w:rPr>
      <w:rFonts w:ascii="宋体" w:hAnsi="宋体"/>
      <w:szCs w:val="22"/>
    </w:rPr>
  </w:style>
  <w:style w:type="paragraph" w:customStyle="1" w:styleId="44">
    <w:name w:val="Body Text First Indent1"/>
    <w:basedOn w:val="4"/>
    <w:qFormat/>
    <w:uiPriority w:val="0"/>
    <w:pPr>
      <w:ind w:firstLine="420" w:firstLineChars="100"/>
    </w:pPr>
  </w:style>
  <w:style w:type="paragraph" w:customStyle="1" w:styleId="45">
    <w:name w:val="列出段落2"/>
    <w:basedOn w:val="1"/>
    <w:qFormat/>
    <w:uiPriority w:val="34"/>
    <w:pPr>
      <w:autoSpaceDE w:val="0"/>
      <w:autoSpaceDN w:val="0"/>
      <w:ind w:left="111" w:firstLine="420"/>
      <w:jc w:val="left"/>
    </w:pPr>
    <w:rPr>
      <w:rFonts w:ascii="宋体" w:hAnsi="宋体" w:cs="宋体"/>
      <w:kern w:val="0"/>
      <w:sz w:val="22"/>
      <w:szCs w:val="22"/>
      <w:lang w:eastAsia="en-US"/>
    </w:rPr>
  </w:style>
  <w:style w:type="paragraph" w:customStyle="1" w:styleId="46">
    <w:name w:val="p0"/>
    <w:basedOn w:val="47"/>
    <w:qFormat/>
    <w:uiPriority w:val="0"/>
    <w:pPr>
      <w:widowControl/>
    </w:pPr>
    <w:rPr>
      <w:kern w:val="0"/>
      <w:szCs w:val="21"/>
    </w:rPr>
  </w:style>
  <w:style w:type="paragraph" w:customStyle="1" w:styleId="47">
    <w:name w:val="正文1"/>
    <w:next w:val="4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文本1"/>
    <w:basedOn w:val="47"/>
    <w:qFormat/>
    <w:uiPriority w:val="99"/>
    <w:rPr>
      <w:rFonts w:eastAsia="楷体_GB2312"/>
      <w:sz w:val="28"/>
    </w:rPr>
  </w:style>
  <w:style w:type="character" w:customStyle="1" w:styleId="49">
    <w:name w:val="NormalCharacter"/>
    <w:qFormat/>
    <w:uiPriority w:val="0"/>
    <w:rPr>
      <w:rFonts w:ascii="Book Antiqua" w:hAnsi="Book Antiqua" w:eastAsia="宋体" w:cs="Times New Roman"/>
      <w:kern w:val="2"/>
      <w:sz w:val="21"/>
      <w:szCs w:val="24"/>
      <w:lang w:val="en-US" w:eastAsia="zh-CN" w:bidi="ar-SA"/>
    </w:rPr>
  </w:style>
  <w:style w:type="paragraph" w:customStyle="1" w:styleId="50">
    <w:name w:val="BodyText1I"/>
    <w:basedOn w:val="51"/>
    <w:next w:val="53"/>
    <w:qFormat/>
    <w:uiPriority w:val="0"/>
    <w:pPr>
      <w:ind w:firstLine="420" w:firstLineChars="100"/>
    </w:pPr>
    <w:rPr>
      <w:rFonts w:ascii="楷体_GB2312"/>
      <w:sz w:val="32"/>
    </w:rPr>
  </w:style>
  <w:style w:type="paragraph" w:customStyle="1" w:styleId="51">
    <w:name w:val="BodyText"/>
    <w:basedOn w:val="1"/>
    <w:next w:val="52"/>
    <w:qFormat/>
    <w:uiPriority w:val="0"/>
    <w:pPr>
      <w:textAlignment w:val="baseline"/>
    </w:pPr>
    <w:rPr>
      <w:rFonts w:ascii="Calibri" w:hAnsi="Calibri" w:eastAsia="楷体_GB2312"/>
      <w:kern w:val="0"/>
      <w:sz w:val="28"/>
    </w:rPr>
  </w:style>
  <w:style w:type="paragraph" w:customStyle="1" w:styleId="52">
    <w:name w:val="BodyText2"/>
    <w:basedOn w:val="1"/>
    <w:next w:val="51"/>
    <w:qFormat/>
    <w:uiPriority w:val="0"/>
    <w:pPr>
      <w:spacing w:after="120" w:line="480" w:lineRule="auto"/>
      <w:textAlignment w:val="baseline"/>
    </w:pPr>
  </w:style>
  <w:style w:type="paragraph" w:customStyle="1" w:styleId="53">
    <w:name w:val="BodyText1I2"/>
    <w:basedOn w:val="54"/>
    <w:qFormat/>
    <w:uiPriority w:val="0"/>
    <w:pPr>
      <w:ind w:firstLine="420" w:firstLineChars="200"/>
    </w:pPr>
  </w:style>
  <w:style w:type="paragraph" w:customStyle="1" w:styleId="54">
    <w:name w:val="BodyTextIndent"/>
    <w:basedOn w:val="1"/>
    <w:qFormat/>
    <w:uiPriority w:val="0"/>
    <w:pPr>
      <w:spacing w:after="120"/>
      <w:ind w:left="420" w:leftChars="200"/>
      <w:textAlignment w:val="baseline"/>
    </w:pPr>
  </w:style>
  <w:style w:type="paragraph" w:customStyle="1" w:styleId="55">
    <w:name w:val="TOAHeading"/>
    <w:basedOn w:val="1"/>
    <w:next w:val="1"/>
    <w:qFormat/>
    <w:uiPriority w:val="0"/>
    <w:pPr>
      <w:spacing w:before="120"/>
      <w:textAlignment w:val="baseline"/>
    </w:pPr>
    <w:rPr>
      <w:rFonts w:ascii="Arial" w:hAnsi="Arial"/>
      <w:sz w:val="24"/>
      <w:szCs w:val="22"/>
    </w:rPr>
  </w:style>
  <w:style w:type="paragraph" w:customStyle="1" w:styleId="56">
    <w:name w:val="Table Paragraph"/>
    <w:basedOn w:val="1"/>
    <w:qFormat/>
    <w:uiPriority w:val="1"/>
    <w:rPr>
      <w:rFonts w:ascii="宋体" w:hAnsi="宋体" w:cs="宋体"/>
      <w:lang w:val="zh-CN" w:bidi="zh-CN"/>
    </w:rPr>
  </w:style>
  <w:style w:type="paragraph" w:styleId="57">
    <w:name w:val="List Paragraph"/>
    <w:basedOn w:val="1"/>
    <w:qFormat/>
    <w:uiPriority w:val="0"/>
    <w:pPr>
      <w:widowControl/>
      <w:ind w:left="720"/>
      <w:jc w:val="left"/>
    </w:pPr>
    <w:rPr>
      <w:rFonts w:hint="eastAsia" w:ascii="Calibri" w:hAnsi="Calibri"/>
      <w:kern w:val="0"/>
      <w:sz w:val="24"/>
      <w:lang w:eastAsia="en-US" w:bidi="en-US"/>
    </w:rPr>
  </w:style>
  <w:style w:type="paragraph" w:customStyle="1" w:styleId="58">
    <w:name w:val="_Style 41"/>
    <w:basedOn w:val="1"/>
    <w:next w:val="57"/>
    <w:qFormat/>
    <w:uiPriority w:val="34"/>
    <w:pPr>
      <w:ind w:firstLine="420" w:firstLineChars="200"/>
    </w:pPr>
    <w:rPr>
      <w:rFonts w:ascii="等线" w:hAnsi="等线" w:eastAsia="等线"/>
      <w:szCs w:val="22"/>
    </w:rPr>
  </w:style>
  <w:style w:type="paragraph" w:customStyle="1" w:styleId="59">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kern w:val="0"/>
    </w:rPr>
  </w:style>
  <w:style w:type="paragraph" w:styleId="60">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61">
    <w:name w:val="批注文字 字符"/>
    <w:basedOn w:val="32"/>
    <w:link w:val="17"/>
    <w:qFormat/>
    <w:uiPriority w:val="0"/>
    <w:rPr>
      <w:rFonts w:ascii="Book Antiqua" w:hAnsi="Book Antiqua"/>
      <w:kern w:val="2"/>
      <w:sz w:val="21"/>
      <w:szCs w:val="24"/>
    </w:rPr>
  </w:style>
  <w:style w:type="character" w:customStyle="1" w:styleId="62">
    <w:name w:val="批注主题 字符"/>
    <w:basedOn w:val="61"/>
    <w:link w:val="28"/>
    <w:qFormat/>
    <w:uiPriority w:val="0"/>
    <w:rPr>
      <w:rFonts w:ascii="Book Antiqua" w:hAnsi="Book Antiqua"/>
      <w:b/>
      <w:bCs/>
      <w:kern w:val="2"/>
      <w:sz w:val="21"/>
      <w:szCs w:val="24"/>
    </w:rPr>
  </w:style>
  <w:style w:type="character" w:customStyle="1" w:styleId="63">
    <w:name w:val="批注框文本 字符"/>
    <w:basedOn w:val="32"/>
    <w:link w:val="20"/>
    <w:qFormat/>
    <w:uiPriority w:val="0"/>
    <w:rPr>
      <w:rFonts w:ascii="Book Antiqua" w:hAnsi="Book Antiqua"/>
      <w:kern w:val="2"/>
      <w:sz w:val="18"/>
      <w:szCs w:val="18"/>
    </w:rPr>
  </w:style>
  <w:style w:type="paragraph" w:customStyle="1" w:styleId="64">
    <w:name w:val="修订1"/>
    <w:hidden/>
    <w:semiHidden/>
    <w:qFormat/>
    <w:uiPriority w:val="99"/>
    <w:rPr>
      <w:rFonts w:ascii="Book Antiqua" w:hAnsi="Book Antiqua" w:eastAsia="宋体" w:cs="Times New Roman"/>
      <w:kern w:val="2"/>
      <w:sz w:val="21"/>
      <w:szCs w:val="24"/>
      <w:lang w:val="en-US" w:eastAsia="zh-CN" w:bidi="ar-SA"/>
    </w:rPr>
  </w:style>
  <w:style w:type="paragraph" w:customStyle="1" w:styleId="65">
    <w:name w:val="正文首行缩进 21"/>
    <w:basedOn w:val="1"/>
    <w:qFormat/>
    <w:uiPriority w:val="0"/>
    <w:pPr>
      <w:tabs>
        <w:tab w:val="left" w:pos="945"/>
        <w:tab w:val="left" w:pos="1155"/>
      </w:tabs>
      <w:ind w:firstLine="420" w:firstLineChars="200"/>
    </w:pPr>
    <w:rPr>
      <w:rFonts w:ascii="宋体"/>
      <w:sz w:val="24"/>
      <w:szCs w:val="20"/>
    </w:rPr>
  </w:style>
  <w:style w:type="paragraph" w:customStyle="1" w:styleId="66">
    <w:name w:val="Table Text"/>
    <w:basedOn w:val="1"/>
    <w:semiHidden/>
    <w:qFormat/>
    <w:uiPriority w:val="0"/>
    <w:rPr>
      <w:rFonts w:ascii="宋体" w:hAnsi="宋体" w:cs="宋体"/>
      <w:sz w:val="24"/>
    </w:rPr>
  </w:style>
  <w:style w:type="table" w:customStyle="1" w:styleId="67">
    <w:name w:val="Table Normal"/>
    <w:semiHidden/>
    <w:unhideWhenUsed/>
    <w:qFormat/>
    <w:uiPriority w:val="0"/>
    <w:tblPr>
      <w:tblCellMar>
        <w:top w:w="0" w:type="dxa"/>
        <w:left w:w="0" w:type="dxa"/>
        <w:bottom w:w="0" w:type="dxa"/>
        <w:right w:w="0" w:type="dxa"/>
      </w:tblCellMar>
    </w:tblPr>
  </w:style>
  <w:style w:type="paragraph" w:customStyle="1" w:styleId="68">
    <w:name w:val="段"/>
    <w:next w:val="1"/>
    <w:qFormat/>
    <w:uiPriority w:val="0"/>
    <w:pPr>
      <w:autoSpaceDE w:val="0"/>
      <w:autoSpaceDN w:val="0"/>
      <w:ind w:firstLine="200"/>
      <w:jc w:val="both"/>
    </w:pPr>
    <w:rPr>
      <w:rFonts w:ascii="宋体" w:hAnsi="Times New Roman" w:eastAsia="宋体" w:cs="Times New Roman"/>
      <w:sz w:val="21"/>
      <w:lang w:val="en-US" w:eastAsia="zh-CN" w:bidi="ar-SA"/>
    </w:rPr>
  </w:style>
  <w:style w:type="character" w:customStyle="1" w:styleId="69">
    <w:name w:val="font21"/>
    <w:basedOn w:val="32"/>
    <w:qFormat/>
    <w:uiPriority w:val="0"/>
    <w:rPr>
      <w:rFonts w:hint="eastAsia" w:ascii="宋体" w:hAnsi="宋体" w:eastAsia="宋体" w:cs="宋体"/>
      <w:color w:val="000000"/>
      <w:sz w:val="20"/>
      <w:szCs w:val="20"/>
      <w:u w:val="none"/>
    </w:rPr>
  </w:style>
  <w:style w:type="character" w:customStyle="1" w:styleId="70">
    <w:name w:val="font31"/>
    <w:basedOn w:val="32"/>
    <w:qFormat/>
    <w:uiPriority w:val="0"/>
    <w:rPr>
      <w:rFonts w:hint="eastAsia" w:ascii="宋体" w:hAnsi="宋体" w:eastAsia="宋体" w:cs="宋体"/>
      <w:color w:val="FF0000"/>
      <w:sz w:val="20"/>
      <w:szCs w:val="20"/>
      <w:u w:val="none"/>
    </w:rPr>
  </w:style>
  <w:style w:type="character" w:customStyle="1" w:styleId="71">
    <w:name w:val="未处理的提及1"/>
    <w:basedOn w:val="3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12791</Words>
  <Characters>14068</Characters>
  <Lines>1361</Lines>
  <Paragraphs>1283</Paragraphs>
  <TotalTime>32</TotalTime>
  <ScaleCrop>false</ScaleCrop>
  <LinksUpToDate>false</LinksUpToDate>
  <CharactersWithSpaces>14374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2024-09-03T05:56:00Z</dcterms:created>
  <dc:creator>Administrator</dc:creator>
  <cp:lastModifiedBy>✨✨</cp:lastModifiedBy>
  <cp:lastPrinted>2025-09-08T11:25:00Z</cp:lastPrinted>
  <dcterms:modified xsi:type="dcterms:W3CDTF">2025-09-12T09:14:49Z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8046E71E58EC434790A972A61D8698CC_13</vt:lpwstr>
  </property>
  <property fmtid="{D5CDD505-2E9C-101B-9397-08002B2CF9AE}" pid="4" name="_2015_ms_pID_725343">
    <vt:lpwstr>(3)FMrICvVpBBggM8t6Rn3Hw6T1tB90BlZSSgjBRATiVGgTR3z0p5bFXXJ4wOuIyA+7dlaCFRk7
jRnLtWuCXvDXxiy//dVQpP7/TS50Tb9S3BiOKMJ1Lbx4lgSFm+pwvJoCjMOmxTqbwFeEDIKz
DjBcJnHyAcnMX0U8D5e1uXpbYVj3GE22DazTdMO4ZdAYl1rxnYEQTcAbIki233HN97IF8Bya
H9xvF5VtgyCrp9X7DY</vt:lpwstr>
  </property>
  <property fmtid="{D5CDD505-2E9C-101B-9397-08002B2CF9AE}" pid="5" name="_2015_ms_pID_7253431">
    <vt:lpwstr>JjOFvZsR5LFbSzUlShXUjwk2WWJ9upwoOBmSfeaiFFNq+C8KI3OI/G
IW4qoRcUbhye+Tbz5zu5VZWpM1NM5vW6j+JI4xFoLMn3QsvfE8BPpGRARwDjWedl2IXaEQ90
1/N+ScAx8QDzruzH1ECXHpI2rZas+SitsTEePv47ISyLigEr7h0qKV4Efs2e4L1RH3Xoeh0u
VhONmb6Z3IbTXJ4WpeHtqjvGEQGGz1xLDPuq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1670230851</vt:lpwstr>
  </property>
  <property fmtid="{D5CDD505-2E9C-101B-9397-08002B2CF9AE}" pid="10" name="_2015_ms_pID_7253432">
    <vt:lpwstr>qxS+sYcYD6ebVqx5ntqygGo=</vt:lpwstr>
  </property>
  <property fmtid="{D5CDD505-2E9C-101B-9397-08002B2CF9AE}" pid="11" name="KSOTemplateDocerSaveRecord">
    <vt:lpwstr>eyJoZGlkIjoiYzhiNjVjYjVlNjNmMzgwOTgwMDVkYWRhYzgyMjg0NjkiLCJ1c2VySWQiOiIxMjc1OTYwMTY4In0=</vt:lpwstr>
  </property>
</Properties>
</file>