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E9F2">
      <w:pPr>
        <w:rPr>
          <w:color w:val="000000" w:themeColor="text1"/>
          <w:highlight w:val="none"/>
          <w14:textFill>
            <w14:solidFill>
              <w14:schemeClr w14:val="tx1"/>
            </w14:solidFill>
          </w14:textFill>
        </w:rPr>
      </w:pPr>
    </w:p>
    <w:p w14:paraId="3DC5CC32">
      <w:pPr>
        <w:rPr>
          <w:color w:val="000000" w:themeColor="text1"/>
          <w:highlight w:val="none"/>
          <w14:textFill>
            <w14:solidFill>
              <w14:schemeClr w14:val="tx1"/>
            </w14:solidFill>
          </w14:textFill>
        </w:rPr>
      </w:pPr>
    </w:p>
    <w:p w14:paraId="68376790">
      <w:pPr>
        <w:pStyle w:val="22"/>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博爱县特殊教育学校改善办学条件设备</w:t>
      </w:r>
    </w:p>
    <w:p w14:paraId="308CF181">
      <w:pPr>
        <w:pStyle w:val="22"/>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采购项目</w:t>
      </w:r>
    </w:p>
    <w:p w14:paraId="2A19B4D0">
      <w:pPr>
        <w:pStyle w:val="10"/>
        <w:ind w:firstLine="420"/>
        <w:rPr>
          <w:color w:val="000000" w:themeColor="text1"/>
          <w:highlight w:val="none"/>
          <w14:textFill>
            <w14:solidFill>
              <w14:schemeClr w14:val="tx1"/>
            </w14:solidFill>
          </w14:textFill>
        </w:rPr>
      </w:pPr>
    </w:p>
    <w:p w14:paraId="373A45F6">
      <w:pPr>
        <w:rPr>
          <w:color w:val="000000" w:themeColor="text1"/>
          <w:highlight w:val="none"/>
          <w14:textFill>
            <w14:solidFill>
              <w14:schemeClr w14:val="tx1"/>
            </w14:solidFill>
          </w14:textFill>
        </w:rPr>
      </w:pPr>
    </w:p>
    <w:p w14:paraId="519AC343">
      <w:pPr>
        <w:rPr>
          <w:color w:val="000000" w:themeColor="text1"/>
          <w:highlight w:val="none"/>
          <w14:textFill>
            <w14:solidFill>
              <w14:schemeClr w14:val="tx1"/>
            </w14:solidFill>
          </w14:textFill>
        </w:rPr>
      </w:pPr>
    </w:p>
    <w:p w14:paraId="3941B376">
      <w:pPr>
        <w:snapToGrid w:val="0"/>
        <w:spacing w:line="360" w:lineRule="auto"/>
        <w:jc w:val="center"/>
        <w:rPr>
          <w:rFonts w:hint="eastAsia" w:ascii="宋体" w:hAnsi="宋体" w:cs="宋体"/>
          <w:b/>
          <w:color w:val="000000" w:themeColor="text1"/>
          <w:kern w:val="0"/>
          <w:sz w:val="60"/>
          <w:szCs w:val="60"/>
          <w:highlight w:val="none"/>
          <w14:textFill>
            <w14:solidFill>
              <w14:schemeClr w14:val="tx1"/>
            </w14:solidFill>
          </w14:textFill>
        </w:rPr>
      </w:pPr>
      <w:r>
        <w:rPr>
          <w:rFonts w:hint="eastAsia" w:ascii="宋体" w:hAnsi="宋体" w:cs="宋体"/>
          <w:b/>
          <w:color w:val="000000" w:themeColor="text1"/>
          <w:kern w:val="0"/>
          <w:sz w:val="60"/>
          <w:szCs w:val="60"/>
          <w:highlight w:val="none"/>
          <w14:textFill>
            <w14:solidFill>
              <w14:schemeClr w14:val="tx1"/>
            </w14:solidFill>
          </w14:textFill>
        </w:rPr>
        <w:t xml:space="preserve">竞争性谈判文件       </w:t>
      </w:r>
    </w:p>
    <w:p w14:paraId="288E92B5">
      <w:pPr>
        <w:snapToGrid w:val="0"/>
        <w:spacing w:line="360" w:lineRule="auto"/>
        <w:jc w:val="center"/>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cs="宋体"/>
          <w:b/>
          <w:color w:val="000000" w:themeColor="text1"/>
          <w:spacing w:val="-6"/>
          <w:sz w:val="30"/>
          <w:szCs w:val="30"/>
          <w:highlight w:val="none"/>
          <w14:textFill>
            <w14:solidFill>
              <w14:schemeClr w14:val="tx1"/>
            </w14:solidFill>
          </w14:textFill>
        </w:rPr>
        <w:t>采购编号：博政采购（2025）10号</w:t>
      </w:r>
    </w:p>
    <w:p w14:paraId="009EDF42">
      <w:pPr>
        <w:snapToGrid w:val="0"/>
        <w:spacing w:line="360" w:lineRule="auto"/>
        <w:jc w:val="center"/>
        <w:rPr>
          <w:rFonts w:hint="eastAsia" w:ascii="宋体" w:hAnsi="宋体" w:eastAsia="宋体" w:cs="宋体"/>
          <w:b/>
          <w:color w:val="000000" w:themeColor="text1"/>
          <w:spacing w:val="-6"/>
          <w:sz w:val="30"/>
          <w:szCs w:val="30"/>
          <w:highlight w:val="none"/>
          <w:lang w:val="en-US" w:eastAsia="zh-CN"/>
          <w14:textFill>
            <w14:solidFill>
              <w14:schemeClr w14:val="tx1"/>
            </w14:solidFill>
          </w14:textFill>
        </w:rPr>
      </w:pPr>
      <w:r>
        <w:rPr>
          <w:rFonts w:hint="eastAsia" w:ascii="宋体" w:hAnsi="宋体" w:cs="宋体"/>
          <w:b/>
          <w:color w:val="000000" w:themeColor="text1"/>
          <w:spacing w:val="-6"/>
          <w:sz w:val="30"/>
          <w:szCs w:val="30"/>
          <w:highlight w:val="none"/>
          <w14:textFill>
            <w14:solidFill>
              <w14:schemeClr w14:val="tx1"/>
            </w14:solidFill>
          </w14:textFill>
        </w:rPr>
        <w:t>项目编号：博财谈判采购-2025-</w:t>
      </w:r>
      <w:r>
        <w:rPr>
          <w:rFonts w:hint="eastAsia" w:ascii="宋体" w:hAnsi="宋体" w:cs="宋体"/>
          <w:b/>
          <w:color w:val="000000" w:themeColor="text1"/>
          <w:spacing w:val="-6"/>
          <w:sz w:val="30"/>
          <w:szCs w:val="30"/>
          <w:highlight w:val="none"/>
          <w:lang w:val="en-US" w:eastAsia="zh-CN"/>
          <w14:textFill>
            <w14:solidFill>
              <w14:schemeClr w14:val="tx1"/>
            </w14:solidFill>
          </w14:textFill>
        </w:rPr>
        <w:t>9</w:t>
      </w:r>
    </w:p>
    <w:p w14:paraId="69E78E9D">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9504" behindDoc="1" locked="0" layoutInCell="1" allowOverlap="1">
            <wp:simplePos x="0" y="0"/>
            <wp:positionH relativeFrom="column">
              <wp:posOffset>1714500</wp:posOffset>
            </wp:positionH>
            <wp:positionV relativeFrom="paragraph">
              <wp:posOffset>106045</wp:posOffset>
            </wp:positionV>
            <wp:extent cx="2296160" cy="2002790"/>
            <wp:effectExtent l="0" t="0" r="0" b="16510"/>
            <wp:wrapTight wrapText="bothSides">
              <wp:wrapPolygon>
                <wp:start x="0" y="0"/>
                <wp:lineTo x="0" y="21367"/>
                <wp:lineTo x="21504" y="21367"/>
                <wp:lineTo x="21504" y="0"/>
                <wp:lineTo x="0" y="0"/>
              </wp:wrapPolygon>
            </wp:wrapTight>
            <wp:docPr id="29" name="图片 2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公司logo"/>
                    <pic:cNvPicPr>
                      <a:picLocks noChangeAspect="1"/>
                    </pic:cNvPicPr>
                  </pic:nvPicPr>
                  <pic:blipFill>
                    <a:blip r:embed="rId11"/>
                    <a:stretch>
                      <a:fillRect/>
                    </a:stretch>
                  </pic:blipFill>
                  <pic:spPr>
                    <a:xfrm>
                      <a:off x="0" y="0"/>
                      <a:ext cx="2296160" cy="2002790"/>
                    </a:xfrm>
                    <a:prstGeom prst="rect">
                      <a:avLst/>
                    </a:prstGeom>
                    <a:noFill/>
                    <a:ln>
                      <a:noFill/>
                    </a:ln>
                  </pic:spPr>
                </pic:pic>
              </a:graphicData>
            </a:graphic>
          </wp:anchor>
        </w:drawing>
      </w:r>
    </w:p>
    <w:p w14:paraId="7356FA3F">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6ACB26B0">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0E982C0C">
      <w:pPr>
        <w:pStyle w:val="3"/>
        <w:rPr>
          <w:color w:val="000000" w:themeColor="text1"/>
          <w:highlight w:val="none"/>
          <w14:textFill>
            <w14:solidFill>
              <w14:schemeClr w14:val="tx1"/>
            </w14:solidFill>
          </w14:textFill>
        </w:rPr>
      </w:pPr>
    </w:p>
    <w:p w14:paraId="7EDE7071">
      <w:pPr>
        <w:rPr>
          <w:color w:val="000000" w:themeColor="text1"/>
          <w:highlight w:val="none"/>
          <w14:textFill>
            <w14:solidFill>
              <w14:schemeClr w14:val="tx1"/>
            </w14:solidFill>
          </w14:textFill>
        </w:rPr>
      </w:pPr>
    </w:p>
    <w:p w14:paraId="368CA613">
      <w:pPr>
        <w:pStyle w:val="27"/>
        <w:rPr>
          <w:color w:val="000000" w:themeColor="text1"/>
          <w:highlight w:val="none"/>
          <w14:textFill>
            <w14:solidFill>
              <w14:schemeClr w14:val="tx1"/>
            </w14:solidFill>
          </w14:textFill>
        </w:rPr>
      </w:pPr>
    </w:p>
    <w:p w14:paraId="4CCBE6AA">
      <w:pPr>
        <w:snapToGrid w:val="0"/>
        <w:spacing w:line="360" w:lineRule="auto"/>
        <w:ind w:left="1260" w:leftChars="600" w:firstLine="619" w:firstLineChars="200"/>
        <w:rPr>
          <w:rFonts w:ascii="宋体"/>
          <w:bCs/>
          <w:i/>
          <w:iCs/>
          <w:color w:val="000000" w:themeColor="text1"/>
          <w:kern w:val="0"/>
          <w:sz w:val="32"/>
          <w:szCs w:val="32"/>
          <w:highlight w:val="none"/>
          <w:u w:val="singl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采 购 人：博爱县特殊教育学校</w:t>
      </w:r>
    </w:p>
    <w:p w14:paraId="455CF7B3">
      <w:pPr>
        <w:snapToGrid w:val="0"/>
        <w:spacing w:line="360" w:lineRule="auto"/>
        <w:ind w:left="1260" w:leftChars="600" w:firstLine="619" w:firstLineChars="200"/>
        <w:rPr>
          <w:rFonts w:asci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代理机构：</w:t>
      </w:r>
      <w:r>
        <w:rPr>
          <w:rFonts w:hint="eastAsia" w:ascii="宋体" w:hAnsi="宋体" w:cs="宋体"/>
          <w:b/>
          <w:bCs/>
          <w:color w:val="000000" w:themeColor="text1"/>
          <w:sz w:val="36"/>
          <w:szCs w:val="36"/>
          <w:highlight w:val="none"/>
          <w14:textFill>
            <w14:solidFill>
              <w14:schemeClr w14:val="tx1"/>
            </w14:solidFill>
          </w14:textFill>
        </w:rPr>
        <w:t>智博国际工程咨询有限公司</w:t>
      </w:r>
    </w:p>
    <w:p w14:paraId="3D72F511">
      <w:pPr>
        <w:snapToGrid w:val="0"/>
        <w:spacing w:line="360" w:lineRule="auto"/>
        <w:ind w:left="1260" w:leftChars="600" w:firstLine="619" w:firstLineChars="200"/>
        <w:rPr>
          <w:rFonts w:ascii="宋体"/>
          <w:b/>
          <w:color w:val="000000" w:themeColor="text1"/>
          <w:sz w:val="48"/>
          <w:szCs w:val="48"/>
          <w:highlight w:val="none"/>
          <w:u w:val="singl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000000" w:themeColor="text1"/>
          <w:spacing w:val="-6"/>
          <w:sz w:val="32"/>
          <w:szCs w:val="32"/>
          <w:highlight w:val="none"/>
          <w14:textFill>
            <w14:solidFill>
              <w14:schemeClr w14:val="tx1"/>
            </w14:solidFill>
          </w14:textFill>
        </w:rPr>
        <w:t>日    期：2025年03月</w:t>
      </w:r>
    </w:p>
    <w:p w14:paraId="3F9AA8C0">
      <w:pPr>
        <w:rPr>
          <w:rStyle w:val="38"/>
          <w:rFonts w:hint="eastAsia" w:ascii="微软雅黑" w:hAnsi="微软雅黑" w:eastAsia="微软雅黑" w:cs="微软雅黑"/>
          <w:color w:val="000000" w:themeColor="text1"/>
          <w:kern w:val="0"/>
          <w:szCs w:val="44"/>
          <w:highlight w:val="none"/>
          <w:u w:val="none"/>
          <w:lang w:val="zh-CN"/>
          <w14:textFill>
            <w14:solidFill>
              <w14:schemeClr w14:val="tx1"/>
            </w14:solidFill>
          </w14:textFill>
        </w:rPr>
      </w:pPr>
    </w:p>
    <w:p w14:paraId="2B489768">
      <w:pPr>
        <w:pStyle w:val="20"/>
        <w:tabs>
          <w:tab w:val="right" w:leader="dot" w:pos="8890"/>
        </w:tabs>
        <w:spacing w:line="360" w:lineRule="auto"/>
        <w:jc w:val="center"/>
        <w:rPr>
          <w:rStyle w:val="38"/>
          <w:rFonts w:hint="eastAsia" w:ascii="宋体" w:hAnsi="宋体" w:cs="宋体"/>
          <w:b/>
          <w:bCs/>
          <w:color w:val="000000" w:themeColor="text1"/>
          <w:kern w:val="0"/>
          <w:sz w:val="44"/>
          <w:szCs w:val="44"/>
          <w:highlight w:val="none"/>
          <w:u w:val="none"/>
          <w:lang w:val="zh-CN"/>
          <w14:textFill>
            <w14:solidFill>
              <w14:schemeClr w14:val="tx1"/>
            </w14:solidFill>
          </w14:textFill>
        </w:rPr>
      </w:pPr>
      <w:r>
        <w:rPr>
          <w:rStyle w:val="38"/>
          <w:rFonts w:hint="eastAsia" w:ascii="宋体" w:hAnsi="宋体" w:cs="宋体"/>
          <w:b/>
          <w:bCs/>
          <w:color w:val="000000" w:themeColor="text1"/>
          <w:kern w:val="0"/>
          <w:sz w:val="44"/>
          <w:szCs w:val="44"/>
          <w:highlight w:val="none"/>
          <w:u w:val="none"/>
          <w:lang w:val="zh-CN"/>
          <w14:textFill>
            <w14:solidFill>
              <w14:schemeClr w14:val="tx1"/>
            </w14:solidFill>
          </w14:textFill>
        </w:rPr>
        <w:t>目  录</w:t>
      </w:r>
    </w:p>
    <w:p w14:paraId="1AE53977">
      <w:pPr>
        <w:pStyle w:val="20"/>
        <w:tabs>
          <w:tab w:val="right" w:leader="dot" w:pos="8890"/>
        </w:tabs>
        <w:spacing w:line="480" w:lineRule="auto"/>
        <w:ind w:firstLine="48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t>重要事项提示........................................ ................1</w:t>
      </w:r>
    </w:p>
    <w:p w14:paraId="66DA450C">
      <w:pPr>
        <w:pStyle w:val="20"/>
        <w:tabs>
          <w:tab w:val="right" w:leader="dot" w:pos="8890"/>
        </w:tabs>
        <w:spacing w:line="480" w:lineRule="auto"/>
        <w:ind w:firstLine="48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TOC \o "1-3" \h \z \u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"_Toc17836"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竞争性谈判公告（不见面开标）</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_Toc17836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5E97CDC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"_Toc28653"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投标须知前附表</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_Toc28653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6</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00BD2A47">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"_Toc16130"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第一部分 采购项目相关内容及要求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_Toc16130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9</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40B8C01">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"_Toc18477"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第二部分 参与采购须知</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_Toc18477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11</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A06F4A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"_Toc27037"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第三部分 其他要求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_Toc27037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22</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7E3AA03">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"_Toc11753"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第四部分 质疑与投诉</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_Toc11753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3FE3A16">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"_Toc2271"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第五部分  采购内容及要求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_Toc2271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B0747B6">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"_Toc27476"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第六部分 合同格式及主要条款</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_Toc27476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61571CB5">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"_Toc27415"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第七部分 履约验收</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_Toc27415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65F534E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"_Toc30461"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第八部分  附件—供应商响应文件格式</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_Toc30461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4</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0AFA6F83">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"_Toc21790"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优化和提升政府采购政策</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_Toc21790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19</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4494AAEA">
      <w:pPr>
        <w:pStyle w:val="20"/>
        <w:tabs>
          <w:tab w:val="right" w:leader="dot" w:pos="8890"/>
        </w:tabs>
        <w:spacing w:line="480" w:lineRule="auto"/>
        <w:ind w:firstLine="480" w:firstLineChars="200"/>
        <w:rPr>
          <w:color w:val="000000" w:themeColor="text1"/>
          <w:sz w:val="24"/>
          <w:highlight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51E2FEF3">
      <w:pPr>
        <w:spacing w:line="360" w:lineRule="auto"/>
        <w:jc w:val="center"/>
        <w:rPr>
          <w:rFonts w:hint="eastAsia" w:ascii="微软雅黑" w:hAnsi="微软雅黑" w:eastAsia="微软雅黑" w:cs="微软雅黑"/>
          <w:color w:val="000000" w:themeColor="text1"/>
          <w:sz w:val="36"/>
          <w:szCs w:val="36"/>
          <w:highlight w:val="none"/>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533668867"/>
      <w:bookmarkStart w:id="1" w:name="_Toc19411"/>
      <w:bookmarkStart w:id="2" w:name="_Toc760"/>
    </w:p>
    <w:p w14:paraId="06C3C712">
      <w:pPr>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重要事项提示</w:t>
      </w:r>
    </w:p>
    <w:p w14:paraId="1FB8B3A4">
      <w:pPr>
        <w:rPr>
          <w:color w:val="000000" w:themeColor="text1"/>
          <w:highlight w:val="none"/>
          <w14:textFill>
            <w14:solidFill>
              <w14:schemeClr w14:val="tx1"/>
            </w14:solidFill>
          </w14:textFill>
        </w:rPr>
      </w:pPr>
    </w:p>
    <w:p w14:paraId="0BD0539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各潜在供应商：</w:t>
      </w:r>
    </w:p>
    <w:p w14:paraId="5223F73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48CEC7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14:paraId="3FD2E0E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http://122.112.246.33/BidOpening/bidopeninghallaction/hall/login ）按要求解密投标文件。因文件未及时上传导致投标失败的责任由供应商自行承担，具体要求详见</w:t>
      </w:r>
      <w:r>
        <w:rPr>
          <w:rFonts w:hint="eastAsia" w:ascii="宋体" w:hAnsi="宋体"/>
          <w:color w:val="000000" w:themeColor="text1"/>
          <w:kern w:val="0"/>
          <w:sz w:val="24"/>
          <w:highlight w:val="none"/>
          <w14:textFill>
            <w14:solidFill>
              <w14:schemeClr w14:val="tx1"/>
            </w14:solidFill>
          </w14:textFill>
        </w:rPr>
        <w:t>竞争性谈判</w:t>
      </w:r>
      <w:r>
        <w:rPr>
          <w:rFonts w:hint="eastAsia" w:ascii="宋体" w:hAnsi="宋体" w:cs="宋体"/>
          <w:color w:val="000000" w:themeColor="text1"/>
          <w:sz w:val="24"/>
          <w:highlight w:val="none"/>
          <w14:textFill>
            <w14:solidFill>
              <w14:schemeClr w14:val="tx1"/>
            </w14:solidFill>
          </w14:textFill>
        </w:rPr>
        <w:t>文件。 平台统一技术服务电话：400-998-0000，服务 QQ：4008503300，服务时间：周一至周日 8：00-17：30。</w:t>
      </w:r>
    </w:p>
    <w:p w14:paraId="1809EB70">
      <w:pPr>
        <w:pStyle w:val="23"/>
        <w:spacing w:before="0" w:beforeAutospacing="0" w:after="0" w:afterAutospacing="0" w:line="360" w:lineRule="auto"/>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4F99D70B">
      <w:pPr>
        <w:pStyle w:val="23"/>
        <w:numPr>
          <w:ilvl w:val="0"/>
          <w:numId w:val="1"/>
        </w:numPr>
        <w:spacing w:before="0" w:beforeAutospacing="0" w:after="0" w:afterAutospacing="0" w:line="360" w:lineRule="auto"/>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有下列情形之一的，将作为自动放弃、无效投标或废标处理：</w:t>
      </w:r>
    </w:p>
    <w:p w14:paraId="5BDB930B">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3.1 未按竞争性谈判文件明示的规定签字或盖章的；</w:t>
      </w:r>
    </w:p>
    <w:p w14:paraId="11A4E2DE">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3.2 响应文件的关键内容（投标报价、供货安装期、质量要求、品牌、型号等）未填写或填写字迹模糊无法辨认的；</w:t>
      </w:r>
    </w:p>
    <w:p w14:paraId="7DA01844">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3.3 采购报价超出控制价的；</w:t>
      </w:r>
    </w:p>
    <w:p w14:paraId="01CFDCB2">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3.4 响应文件中对同一项目有两个或多个报价，且未声明哪一个有效的；</w:t>
      </w:r>
    </w:p>
    <w:p w14:paraId="1E52530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3.5 相关资格证明文件不合格的；</w:t>
      </w:r>
    </w:p>
    <w:p w14:paraId="574846DA">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3.6 响应文件中附有采购人不能接受的条件的；</w:t>
      </w:r>
    </w:p>
    <w:p w14:paraId="0AD30E16">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3.7 响应文件有明显不符合竞争性谈判文件其它要求和有关法律法规的；</w:t>
      </w:r>
    </w:p>
    <w:p w14:paraId="5DD02341">
      <w:pPr>
        <w:widowControl/>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14:paraId="14E5567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3D331BFA">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6CC50C40">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5E73E98F">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FD40BF6">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24DB9D42">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82CABFE">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04CEFFE6">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43BDF1E">
      <w:pPr>
        <w:rPr>
          <w:rFonts w:hint="eastAsia" w:ascii="宋体" w:hAnsi="宋体" w:cs="宋体"/>
          <w:b/>
          <w:bCs/>
          <w:color w:val="000000" w:themeColor="text1"/>
          <w:sz w:val="32"/>
          <w:szCs w:val="32"/>
          <w:highlight w:val="none"/>
          <w14:textFill>
            <w14:solidFill>
              <w14:schemeClr w14:val="tx1"/>
            </w14:solidFill>
          </w14:textFill>
        </w:rPr>
      </w:pPr>
    </w:p>
    <w:p w14:paraId="57EB3D17">
      <w:pPr>
        <w:rPr>
          <w:color w:val="000000" w:themeColor="text1"/>
          <w:highlight w:val="none"/>
          <w14:textFill>
            <w14:solidFill>
              <w14:schemeClr w14:val="tx1"/>
            </w14:solidFill>
          </w14:textFill>
        </w:rPr>
      </w:pPr>
    </w:p>
    <w:p w14:paraId="76938839">
      <w:pPr>
        <w:pStyle w:val="2"/>
        <w:spacing w:before="0" w:after="0" w:line="360" w:lineRule="auto"/>
        <w:jc w:val="center"/>
        <w:rPr>
          <w:rFonts w:hint="eastAsia" w:ascii="宋体" w:hAnsi="宋体" w:cs="宋体"/>
          <w:color w:val="000000" w:themeColor="text1"/>
          <w:sz w:val="24"/>
          <w:szCs w:val="24"/>
          <w:highlight w:val="none"/>
          <w14:textFill>
            <w14:solidFill>
              <w14:schemeClr w14:val="tx1"/>
            </w14:solidFill>
          </w14:textFill>
        </w:rPr>
      </w:pPr>
      <w:bookmarkStart w:id="3" w:name="OLE_LINK1"/>
      <w:r>
        <w:rPr>
          <w:rFonts w:hint="eastAsia" w:ascii="宋体" w:hAnsi="宋体" w:cs="宋体"/>
          <w:color w:val="000000" w:themeColor="text1"/>
          <w:sz w:val="24"/>
          <w:szCs w:val="24"/>
          <w:highlight w:val="none"/>
          <w14:textFill>
            <w14:solidFill>
              <w14:schemeClr w14:val="tx1"/>
            </w14:solidFill>
          </w14:textFill>
        </w:rPr>
        <w:t>博爱县特殊教育学校改善办学条件设备采购项目</w:t>
      </w:r>
    </w:p>
    <w:p w14:paraId="14DDEFFD">
      <w:pPr>
        <w:pStyle w:val="2"/>
        <w:spacing w:before="0" w:after="0" w:line="360" w:lineRule="auto"/>
        <w:jc w:val="center"/>
        <w:rPr>
          <w:color w:val="000000" w:themeColor="text1"/>
          <w:sz w:val="24"/>
          <w:szCs w:val="24"/>
          <w:highlight w:val="none"/>
          <w14:textFill>
            <w14:solidFill>
              <w14:schemeClr w14:val="tx1"/>
            </w14:solidFill>
          </w14:textFill>
        </w:rPr>
      </w:pPr>
      <w:bookmarkStart w:id="4" w:name="_Toc17836"/>
      <w:r>
        <w:rPr>
          <w:rFonts w:hint="eastAsia" w:ascii="宋体" w:hAnsi="宋体" w:cs="宋体"/>
          <w:color w:val="000000" w:themeColor="text1"/>
          <w:sz w:val="24"/>
          <w:szCs w:val="24"/>
          <w:highlight w:val="none"/>
          <w14:textFill>
            <w14:solidFill>
              <w14:schemeClr w14:val="tx1"/>
            </w14:solidFill>
          </w14:textFill>
        </w:rPr>
        <w:t>竞争性谈判公告（不见面开标）</w:t>
      </w:r>
      <w:bookmarkEnd w:id="4"/>
    </w:p>
    <w:p w14:paraId="214C8B5D">
      <w:pPr>
        <w:adjustRightInd w:val="0"/>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项目概况</w:t>
      </w:r>
    </w:p>
    <w:p w14:paraId="108B2915">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博爱县特殊教育学校改善办学条件设备采购项目</w:t>
      </w:r>
      <w:r>
        <w:rPr>
          <w:rFonts w:ascii="宋体" w:hAnsi="宋体" w:cs="宋体"/>
          <w:color w:val="000000" w:themeColor="text1"/>
          <w:kern w:val="0"/>
          <w:sz w:val="24"/>
          <w:highlight w:val="none"/>
          <w14:textFill>
            <w14:solidFill>
              <w14:schemeClr w14:val="tx1"/>
            </w14:solidFill>
          </w14:textFill>
        </w:rPr>
        <w:t>的潜在投标人应在凡有意参加投标者，请登录焦作市公共资源交易中心官网站进行网上下载谈判文件。</w:t>
      </w:r>
      <w:bookmarkStart w:id="49" w:name="_GoBack"/>
      <w:bookmarkEnd w:id="49"/>
      <w:r>
        <w:rPr>
          <w:rFonts w:ascii="宋体" w:hAnsi="宋体" w:cs="宋体"/>
          <w:color w:val="000000" w:themeColor="text1"/>
          <w:kern w:val="0"/>
          <w:sz w:val="24"/>
          <w:highlight w:val="none"/>
          <w14:textFill>
            <w14:solidFill>
              <w14:schemeClr w14:val="tx1"/>
            </w14:solidFill>
          </w14:textFill>
        </w:rPr>
        <w:t>并于</w:t>
      </w:r>
      <w:r>
        <w:rPr>
          <w:rFonts w:ascii="宋体" w:hAnsi="宋体" w:cs="宋体"/>
          <w:b/>
          <w:bCs/>
          <w:color w:val="000000" w:themeColor="text1"/>
          <w:kern w:val="0"/>
          <w:sz w:val="24"/>
          <w:highlight w:val="none"/>
          <w14:textFill>
            <w14:solidFill>
              <w14:schemeClr w14:val="tx1"/>
            </w14:solidFill>
          </w14:textFill>
        </w:rPr>
        <w:t>2025年</w:t>
      </w:r>
      <w:r>
        <w:rPr>
          <w:rFonts w:hint="eastAsia" w:ascii="宋体" w:hAnsi="宋体" w:cs="宋体"/>
          <w:b/>
          <w:bCs/>
          <w:color w:val="000000" w:themeColor="text1"/>
          <w:kern w:val="0"/>
          <w:sz w:val="24"/>
          <w:highlight w:val="none"/>
          <w:lang w:val="en-US" w:eastAsia="zh-CN"/>
          <w14:textFill>
            <w14:solidFill>
              <w14:schemeClr w14:val="tx1"/>
            </w14:solidFill>
          </w14:textFill>
        </w:rPr>
        <w:t>03</w:t>
      </w:r>
      <w:r>
        <w:rPr>
          <w:rFonts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lang w:val="en-US" w:eastAsia="zh-CN"/>
          <w14:textFill>
            <w14:solidFill>
              <w14:schemeClr w14:val="tx1"/>
            </w14:solidFill>
          </w14:textFill>
        </w:rPr>
        <w:t>28</w:t>
      </w:r>
      <w:r>
        <w:rPr>
          <w:rFonts w:ascii="宋体" w:hAnsi="宋体" w:cs="宋体"/>
          <w:b/>
          <w:bCs/>
          <w:color w:val="000000" w:themeColor="text1"/>
          <w:kern w:val="0"/>
          <w:sz w:val="24"/>
          <w:highlight w:val="none"/>
          <w14:textFill>
            <w14:solidFill>
              <w14:schemeClr w14:val="tx1"/>
            </w14:solidFill>
          </w14:textFill>
        </w:rPr>
        <w:t>日09时00分（北京时间）</w:t>
      </w:r>
      <w:r>
        <w:rPr>
          <w:rFonts w:ascii="宋体" w:hAnsi="宋体" w:cs="宋体"/>
          <w:color w:val="000000" w:themeColor="text1"/>
          <w:kern w:val="0"/>
          <w:sz w:val="24"/>
          <w:highlight w:val="none"/>
          <w14:textFill>
            <w14:solidFill>
              <w14:schemeClr w14:val="tx1"/>
            </w14:solidFill>
          </w14:textFill>
        </w:rPr>
        <w:t>前递交响应文件。</w:t>
      </w:r>
    </w:p>
    <w:p w14:paraId="45B3CA3E">
      <w:pPr>
        <w:pStyle w:val="69"/>
        <w:spacing w:line="360" w:lineRule="auto"/>
        <w:ind w:firstLine="482"/>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一、项目基本情况</w:t>
      </w:r>
    </w:p>
    <w:p w14:paraId="1D628E88">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1.项目编号：博财谈判采购-2025-</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w:t>
      </w:r>
    </w:p>
    <w:p w14:paraId="6902C15C">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2.项目名称：博爱县特殊教育学校改善办学条件设备采购项目；</w:t>
      </w:r>
    </w:p>
    <w:p w14:paraId="29C0CAFA">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3.采购方式：竞争性谈判；</w:t>
      </w:r>
    </w:p>
    <w:p w14:paraId="6437A984">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4.预算金额：485750.00元  </w:t>
      </w:r>
    </w:p>
    <w:p w14:paraId="466F1ED8">
      <w:pPr>
        <w:adjustRightInd w:val="0"/>
        <w:snapToGrid w:val="0"/>
        <w:spacing w:line="360" w:lineRule="auto"/>
        <w:ind w:firstLine="720" w:firstLineChars="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最高限价：485750.00元；</w:t>
      </w:r>
    </w:p>
    <w:tbl>
      <w:tblPr>
        <w:tblStyle w:val="2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2A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2FFF21E8">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939" w:type="dxa"/>
            <w:noWrap/>
            <w:vAlign w:val="center"/>
          </w:tcPr>
          <w:p w14:paraId="69C48829">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包号</w:t>
            </w:r>
          </w:p>
        </w:tc>
        <w:tc>
          <w:tcPr>
            <w:tcW w:w="3057" w:type="dxa"/>
            <w:noWrap/>
            <w:vAlign w:val="center"/>
          </w:tcPr>
          <w:p w14:paraId="33A886A7">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包名称</w:t>
            </w:r>
          </w:p>
        </w:tc>
        <w:tc>
          <w:tcPr>
            <w:tcW w:w="1665" w:type="dxa"/>
            <w:noWrap/>
            <w:vAlign w:val="center"/>
          </w:tcPr>
          <w:p w14:paraId="634294E0">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包预算（元）</w:t>
            </w:r>
          </w:p>
        </w:tc>
        <w:tc>
          <w:tcPr>
            <w:tcW w:w="1889" w:type="dxa"/>
            <w:noWrap/>
            <w:vAlign w:val="center"/>
          </w:tcPr>
          <w:p w14:paraId="0C5637E9">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包最高限价（元）</w:t>
            </w:r>
          </w:p>
        </w:tc>
      </w:tr>
      <w:tr w14:paraId="632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6B4C355F">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939" w:type="dxa"/>
            <w:noWrap/>
            <w:vAlign w:val="center"/>
          </w:tcPr>
          <w:p w14:paraId="65A87731">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博政采购（2025）10号</w:t>
            </w:r>
            <w:r>
              <w:rPr>
                <w:rFonts w:hint="eastAsia" w:ascii="宋体" w:hAnsi="宋体" w:cs="宋体"/>
                <w:color w:val="000000" w:themeColor="text1"/>
                <w:szCs w:val="21"/>
                <w:highlight w:val="none"/>
                <w14:textFill>
                  <w14:solidFill>
                    <w14:schemeClr w14:val="tx1"/>
                  </w14:solidFill>
                </w14:textFill>
              </w:rPr>
              <w:t xml:space="preserve">   </w:t>
            </w:r>
          </w:p>
        </w:tc>
        <w:tc>
          <w:tcPr>
            <w:tcW w:w="3057" w:type="dxa"/>
            <w:noWrap/>
            <w:vAlign w:val="center"/>
          </w:tcPr>
          <w:p w14:paraId="0AF19268">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博爱县特殊教育学校改善办学条件设备采购项目</w:t>
            </w:r>
          </w:p>
        </w:tc>
        <w:tc>
          <w:tcPr>
            <w:tcW w:w="1665" w:type="dxa"/>
            <w:noWrap/>
            <w:vAlign w:val="center"/>
          </w:tcPr>
          <w:p w14:paraId="708A6011">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485750.00</w:t>
            </w:r>
            <w:r>
              <w:rPr>
                <w:rFonts w:hint="eastAsia" w:ascii="宋体" w:hAnsi="宋体" w:cs="宋体"/>
                <w:color w:val="000000" w:themeColor="text1"/>
                <w:szCs w:val="21"/>
                <w:highlight w:val="none"/>
                <w14:textFill>
                  <w14:solidFill>
                    <w14:schemeClr w14:val="tx1"/>
                  </w14:solidFill>
                </w14:textFill>
              </w:rPr>
              <w:t xml:space="preserve"> </w:t>
            </w:r>
          </w:p>
        </w:tc>
        <w:tc>
          <w:tcPr>
            <w:tcW w:w="1889" w:type="dxa"/>
            <w:noWrap/>
            <w:vAlign w:val="center"/>
          </w:tcPr>
          <w:p w14:paraId="0794668A">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485750.00</w:t>
            </w:r>
          </w:p>
        </w:tc>
      </w:tr>
    </w:tbl>
    <w:p w14:paraId="054EDE70">
      <w:pPr>
        <w:adjustRightInd w:val="0"/>
        <w:snapToGrid w:val="0"/>
        <w:spacing w:line="360" w:lineRule="auto"/>
        <w:ind w:firstLine="200" w:firstLineChars="200"/>
        <w:rPr>
          <w:rFonts w:hint="eastAsia" w:ascii="宋体" w:hAnsi="宋体" w:cs="宋体"/>
          <w:color w:val="000000" w:themeColor="text1"/>
          <w:kern w:val="0"/>
          <w:sz w:val="10"/>
          <w:szCs w:val="10"/>
          <w:highlight w:val="none"/>
          <w14:textFill>
            <w14:solidFill>
              <w14:schemeClr w14:val="tx1"/>
            </w14:solidFill>
          </w14:textFill>
        </w:rPr>
      </w:pPr>
    </w:p>
    <w:p w14:paraId="3DB81B92">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5.采购需求：采购学生计算机教室设备、音乐律动室设备、电子班牌设备、教学和办公信息化设备等（具体要求详见谈判文件）；</w:t>
      </w:r>
    </w:p>
    <w:p w14:paraId="5B06824F">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6.供货安装期：合同签订后</w:t>
      </w:r>
      <w:r>
        <w:rPr>
          <w:rFonts w:ascii="宋体" w:hAnsi="宋体" w:cs="宋体"/>
          <w:color w:val="000000" w:themeColor="text1"/>
          <w:kern w:val="0"/>
          <w:sz w:val="24"/>
          <w:highlight w:val="non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日历天；</w:t>
      </w:r>
    </w:p>
    <w:p w14:paraId="23C1FB79">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7.质保期：3年； </w:t>
      </w:r>
    </w:p>
    <w:p w14:paraId="63D92493">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8.质量要求：合格，符合国家及行业规范标准；</w:t>
      </w:r>
    </w:p>
    <w:p w14:paraId="1C5D1085">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9.本项目是否接受联合体投标：否；</w:t>
      </w:r>
    </w:p>
    <w:p w14:paraId="394F6E1F">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10.是否接受进口产品：否；</w:t>
      </w:r>
    </w:p>
    <w:p w14:paraId="374070C1">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11.是否只面向中小企业采购：否。</w:t>
      </w:r>
    </w:p>
    <w:p w14:paraId="3E327F9E">
      <w:pPr>
        <w:adjustRightInd w:val="0"/>
        <w:snapToGrid w:val="0"/>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二、申请人资格要求</w:t>
      </w:r>
    </w:p>
    <w:p w14:paraId="3256B2A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1.符合《中华人民共和国政府采购法》第二十二条之规定；</w:t>
      </w:r>
    </w:p>
    <w:p w14:paraId="430FA95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2.落实政府采购政策需满足的资格要求：促进中小企业和监狱企业发展扶持政策、政府强制采购节能产品、节能产品及环境标志产品优先采购。</w:t>
      </w:r>
    </w:p>
    <w:p w14:paraId="4AE09386">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14:paraId="24884D8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3.1供应商须具有有效的营业执照；</w:t>
      </w:r>
    </w:p>
    <w:p w14:paraId="1C120ED4">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7BCFA0FF">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3.3本项目不接受联合体投标；</w:t>
      </w:r>
    </w:p>
    <w:p w14:paraId="6760498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3.4资格审查方式：资格后审。</w:t>
      </w:r>
    </w:p>
    <w:p w14:paraId="73F09EDF">
      <w:pPr>
        <w:widowControl/>
        <w:spacing w:line="360" w:lineRule="auto"/>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三、获取采购文件</w:t>
      </w:r>
    </w:p>
    <w:p w14:paraId="710BB603">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1.时间：2025年03月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日至2025年03月</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日，每天上午00:00至12:00，下午12:00至23:59（北京时间，法定节假日除外）；</w:t>
      </w:r>
    </w:p>
    <w:p w14:paraId="69528B98">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2.地点：焦作市公共资源交易中心网站；</w:t>
      </w:r>
    </w:p>
    <w:p w14:paraId="1EC245D3">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1DFD6FF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4.售价：0元。</w:t>
      </w:r>
    </w:p>
    <w:p w14:paraId="1EBC448C">
      <w:pPr>
        <w:adjustRightInd w:val="0"/>
        <w:snapToGrid w:val="0"/>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四、投标截止时间及地点</w:t>
      </w:r>
    </w:p>
    <w:p w14:paraId="379E7A17">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1.截止时间：2025年03月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日09时00分（北京时间）；</w:t>
      </w:r>
    </w:p>
    <w:p w14:paraId="55BE85EB">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2.地点：加密电子投标文件须在投标截止时间前通过“焦作市公共资源交易中心（http://ggzy.jiaozuo.gov.cn/） ”网站-交易平台加密上传。</w:t>
      </w:r>
    </w:p>
    <w:p w14:paraId="09245FBE">
      <w:pPr>
        <w:adjustRightInd w:val="0"/>
        <w:snapToGrid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五、开标时间及地点</w:t>
      </w:r>
    </w:p>
    <w:p w14:paraId="5379A78E">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1.时间：</w:t>
      </w:r>
      <w:r>
        <w:rPr>
          <w:rFonts w:hint="eastAsia" w:ascii="宋体" w:hAnsi="宋体" w:cs="宋体"/>
          <w:color w:val="000000" w:themeColor="text1"/>
          <w:sz w:val="24"/>
          <w:highlight w:val="none"/>
          <w14:textFill>
            <w14:solidFill>
              <w14:schemeClr w14:val="tx1"/>
            </w14:solidFill>
          </w14:textFill>
        </w:rPr>
        <w:t>2025年03月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日09时00分（北京时间）</w:t>
      </w:r>
      <w:r>
        <w:rPr>
          <w:rFonts w:hint="eastAsia" w:ascii="宋体" w:hAnsi="宋体" w:cs="宋体"/>
          <w:color w:val="000000" w:themeColor="text1"/>
          <w:kern w:val="0"/>
          <w:sz w:val="24"/>
          <w:highlight w:val="none"/>
          <w14:textFill>
            <w14:solidFill>
              <w14:schemeClr w14:val="tx1"/>
            </w14:solidFill>
          </w14:textFill>
        </w:rPr>
        <w:t>；</w:t>
      </w:r>
    </w:p>
    <w:p w14:paraId="7D1DE0E1">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2.地点：博爱县公共资源交易中心</w:t>
      </w:r>
      <w:r>
        <w:rPr>
          <w:rFonts w:hint="eastAsia" w:ascii="宋体" w:hAnsi="宋体" w:cs="宋体"/>
          <w:color w:val="000000" w:themeColor="text1"/>
          <w:sz w:val="24"/>
          <w:highlight w:val="none"/>
          <w:shd w:val="clear" w:color="auto" w:fill="FFFFFF"/>
          <w14:textFill>
            <w14:solidFill>
              <w14:schemeClr w14:val="tx1"/>
            </w14:solidFill>
          </w14:textFill>
        </w:rPr>
        <w:t>二楼</w:t>
      </w:r>
      <w:r>
        <w:rPr>
          <w:rFonts w:hint="eastAsia" w:ascii="宋体" w:hAnsi="宋体" w:cs="宋体"/>
          <w:color w:val="000000" w:themeColor="text1"/>
          <w:kern w:val="0"/>
          <w:sz w:val="24"/>
          <w:highlight w:val="none"/>
          <w14:textFill>
            <w14:solidFill>
              <w14:schemeClr w14:val="tx1"/>
            </w14:solidFill>
          </w14:textFill>
        </w:rPr>
        <w:t>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室。</w:t>
      </w:r>
    </w:p>
    <w:p w14:paraId="7E48FFF6">
      <w:pPr>
        <w:adjustRightInd w:val="0"/>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六、发布公告的媒介及公告期限</w:t>
      </w:r>
    </w:p>
    <w:p w14:paraId="519073AE">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2DB2C908">
      <w:pPr>
        <w:adjustRightInd w:val="0"/>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七、其他补充事宜</w:t>
      </w:r>
    </w:p>
    <w:p w14:paraId="3ED7042F">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9C85577">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7583A0A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55B617A1">
      <w:pPr>
        <w:adjustRightInd w:val="0"/>
        <w:snapToGrid w:val="0"/>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八、</w:t>
      </w:r>
      <w:r>
        <w:rPr>
          <w:rFonts w:hint="eastAsia" w:ascii="宋体" w:hAnsi="宋体" w:cs="宋体"/>
          <w:b/>
          <w:color w:val="000000" w:themeColor="text1"/>
          <w:sz w:val="24"/>
          <w:highlight w:val="none"/>
          <w:shd w:val="clear" w:color="auto" w:fill="FFFFFF"/>
          <w14:textFill>
            <w14:solidFill>
              <w14:schemeClr w14:val="tx1"/>
            </w14:solidFill>
          </w14:textFill>
        </w:rPr>
        <w:t>凡对本次采购提出询问，请按以下方式联系</w:t>
      </w:r>
    </w:p>
    <w:p w14:paraId="45B55EEB">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5A0738A2">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采购人：博爱县特殊教育学校</w:t>
      </w:r>
    </w:p>
    <w:p w14:paraId="621481D5">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址：博爱县清化街道官庄村党校南街（清化中心学校东邻）</w:t>
      </w:r>
    </w:p>
    <w:p w14:paraId="47C5A032">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联系人：李豪情</w:t>
      </w:r>
    </w:p>
    <w:p w14:paraId="039F7383">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话：13839106190</w:t>
      </w:r>
    </w:p>
    <w:p w14:paraId="171F17CC">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1EE0B13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称：智博国际工程咨询有限公司</w:t>
      </w:r>
    </w:p>
    <w:p w14:paraId="2CFB8F75">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址：郑州市西三环与北三环交叉口大学科技园（东区）18号楼D座2层</w:t>
      </w:r>
    </w:p>
    <w:p w14:paraId="49BB346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联系人：黄天鹏、刘莎、刘勇琪   </w:t>
      </w:r>
    </w:p>
    <w:p w14:paraId="2DD51B8C">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  话：0371-68638111 </w:t>
      </w:r>
    </w:p>
    <w:p w14:paraId="638E8713">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3.项目联系方式</w:t>
      </w:r>
    </w:p>
    <w:p w14:paraId="6DE0CD19">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w:t>
      </w:r>
    </w:p>
    <w:p w14:paraId="6429392E">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话：0371-68638111</w:t>
      </w:r>
    </w:p>
    <w:p w14:paraId="1C8398B8">
      <w:pPr>
        <w:widowControl/>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 购 人：博爱县特殊教育学校</w:t>
      </w:r>
    </w:p>
    <w:p w14:paraId="7F8679BF">
      <w:pPr>
        <w:widowControl/>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采购代理机构：智博国际工程咨询有限公司</w:t>
      </w:r>
    </w:p>
    <w:p w14:paraId="64F98959">
      <w:pPr>
        <w:widowControl/>
        <w:spacing w:line="360" w:lineRule="auto"/>
        <w:jc w:val="righ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发布时间：2025年03月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日</w:t>
      </w:r>
      <w:bookmarkEnd w:id="3"/>
    </w:p>
    <w:p w14:paraId="54170A00">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5" w:name="_Toc28653"/>
      <w:r>
        <w:rPr>
          <w:rFonts w:hint="eastAsia"/>
          <w:color w:val="000000" w:themeColor="text1"/>
          <w:kern w:val="0"/>
          <w:sz w:val="28"/>
          <w:szCs w:val="28"/>
          <w:highlight w:val="none"/>
          <w14:textFill>
            <w14:solidFill>
              <w14:schemeClr w14:val="tx1"/>
            </w14:solidFill>
          </w14:textFill>
        </w:rPr>
        <w:t>投标须知前附表</w:t>
      </w:r>
      <w:bookmarkEnd w:id="0"/>
      <w:bookmarkEnd w:id="1"/>
      <w:bookmarkEnd w:id="2"/>
      <w:bookmarkEnd w:id="5"/>
    </w:p>
    <w:tbl>
      <w:tblPr>
        <w:tblStyle w:val="28"/>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14:paraId="224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12E786B5">
            <w:pPr>
              <w:pStyle w:val="73"/>
              <w:widowControl w:val="0"/>
              <w:pBdr>
                <w:bottom w:val="none" w:color="auto" w:sz="0" w:space="0"/>
              </w:pBdr>
              <w:spacing w:beforeAutospacing="0" w:afterAutospacing="0" w:line="360" w:lineRule="auto"/>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序号</w:t>
            </w:r>
          </w:p>
        </w:tc>
        <w:tc>
          <w:tcPr>
            <w:tcW w:w="8547" w:type="dxa"/>
          </w:tcPr>
          <w:p w14:paraId="57278606">
            <w:pPr>
              <w:pStyle w:val="73"/>
              <w:widowControl w:val="0"/>
              <w:pBdr>
                <w:bottom w:val="none" w:color="auto" w:sz="0" w:space="0"/>
              </w:pBdr>
              <w:spacing w:beforeAutospacing="0" w:afterAutospacing="0" w:line="360" w:lineRule="auto"/>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内容规定</w:t>
            </w:r>
          </w:p>
        </w:tc>
      </w:tr>
      <w:tr w14:paraId="166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14:paraId="11E10C34">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w:t>
            </w:r>
          </w:p>
        </w:tc>
        <w:tc>
          <w:tcPr>
            <w:tcW w:w="8547" w:type="dxa"/>
            <w:vAlign w:val="center"/>
          </w:tcPr>
          <w:p w14:paraId="019DE6BC">
            <w:pPr>
              <w:adjustRightInd w:val="0"/>
              <w:snapToGrid w:val="0"/>
              <w:spacing w:line="460" w:lineRule="exact"/>
              <w:ind w:firstLine="240" w:firstLineChars="100"/>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r>
              <w:rPr>
                <w:rFonts w:hint="eastAsia" w:ascii="宋体" w:cs="宋体"/>
                <w:bCs/>
                <w:color w:val="000000" w:themeColor="text1"/>
                <w:sz w:val="24"/>
                <w:highlight w:val="none"/>
                <w14:textFill>
                  <w14:solidFill>
                    <w14:schemeClr w14:val="tx1"/>
                  </w14:solidFill>
                </w14:textFill>
              </w:rPr>
              <w:t>博爱县特殊教育学校改善办学条件设备采购项目</w:t>
            </w:r>
          </w:p>
          <w:p w14:paraId="21A9647C">
            <w:pPr>
              <w:adjustRightInd w:val="0"/>
              <w:snapToGrid w:val="0"/>
              <w:spacing w:line="46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采购内容：</w:t>
            </w:r>
            <w:r>
              <w:rPr>
                <w:rFonts w:hint="eastAsia" w:ascii="宋体" w:hAnsi="宋体" w:cs="宋体"/>
                <w:color w:val="000000" w:themeColor="text1"/>
                <w:kern w:val="0"/>
                <w:sz w:val="24"/>
                <w:highlight w:val="none"/>
                <w14:textFill>
                  <w14:solidFill>
                    <w14:schemeClr w14:val="tx1"/>
                  </w14:solidFill>
                </w14:textFill>
              </w:rPr>
              <w:t xml:space="preserve">采购学生计算机教室设备、音乐律动室设备、电子班牌设备、教学和办公信息化设备等。 </w:t>
            </w:r>
          </w:p>
          <w:p w14:paraId="7A80A6A3">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kern w:val="2"/>
                <w:sz w:val="24"/>
                <w:szCs w:val="24"/>
                <w:highlight w:val="none"/>
                <w14:textFill>
                  <w14:solidFill>
                    <w14:schemeClr w14:val="tx1"/>
                  </w14:solidFill>
                </w14:textFill>
              </w:rPr>
            </w:pPr>
            <w:r>
              <w:rPr>
                <w:rFonts w:hint="eastAsia" w:ascii="宋体" w:eastAsia="宋体" w:cs="宋体"/>
                <w:b w:val="0"/>
                <w:bCs/>
                <w:color w:val="000000" w:themeColor="text1"/>
                <w:kern w:val="2"/>
                <w:sz w:val="24"/>
                <w:szCs w:val="24"/>
                <w:highlight w:val="none"/>
                <w14:textFill>
                  <w14:solidFill>
                    <w14:schemeClr w14:val="tx1"/>
                  </w14:solidFill>
                </w14:textFill>
              </w:rPr>
              <w:t>质量要求：合格，符合国家及行业规范标准。</w:t>
            </w:r>
          </w:p>
          <w:p w14:paraId="3485AC65">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kern w:val="2"/>
                <w:sz w:val="24"/>
                <w:szCs w:val="24"/>
                <w:highlight w:val="none"/>
                <w14:textFill>
                  <w14:solidFill>
                    <w14:schemeClr w14:val="tx1"/>
                  </w14:solidFill>
                </w14:textFill>
              </w:rPr>
            </w:pPr>
            <w:r>
              <w:rPr>
                <w:rFonts w:hint="eastAsia" w:ascii="宋体" w:eastAsia="宋体" w:cs="宋体"/>
                <w:b w:val="0"/>
                <w:bCs/>
                <w:color w:val="000000" w:themeColor="text1"/>
                <w:kern w:val="2"/>
                <w:sz w:val="24"/>
                <w:szCs w:val="24"/>
                <w:highlight w:val="none"/>
                <w14:textFill>
                  <w14:solidFill>
                    <w14:schemeClr w14:val="tx1"/>
                  </w14:solidFill>
                </w14:textFill>
              </w:rPr>
              <w:t>供货安装期：合同签订后</w:t>
            </w:r>
            <w:r>
              <w:rPr>
                <w:rFonts w:ascii="宋体" w:eastAsia="宋体" w:cs="宋体"/>
                <w:b w:val="0"/>
                <w:bCs/>
                <w:color w:val="000000" w:themeColor="text1"/>
                <w:kern w:val="2"/>
                <w:sz w:val="24"/>
                <w:szCs w:val="24"/>
                <w:highlight w:val="none"/>
                <w14:textFill>
                  <w14:solidFill>
                    <w14:schemeClr w14:val="tx1"/>
                  </w14:solidFill>
                </w14:textFill>
              </w:rPr>
              <w:t>15</w:t>
            </w:r>
            <w:r>
              <w:rPr>
                <w:rFonts w:hint="eastAsia" w:ascii="宋体" w:eastAsia="宋体" w:cs="宋体"/>
                <w:b w:val="0"/>
                <w:bCs/>
                <w:color w:val="000000" w:themeColor="text1"/>
                <w:kern w:val="2"/>
                <w:sz w:val="24"/>
                <w:szCs w:val="24"/>
                <w:highlight w:val="none"/>
                <w14:textFill>
                  <w14:solidFill>
                    <w14:schemeClr w14:val="tx1"/>
                  </w14:solidFill>
                </w14:textFill>
              </w:rPr>
              <w:t>日历天。</w:t>
            </w:r>
          </w:p>
          <w:p w14:paraId="07337397">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 xml:space="preserve">质保期：3年。 </w:t>
            </w:r>
          </w:p>
          <w:p w14:paraId="5BE6139D">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采购方式：竞争性谈判。</w:t>
            </w:r>
          </w:p>
          <w:p w14:paraId="248B4AE0">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资格审查方式：资格后审。</w:t>
            </w:r>
          </w:p>
          <w:p w14:paraId="0EC428E1">
            <w:pPr>
              <w:widowControl/>
              <w:spacing w:line="460" w:lineRule="exact"/>
              <w:ind w:firstLine="240" w:firstLineChars="100"/>
              <w:jc w:val="left"/>
              <w:rPr>
                <w:rFonts w:hint="eastAsia" w:ascii="宋体" w:hAnsi="宋体" w:cs="宋体"/>
                <w:b/>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付款方</w:t>
            </w:r>
            <w:r>
              <w:rPr>
                <w:rFonts w:hint="eastAsia" w:ascii="宋体" w:cs="宋体"/>
                <w:color w:val="000000" w:themeColor="text1"/>
                <w:sz w:val="24"/>
                <w:highlight w:val="none"/>
                <w14:textFill>
                  <w14:solidFill>
                    <w14:schemeClr w14:val="tx1"/>
                  </w14:solidFill>
                </w14:textFill>
              </w:rPr>
              <w:t>式：签订合同、供货完毕设备安装完成，该项目经过国家认可的第三方质量检测机构验收和检测合格后，按合同总额的100％支付。</w:t>
            </w:r>
          </w:p>
        </w:tc>
      </w:tr>
      <w:tr w14:paraId="0550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14:paraId="1E992B17">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2</w:t>
            </w:r>
          </w:p>
        </w:tc>
        <w:tc>
          <w:tcPr>
            <w:tcW w:w="8547" w:type="dxa"/>
            <w:vAlign w:val="center"/>
          </w:tcPr>
          <w:p w14:paraId="7516C354">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资金来源：财政资金</w:t>
            </w:r>
          </w:p>
        </w:tc>
      </w:tr>
      <w:tr w14:paraId="3D37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7A711372">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3</w:t>
            </w:r>
          </w:p>
        </w:tc>
        <w:tc>
          <w:tcPr>
            <w:tcW w:w="8547" w:type="dxa"/>
            <w:vAlign w:val="center"/>
          </w:tcPr>
          <w:p w14:paraId="5F03F772">
            <w:pPr>
              <w:adjustRightInd w:val="0"/>
              <w:snapToGrid w:val="0"/>
              <w:spacing w:line="460" w:lineRule="exact"/>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获取采购文件时间：2025年</w:t>
            </w:r>
            <w:r>
              <w:rPr>
                <w:rFonts w:hint="eastAsia" w:ascii="宋体" w:hAnsi="宋体" w:cs="宋体"/>
                <w:b/>
                <w:bCs/>
                <w:color w:val="000000" w:themeColor="text1"/>
                <w:sz w:val="24"/>
                <w:highlight w:val="none"/>
                <w:u w:val="single"/>
                <w14:textFill>
                  <w14:solidFill>
                    <w14:schemeClr w14:val="tx1"/>
                  </w14:solidFill>
                </w14:textFill>
              </w:rPr>
              <w:t xml:space="preserve"> 03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25</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日至2025年</w:t>
            </w:r>
            <w:r>
              <w:rPr>
                <w:rFonts w:hint="eastAsia" w:ascii="宋体" w:hAnsi="宋体" w:cs="宋体"/>
                <w:b/>
                <w:bCs/>
                <w:color w:val="000000" w:themeColor="text1"/>
                <w:sz w:val="24"/>
                <w:highlight w:val="none"/>
                <w:u w:val="single"/>
                <w14:textFill>
                  <w14:solidFill>
                    <w14:schemeClr w14:val="tx1"/>
                  </w14:solidFill>
                </w14:textFill>
              </w:rPr>
              <w:t xml:space="preserve"> 03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27</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日（北京时间）；</w:t>
            </w:r>
            <w:r>
              <w:rPr>
                <w:rFonts w:hint="eastAsia" w:ascii="宋体" w:hAnsi="宋体" w:cs="宋体"/>
                <w:color w:val="000000" w:themeColor="text1"/>
                <w:sz w:val="24"/>
                <w:highlight w:val="none"/>
                <w14:textFill>
                  <w14:solidFill>
                    <w14:schemeClr w14:val="tx1"/>
                  </w14:solidFill>
                </w14:textFill>
              </w:rPr>
              <w:t> </w:t>
            </w:r>
          </w:p>
          <w:p w14:paraId="3638B425">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地点：焦作市公共资源交易中心网站会员系统  </w:t>
            </w:r>
          </w:p>
          <w:p w14:paraId="3863C037">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highlight w:val="none"/>
                <w14:textFill>
                  <w14:solidFill>
                    <w14:schemeClr w14:val="tx1"/>
                  </w14:solidFill>
                </w14:textFill>
              </w:rPr>
              <w:t>未通过会员系统完成下载文件，响应性文件</w:t>
            </w:r>
            <w:r>
              <w:rPr>
                <w:rFonts w:hint="eastAsia" w:ascii="宋体" w:hAnsi="宋体" w:cs="宋体"/>
                <w:b/>
                <w:bCs/>
                <w:color w:val="000000" w:themeColor="text1"/>
                <w:sz w:val="24"/>
                <w:highlight w:val="none"/>
                <w14:textFill>
                  <w14:solidFill>
                    <w14:schemeClr w14:val="tx1"/>
                  </w14:solidFill>
                </w14:textFill>
              </w:rPr>
              <w:t>视为无效</w:t>
            </w:r>
            <w:r>
              <w:rPr>
                <w:rFonts w:hint="eastAsia" w:ascii="宋体" w:hAnsi="宋体" w:cs="宋体"/>
                <w:color w:val="000000" w:themeColor="text1"/>
                <w:sz w:val="24"/>
                <w:highlight w:val="none"/>
                <w14:textFill>
                  <w14:solidFill>
                    <w14:schemeClr w14:val="tx1"/>
                  </w14:solidFill>
                </w14:textFill>
              </w:rPr>
              <w:t>（联系电话：0391-3568920，QQ：232850725、361532918（群））。</w:t>
            </w:r>
          </w:p>
          <w:p w14:paraId="65D1D079">
            <w:pPr>
              <w:adjustRightInd w:val="0"/>
              <w:snapToGrid w:val="0"/>
              <w:spacing w:line="46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采购文件售价：0元。</w:t>
            </w:r>
          </w:p>
        </w:tc>
      </w:tr>
      <w:tr w14:paraId="44C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1CA68179">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4</w:t>
            </w:r>
          </w:p>
        </w:tc>
        <w:tc>
          <w:tcPr>
            <w:tcW w:w="8547" w:type="dxa"/>
            <w:vAlign w:val="center"/>
          </w:tcPr>
          <w:p w14:paraId="3AC1CED5">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u w:val="singl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响应文件份数：加密的电子响应文件壹份（.jztf 格式在会员系统指定位置上传）。</w:t>
            </w:r>
          </w:p>
          <w:p w14:paraId="38288CFB">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投标保证金：无。</w:t>
            </w:r>
          </w:p>
          <w:p w14:paraId="06B55D97">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履约保证金：无。</w:t>
            </w:r>
          </w:p>
          <w:p w14:paraId="76D42C9D">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质保金：无。</w:t>
            </w:r>
          </w:p>
        </w:tc>
      </w:tr>
      <w:tr w14:paraId="6221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278EB776">
            <w:pPr>
              <w:pStyle w:val="73"/>
              <w:widowControl w:val="0"/>
              <w:pBdr>
                <w:bottom w:val="none" w:color="auto" w:sz="0" w:space="0"/>
              </w:pBdr>
              <w:spacing w:beforeAutospacing="0" w:afterAutospacing="0" w:line="360" w:lineRule="auto"/>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5</w:t>
            </w:r>
          </w:p>
        </w:tc>
        <w:tc>
          <w:tcPr>
            <w:tcW w:w="8547" w:type="dxa"/>
            <w:vAlign w:val="center"/>
          </w:tcPr>
          <w:p w14:paraId="2920DF5E">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响应文件递交截止时间：</w:t>
            </w:r>
            <w:r>
              <w:rPr>
                <w:rFonts w:hint="eastAsia" w:ascii="宋体" w:eastAsia="宋体" w:cs="宋体"/>
                <w:bCs/>
                <w:color w:val="000000" w:themeColor="text1"/>
                <w:sz w:val="24"/>
                <w:szCs w:val="24"/>
                <w:highlight w:val="none"/>
                <w14:textFill>
                  <w14:solidFill>
                    <w14:schemeClr w14:val="tx1"/>
                  </w14:solidFill>
                </w14:textFill>
              </w:rPr>
              <w:t>2025年</w:t>
            </w:r>
            <w:r>
              <w:rPr>
                <w:rFonts w:hint="eastAsia" w:ascii="宋体" w:eastAsia="宋体" w:cs="宋体"/>
                <w:bCs/>
                <w:color w:val="000000" w:themeColor="text1"/>
                <w:sz w:val="24"/>
                <w:szCs w:val="24"/>
                <w:highlight w:val="none"/>
                <w:u w:val="single"/>
                <w14:textFill>
                  <w14:solidFill>
                    <w14:schemeClr w14:val="tx1"/>
                  </w14:solidFill>
                </w14:textFill>
              </w:rPr>
              <w:t xml:space="preserve"> 03</w:t>
            </w:r>
            <w:r>
              <w:rPr>
                <w:rFonts w:hint="eastAsia" w:ascii="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月</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28</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日</w:t>
            </w:r>
            <w:r>
              <w:rPr>
                <w:rFonts w:hint="eastAsia" w:ascii="宋体" w:eastAsia="宋体" w:cs="宋体"/>
                <w:bCs/>
                <w:color w:val="000000" w:themeColor="text1"/>
                <w:sz w:val="24"/>
                <w:szCs w:val="24"/>
                <w:highlight w:val="none"/>
                <w:u w:val="single"/>
                <w14:textFill>
                  <w14:solidFill>
                    <w14:schemeClr w14:val="tx1"/>
                  </w14:solidFill>
                </w14:textFill>
              </w:rPr>
              <w:t>09</w:t>
            </w:r>
            <w:r>
              <w:rPr>
                <w:rFonts w:hint="eastAsia" w:ascii="宋体" w:eastAsia="宋体" w:cs="宋体"/>
                <w:bCs/>
                <w:color w:val="000000" w:themeColor="text1"/>
                <w:sz w:val="24"/>
                <w:szCs w:val="24"/>
                <w:highlight w:val="none"/>
                <w14:textFill>
                  <w14:solidFill>
                    <w14:schemeClr w14:val="tx1"/>
                  </w14:solidFill>
                </w14:textFill>
              </w:rPr>
              <w:t>时</w:t>
            </w:r>
            <w:r>
              <w:rPr>
                <w:rFonts w:hint="eastAsia" w:ascii="宋体" w:eastAsia="宋体" w:cs="宋体"/>
                <w:bCs/>
                <w:color w:val="000000" w:themeColor="text1"/>
                <w:sz w:val="24"/>
                <w:szCs w:val="24"/>
                <w:highlight w:val="none"/>
                <w:u w:val="single"/>
                <w14:textFill>
                  <w14:solidFill>
                    <w14:schemeClr w14:val="tx1"/>
                  </w14:solidFill>
                </w14:textFill>
              </w:rPr>
              <w:t>00</w:t>
            </w:r>
            <w:r>
              <w:rPr>
                <w:rFonts w:hint="eastAsia" w:ascii="宋体" w:eastAsia="宋体" w:cs="宋体"/>
                <w:bCs/>
                <w:color w:val="000000" w:themeColor="text1"/>
                <w:sz w:val="24"/>
                <w:szCs w:val="24"/>
                <w:highlight w:val="none"/>
                <w14:textFill>
                  <w14:solidFill>
                    <w14:schemeClr w14:val="tx1"/>
                  </w14:solidFill>
                </w14:textFill>
              </w:rPr>
              <w:t>分（北京时间）；</w:t>
            </w:r>
            <w:r>
              <w:rPr>
                <w:rFonts w:hint="eastAsia" w:ascii="宋体" w:eastAsia="宋体" w:cs="宋体"/>
                <w:color w:val="000000" w:themeColor="text1"/>
                <w:sz w:val="24"/>
                <w:highlight w:val="none"/>
                <w14:textFill>
                  <w14:solidFill>
                    <w14:schemeClr w14:val="tx1"/>
                  </w14:solidFill>
                </w14:textFill>
              </w:rPr>
              <w:t> </w:t>
            </w:r>
          </w:p>
          <w:p w14:paraId="6D25E725">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响应文件递交地点：加密电子投标文件须在投标截止时间前通过“焦作市公共资源交易中心（http://ggzy.jiaozuo.gov.cn/） ”网站-交易平台加密上传。</w:t>
            </w:r>
          </w:p>
        </w:tc>
      </w:tr>
      <w:tr w14:paraId="7FEE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952C3CB">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6</w:t>
            </w:r>
          </w:p>
        </w:tc>
        <w:tc>
          <w:tcPr>
            <w:tcW w:w="8547" w:type="dxa"/>
            <w:vAlign w:val="center"/>
          </w:tcPr>
          <w:p w14:paraId="372E2281">
            <w:pPr>
              <w:widowControl/>
              <w:spacing w:line="460" w:lineRule="exact"/>
              <w:ind w:firstLine="240" w:firstLineChars="1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14:paraId="2B90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7DC86A02">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7</w:t>
            </w:r>
          </w:p>
        </w:tc>
        <w:tc>
          <w:tcPr>
            <w:tcW w:w="8547" w:type="dxa"/>
            <w:vAlign w:val="center"/>
          </w:tcPr>
          <w:p w14:paraId="0C97BA8D">
            <w:pPr>
              <w:autoSpaceDE w:val="0"/>
              <w:autoSpaceDN w:val="0"/>
              <w:adjustRightInd w:val="0"/>
              <w:spacing w:line="460" w:lineRule="exact"/>
              <w:ind w:firstLine="240" w:firstLineChars="1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开标时间：同</w:t>
            </w:r>
            <w:r>
              <w:rPr>
                <w:rFonts w:hint="eastAsia" w:ascii="宋体" w:hAnsi="宋体" w:cs="宋体"/>
                <w:color w:val="000000" w:themeColor="text1"/>
                <w:sz w:val="24"/>
                <w:highlight w:val="none"/>
                <w14:textFill>
                  <w14:solidFill>
                    <w14:schemeClr w14:val="tx1"/>
                  </w14:solidFill>
                </w14:textFill>
              </w:rPr>
              <w:t>响应文件递交截止时间</w:t>
            </w:r>
            <w:r>
              <w:rPr>
                <w:rFonts w:hint="eastAsia" w:ascii="宋体" w:hAnsi="宋体" w:cs="宋体"/>
                <w:bCs/>
                <w:color w:val="000000" w:themeColor="text1"/>
                <w:kern w:val="0"/>
                <w:sz w:val="24"/>
                <w:highlight w:val="none"/>
                <w14:textFill>
                  <w14:solidFill>
                    <w14:schemeClr w14:val="tx1"/>
                  </w14:solidFill>
                </w14:textFill>
              </w:rPr>
              <w:t>。供应商应当登录远程开标大厅，凭制作响应性文件所用的企业 CA 密匙在线签到、解密文件等，解密时间为投标截止时后30分钟内。</w:t>
            </w:r>
          </w:p>
          <w:p w14:paraId="33DC7563">
            <w:pPr>
              <w:autoSpaceDE w:val="0"/>
              <w:autoSpaceDN w:val="0"/>
              <w:adjustRightInd w:val="0"/>
              <w:spacing w:line="460" w:lineRule="exact"/>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不见面开标地点：博爱县公共资源交易中心第</w:t>
            </w:r>
            <w:r>
              <w:rPr>
                <w:rFonts w:hint="eastAsia" w:ascii="宋体" w:hAnsi="宋体" w:cs="宋体"/>
                <w:b/>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u w:val="single"/>
                <w:lang w:val="en-US" w:eastAsia="zh-CN"/>
                <w14:textFill>
                  <w14:solidFill>
                    <w14:schemeClr w14:val="tx1"/>
                  </w14:solidFill>
                </w14:textFill>
              </w:rPr>
              <w:t>一</w:t>
            </w:r>
            <w:r>
              <w:rPr>
                <w:rFonts w:hint="eastAsia" w:ascii="宋体" w:hAnsi="宋体" w:cs="宋体"/>
                <w:b/>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14:textFill>
                  <w14:solidFill>
                    <w14:schemeClr w14:val="tx1"/>
                  </w14:solidFill>
                </w14:textFill>
              </w:rPr>
              <w:t xml:space="preserve">开标室 </w:t>
            </w:r>
          </w:p>
        </w:tc>
      </w:tr>
      <w:tr w14:paraId="0B36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14:paraId="522968FC">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8</w:t>
            </w:r>
          </w:p>
        </w:tc>
        <w:tc>
          <w:tcPr>
            <w:tcW w:w="8547" w:type="dxa"/>
            <w:vAlign w:val="center"/>
          </w:tcPr>
          <w:p w14:paraId="19AD7CD7">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递交响应性文件方式：</w:t>
            </w:r>
          </w:p>
          <w:p w14:paraId="2F9B1029">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本项目采用“远程不见面”开标方式，远程开标大厅网址为http://122.112.246.33/BidOpening/bidopeninghallaction/hall/login。供应商不需到开标现场参加开标会议，不需提交原件资料等。 </w:t>
            </w:r>
          </w:p>
          <w:p w14:paraId="6AC7B661">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1.电子响应性文件的递交</w:t>
            </w:r>
          </w:p>
          <w:p w14:paraId="0AAC9E01">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 各供应商应在投标截止时间前上传加密的电子响应性文件</w:t>
            </w:r>
          </w:p>
          <w:p w14:paraId="1B363C18">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（.jztf 格式）到会员系统的指定位置。上传时必须得到电脑“上传成功”的确认回复。请供应商在上传时认真检查上传响应性文件是否完整、正确。</w:t>
            </w:r>
          </w:p>
          <w:p w14:paraId="0AAC333F">
            <w:pPr>
              <w:widowControl/>
              <w:spacing w:line="460" w:lineRule="exact"/>
              <w:ind w:firstLine="240" w:firstLineChars="100"/>
              <w:jc w:val="left"/>
              <w:rPr>
                <w:rFonts w:hint="eastAsia" w:ascii="宋体" w:hAnsi="宋体" w:cs="宋体"/>
                <w:color w:val="000000" w:themeColor="text1"/>
                <w:kern w:val="0"/>
                <w:sz w:val="24"/>
                <w:szCs w:val="2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 如系统故障需上传非加密文件时，供应商应按照采购人指示将非加密文件递交给采购人。</w:t>
            </w:r>
          </w:p>
        </w:tc>
      </w:tr>
      <w:tr w14:paraId="5CA3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14:paraId="4D69C8A9">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9</w:t>
            </w:r>
          </w:p>
        </w:tc>
        <w:tc>
          <w:tcPr>
            <w:tcW w:w="8547" w:type="dxa"/>
            <w:vAlign w:val="center"/>
          </w:tcPr>
          <w:p w14:paraId="6E43DDC6">
            <w:pPr>
              <w:widowControl/>
              <w:spacing w:line="460" w:lineRule="exact"/>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采购预算控制金额（大写）：</w:t>
            </w:r>
            <w:r>
              <w:rPr>
                <w:rFonts w:hint="eastAsia" w:ascii="宋体" w:hAnsi="宋体" w:cs="宋体"/>
                <w:b/>
                <w:color w:val="000000" w:themeColor="text1"/>
                <w:kern w:val="0"/>
                <w:sz w:val="24"/>
                <w:highlight w:val="none"/>
                <w:u w:val="single"/>
                <w14:textFill>
                  <w14:solidFill>
                    <w14:schemeClr w14:val="tx1"/>
                  </w14:solidFill>
                </w14:textFill>
              </w:rPr>
              <w:t>肆拾捌万伍仟柒佰伍拾元整</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485750.00元）</w:t>
            </w:r>
          </w:p>
          <w:p w14:paraId="3C9FE1BA">
            <w:pPr>
              <w:widowControl/>
              <w:spacing w:line="460" w:lineRule="exact"/>
              <w:ind w:firstLine="24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供应商的投标报价高于采购预算控制金额的视为无效报价，其投标予以拒绝；当成交人的投标价高于控制价的95%时，该成交人的成交价按控制价的95%执行。</w:t>
            </w:r>
          </w:p>
        </w:tc>
      </w:tr>
      <w:tr w14:paraId="2B12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14:paraId="0486FCE4">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10</w:t>
            </w:r>
          </w:p>
        </w:tc>
        <w:tc>
          <w:tcPr>
            <w:tcW w:w="8547" w:type="dxa"/>
            <w:vAlign w:val="center"/>
          </w:tcPr>
          <w:p w14:paraId="49A070BF">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投标有效期：60日历天</w:t>
            </w:r>
          </w:p>
        </w:tc>
      </w:tr>
      <w:tr w14:paraId="46C8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14:paraId="751D2CB6">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11</w:t>
            </w:r>
          </w:p>
        </w:tc>
        <w:tc>
          <w:tcPr>
            <w:tcW w:w="8547" w:type="dxa"/>
            <w:vAlign w:val="center"/>
          </w:tcPr>
          <w:p w14:paraId="7B49308F">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1.采购人：博爱县特殊教育学校  </w:t>
            </w:r>
          </w:p>
          <w:p w14:paraId="41D8D443">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联系人：李豪情 </w:t>
            </w:r>
          </w:p>
          <w:p w14:paraId="3653E0FD">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联系电话：13839106190 </w:t>
            </w:r>
          </w:p>
          <w:p w14:paraId="4AEB0ACC">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联系地址：博爱县清化街道官庄村党校南街（清化中心学校东邻）</w:t>
            </w:r>
          </w:p>
          <w:p w14:paraId="360A197D">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2.采购代理机构：智博国际工程咨询有限公司</w:t>
            </w:r>
          </w:p>
          <w:p w14:paraId="3C80A109">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    </w:t>
            </w:r>
          </w:p>
          <w:p w14:paraId="2DAE9AD5">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联系电话：0371-68638111    </w:t>
            </w:r>
          </w:p>
          <w:p w14:paraId="1E769893">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联系地址：郑州市西三环与北三环交叉口大学科技园（东区）18号楼D座2层</w:t>
            </w:r>
          </w:p>
        </w:tc>
      </w:tr>
      <w:tr w14:paraId="26A5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02979291">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12</w:t>
            </w:r>
          </w:p>
        </w:tc>
        <w:tc>
          <w:tcPr>
            <w:tcW w:w="8547" w:type="dxa"/>
            <w:vAlign w:val="center"/>
          </w:tcPr>
          <w:p w14:paraId="54D91270">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kern w:val="2"/>
                <w:sz w:val="24"/>
                <w:szCs w:val="24"/>
                <w:highlight w:val="none"/>
                <w14:textFill>
                  <w14:solidFill>
                    <w14:schemeClr w14:val="tx1"/>
                  </w14:solidFill>
                </w14:textFill>
              </w:rPr>
            </w:pPr>
            <w:r>
              <w:rPr>
                <w:rFonts w:hint="eastAsia" w:ascii="宋体" w:eastAsia="宋体" w:cs="宋体"/>
                <w:b w:val="0"/>
                <w:color w:val="000000" w:themeColor="text1"/>
                <w:kern w:val="2"/>
                <w:sz w:val="24"/>
                <w:szCs w:val="24"/>
                <w:highlight w:val="none"/>
                <w14:textFill>
                  <w14:solidFill>
                    <w14:schemeClr w14:val="tx1"/>
                  </w14:solidFill>
                </w14:textFill>
              </w:rPr>
              <w:t>代理服务费：依据预算金额参照豫招协[2023]002号《河南省招标代理服务收费指导意见》中的标准向成交人收取代理服务费,由成交人在领取成交通知书前，向代理机构足额缴纳。</w:t>
            </w:r>
          </w:p>
        </w:tc>
      </w:tr>
      <w:tr w14:paraId="01E1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29878A45">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kern w:val="2"/>
                <w:sz w:val="24"/>
                <w:szCs w:val="24"/>
                <w:highlight w:val="none"/>
                <w14:textFill>
                  <w14:solidFill>
                    <w14:schemeClr w14:val="tx1"/>
                  </w14:solidFill>
                </w14:textFill>
              </w:rPr>
            </w:pPr>
            <w:bookmarkStart w:id="6" w:name="_Toc533668868"/>
            <w:bookmarkStart w:id="7" w:name="_Toc20290"/>
            <w:r>
              <w:rPr>
                <w:rFonts w:hint="eastAsia" w:ascii="宋体" w:eastAsia="宋体" w:cs="宋体"/>
                <w:b w:val="0"/>
                <w:color w:val="000000" w:themeColor="text1"/>
                <w:sz w:val="21"/>
                <w:szCs w:val="21"/>
                <w:highlight w:val="none"/>
                <w14:textFill>
                  <w14:solidFill>
                    <w14:schemeClr w14:val="tx1"/>
                  </w14:solidFill>
                </w14:textFill>
              </w:rPr>
              <w:t>13</w:t>
            </w:r>
          </w:p>
        </w:tc>
        <w:tc>
          <w:tcPr>
            <w:tcW w:w="8547" w:type="dxa"/>
            <w:vAlign w:val="center"/>
          </w:tcPr>
          <w:p w14:paraId="4FD0372E">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kern w:val="2"/>
                <w:sz w:val="24"/>
                <w:szCs w:val="24"/>
                <w:highlight w:val="none"/>
                <w14:textFill>
                  <w14:solidFill>
                    <w14:schemeClr w14:val="tx1"/>
                  </w14:solidFill>
                </w14:textFill>
              </w:rPr>
            </w:pPr>
            <w:r>
              <w:rPr>
                <w:rFonts w:hint="eastAsia" w:ascii="宋体" w:eastAsia="宋体" w:cs="宋体"/>
                <w:b w:val="0"/>
                <w:color w:val="000000" w:themeColor="text1"/>
                <w:kern w:val="2"/>
                <w:sz w:val="24"/>
                <w:szCs w:val="24"/>
                <w:highlight w:val="none"/>
                <w14:textFill>
                  <w14:solidFill>
                    <w14:schemeClr w14:val="tx1"/>
                  </w14:solidFill>
                </w14:textFill>
              </w:rPr>
              <w:t>本项目采购货物在质保期内属于货物质量问题的，成交供应商应免费维修，不能维修的应及时更换新设备，供应商须针对质保期内的质量问题提供承诺函。</w:t>
            </w:r>
          </w:p>
        </w:tc>
      </w:tr>
      <w:tr w14:paraId="4378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5F70DAB3">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14</w:t>
            </w:r>
          </w:p>
        </w:tc>
        <w:tc>
          <w:tcPr>
            <w:tcW w:w="8547" w:type="dxa"/>
            <w:vAlign w:val="center"/>
          </w:tcPr>
          <w:p w14:paraId="0782E431">
            <w:pPr>
              <w:pStyle w:val="73"/>
              <w:widowControl w:val="0"/>
              <w:pBdr>
                <w:bottom w:val="none" w:color="auto" w:sz="0" w:space="0"/>
              </w:pBdr>
              <w:spacing w:beforeAutospacing="0" w:afterAutospacing="0" w:line="460" w:lineRule="exact"/>
              <w:ind w:firstLine="241" w:firstLineChars="100"/>
              <w:jc w:val="both"/>
              <w:textAlignment w:val="auto"/>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本竞争性谈判文件解释权归采购人。</w:t>
            </w:r>
          </w:p>
        </w:tc>
      </w:tr>
      <w:tr w14:paraId="5A6F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0D48CD6B">
            <w:pPr>
              <w:pStyle w:val="73"/>
              <w:widowControl w:val="0"/>
              <w:pBdr>
                <w:bottom w:val="none" w:color="auto" w:sz="0" w:space="0"/>
              </w:pBdr>
              <w:spacing w:beforeAutospacing="0" w:afterAutospacing="0" w:line="400" w:lineRule="exact"/>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特别提醒</w:t>
            </w:r>
          </w:p>
        </w:tc>
        <w:tc>
          <w:tcPr>
            <w:tcW w:w="8547" w:type="dxa"/>
            <w:vAlign w:val="center"/>
          </w:tcPr>
          <w:p w14:paraId="3CFD4455">
            <w:pPr>
              <w:spacing w:line="480" w:lineRule="exact"/>
              <w:ind w:firstLine="241" w:firstLineChars="100"/>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1、因电子化评标需要，谈判小组要求供应商进行二轮报价以及作出澄清、说明或补正均采用网上方式进行。</w:t>
            </w:r>
          </w:p>
          <w:p w14:paraId="5B334F23">
            <w:pPr>
              <w:spacing w:line="480" w:lineRule="exact"/>
              <w:ind w:firstLine="241" w:firstLineChars="100"/>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10C676E5">
      <w:pPr>
        <w:pStyle w:val="2"/>
        <w:spacing w:before="0" w:after="0" w:line="360" w:lineRule="auto"/>
        <w:ind w:firstLine="723" w:firstLineChars="200"/>
        <w:jc w:val="center"/>
        <w:rPr>
          <w:rFonts w:hint="eastAsia" w:ascii="宋体" w:hAnsi="宋体"/>
          <w:color w:val="000000" w:themeColor="text1"/>
          <w:kern w:val="0"/>
          <w:sz w:val="48"/>
          <w:szCs w:val="48"/>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br w:type="page"/>
      </w:r>
      <w:bookmarkStart w:id="8" w:name="_Toc7945"/>
    </w:p>
    <w:p w14:paraId="28CBED29">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9" w:name="_Toc16130"/>
      <w:r>
        <w:rPr>
          <w:rFonts w:hint="eastAsia"/>
          <w:color w:val="000000" w:themeColor="text1"/>
          <w:kern w:val="0"/>
          <w:sz w:val="28"/>
          <w:szCs w:val="28"/>
          <w:highlight w:val="none"/>
          <w14:textFill>
            <w14:solidFill>
              <w14:schemeClr w14:val="tx1"/>
            </w14:solidFill>
          </w14:textFill>
        </w:rPr>
        <w:t>第一部分 采购项目相关内容及要求</w:t>
      </w:r>
      <w:bookmarkEnd w:id="6"/>
      <w:bookmarkEnd w:id="7"/>
      <w:bookmarkEnd w:id="8"/>
      <w:bookmarkEnd w:id="9"/>
    </w:p>
    <w:p w14:paraId="3255F9B0">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项目基本情况</w:t>
      </w:r>
    </w:p>
    <w:p w14:paraId="2758ACD5">
      <w:pPr>
        <w:widowControl/>
        <w:spacing w:line="50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 购 人：</w:t>
      </w:r>
      <w:r>
        <w:rPr>
          <w:rFonts w:hint="eastAsia" w:ascii="宋体" w:hAnsi="宋体" w:cs="宋体"/>
          <w:color w:val="000000" w:themeColor="text1"/>
          <w:sz w:val="24"/>
          <w:highlight w:val="none"/>
          <w14:textFill>
            <w14:solidFill>
              <w14:schemeClr w14:val="tx1"/>
            </w14:solidFill>
          </w14:textFill>
        </w:rPr>
        <w:t>博爱县特殊教育学校</w:t>
      </w:r>
    </w:p>
    <w:p w14:paraId="0FEB1D55">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采购代理机构：智博国际工程咨询有限公司</w:t>
      </w:r>
    </w:p>
    <w:p w14:paraId="49D0F0F6">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项目名称: 博爱县特殊教育学校改善办学条件设备采购项目</w:t>
      </w:r>
    </w:p>
    <w:p w14:paraId="6FB8F836">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采购编号：</w:t>
      </w:r>
      <w:r>
        <w:rPr>
          <w:rFonts w:hint="eastAsia" w:ascii="宋体" w:hAnsi="宋体" w:cs="宋体"/>
          <w:color w:val="000000" w:themeColor="text1"/>
          <w:kern w:val="0"/>
          <w:sz w:val="24"/>
          <w:highlight w:val="none"/>
          <w14:textFill>
            <w14:solidFill>
              <w14:schemeClr w14:val="tx1"/>
            </w14:solidFill>
          </w14:textFill>
        </w:rPr>
        <w:t>博政采购（2025）10号</w:t>
      </w:r>
    </w:p>
    <w:p w14:paraId="26173092">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资金来源：财政资金</w:t>
      </w:r>
    </w:p>
    <w:p w14:paraId="62AF1BB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供应商资格要求</w:t>
      </w:r>
    </w:p>
    <w:p w14:paraId="72C82588">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2.1符合《中华人民共和国政府采购法》第二十二条之规定；</w:t>
      </w:r>
    </w:p>
    <w:p w14:paraId="0354C6A0">
      <w:pPr>
        <w:adjustRightInd w:val="0"/>
        <w:snapToGrid w:val="0"/>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2.2落实政府采购政策需满足的资格要求：</w:t>
      </w:r>
      <w:r>
        <w:rPr>
          <w:rFonts w:hint="eastAsia" w:ascii="宋体" w:hAnsi="宋体" w:cs="宋体"/>
          <w:color w:val="000000" w:themeColor="text1"/>
          <w:kern w:val="0"/>
          <w:sz w:val="24"/>
          <w:highlight w:val="none"/>
          <w14:textFill>
            <w14:solidFill>
              <w14:schemeClr w14:val="tx1"/>
            </w14:solidFill>
          </w14:textFill>
        </w:rPr>
        <w:t>促进中小企业和监狱企业发展扶持政策、政府强制采购节能产品、节能产品及环境标志产品优先采购。</w:t>
      </w:r>
    </w:p>
    <w:p w14:paraId="6654911C">
      <w:pPr>
        <w:adjustRightInd w:val="0"/>
        <w:snapToGrid w:val="0"/>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w:t>
      </w:r>
      <w:r>
        <w:rPr>
          <w:rFonts w:hint="eastAsia" w:ascii="宋体" w:hAnsi="宋体" w:cs="宋体"/>
          <w:color w:val="000000" w:themeColor="text1"/>
          <w:kern w:val="0"/>
          <w:sz w:val="24"/>
          <w:highlight w:val="none"/>
          <w14:textFill>
            <w14:solidFill>
              <w14:schemeClr w14:val="tx1"/>
            </w14:solidFill>
          </w14:textFill>
        </w:rPr>
        <w:t>供应商须具有有效的营业执照</w:t>
      </w:r>
      <w:r>
        <w:rPr>
          <w:rFonts w:hint="eastAsia" w:ascii="宋体" w:hAnsi="宋体" w:cs="宋体"/>
          <w:color w:val="000000" w:themeColor="text1"/>
          <w:sz w:val="24"/>
          <w:highlight w:val="none"/>
          <w:shd w:val="clear" w:color="auto" w:fill="FFFFFF"/>
          <w14:textFill>
            <w14:solidFill>
              <w14:schemeClr w14:val="tx1"/>
            </w14:solidFill>
          </w14:textFill>
        </w:rPr>
        <w:t>；</w:t>
      </w:r>
    </w:p>
    <w:p w14:paraId="554FC6B9">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70879918">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2.3.2本项目不接受联合体投标；</w:t>
      </w:r>
    </w:p>
    <w:p w14:paraId="1D093185">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2.3.3资格审查方式：资格后审。</w:t>
      </w:r>
    </w:p>
    <w:p w14:paraId="04BD8247">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响应文件报价应是竞争性谈判文件和其他相关资料确定的全部工作内容的价格体现。</w:t>
      </w:r>
    </w:p>
    <w:p w14:paraId="753B91CA">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供应商的响应文件应实质性响应竞争性谈判文件要求。</w:t>
      </w:r>
    </w:p>
    <w:p w14:paraId="0954F4D6">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响应文件递交截止时间之后，任何人不得更改响应文件。</w:t>
      </w:r>
    </w:p>
    <w:p w14:paraId="1B41725D">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如有疑问，请与采购人或采购代理机构联系。</w:t>
      </w:r>
    </w:p>
    <w:p w14:paraId="38CD0B3D">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合同由成交人与博爱县特殊教育学校签订。</w:t>
      </w:r>
    </w:p>
    <w:p w14:paraId="2D34F881">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成交人不得转包项目，否则一经发现，采购人有权另行选择其它单位。</w:t>
      </w:r>
    </w:p>
    <w:p w14:paraId="642E426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付款方式：</w:t>
      </w:r>
      <w:r>
        <w:rPr>
          <w:rFonts w:hint="eastAsia" w:ascii="宋体" w:cs="宋体"/>
          <w:color w:val="000000" w:themeColor="text1"/>
          <w:sz w:val="24"/>
          <w:highlight w:val="none"/>
          <w14:textFill>
            <w14:solidFill>
              <w14:schemeClr w14:val="tx1"/>
            </w14:solidFill>
          </w14:textFill>
        </w:rPr>
        <w:t>签订合同、供货完毕设备安装完成，该项目经过国家认可的第三方质量检测机构验收和检测合格后，按合同总额的100％支付。</w:t>
      </w:r>
    </w:p>
    <w:p w14:paraId="5DB7606F">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质量要求：合格，符合国家、行业规范标准。</w:t>
      </w:r>
    </w:p>
    <w:p w14:paraId="5EFB606F">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质保期：3年。</w:t>
      </w:r>
    </w:p>
    <w:p w14:paraId="6CAF618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供货安装期：合同签订后</w:t>
      </w:r>
      <w:r>
        <w:rPr>
          <w:rFonts w:ascii="宋体" w:hAnsi="宋体"/>
          <w:color w:val="000000" w:themeColor="text1"/>
          <w:kern w:val="0"/>
          <w:sz w:val="24"/>
          <w:highlight w:val="none"/>
          <w14:textFill>
            <w14:solidFill>
              <w14:schemeClr w14:val="tx1"/>
            </w14:solidFill>
          </w14:textFill>
        </w:rPr>
        <w:t>15</w:t>
      </w:r>
      <w:r>
        <w:rPr>
          <w:rFonts w:hint="eastAsia" w:ascii="宋体" w:hAnsi="宋体"/>
          <w:color w:val="000000" w:themeColor="text1"/>
          <w:kern w:val="0"/>
          <w:sz w:val="24"/>
          <w:highlight w:val="none"/>
          <w14:textFill>
            <w14:solidFill>
              <w14:schemeClr w14:val="tx1"/>
            </w14:solidFill>
          </w14:textFill>
        </w:rPr>
        <w:t>日历天。</w:t>
      </w:r>
    </w:p>
    <w:p w14:paraId="1F3E7F9F">
      <w:pPr>
        <w:rPr>
          <w:color w:val="000000" w:themeColor="text1"/>
          <w:highlight w:val="none"/>
          <w14:textFill>
            <w14:solidFill>
              <w14:schemeClr w14:val="tx1"/>
            </w14:solidFill>
          </w14:textFill>
        </w:rPr>
      </w:pPr>
      <w:bookmarkStart w:id="10" w:name="_Toc533668869"/>
      <w:bookmarkStart w:id="11" w:name="_Toc27926"/>
      <w:bookmarkStart w:id="12" w:name="_Toc31607"/>
    </w:p>
    <w:p w14:paraId="3BB2B421">
      <w:pPr>
        <w:pStyle w:val="3"/>
        <w:rPr>
          <w:color w:val="000000" w:themeColor="text1"/>
          <w:highlight w:val="none"/>
          <w14:textFill>
            <w14:solidFill>
              <w14:schemeClr w14:val="tx1"/>
            </w14:solidFill>
          </w14:textFill>
        </w:rPr>
      </w:pPr>
    </w:p>
    <w:p w14:paraId="51B526C3">
      <w:pPr>
        <w:rPr>
          <w:color w:val="000000" w:themeColor="text1"/>
          <w:highlight w:val="none"/>
          <w14:textFill>
            <w14:solidFill>
              <w14:schemeClr w14:val="tx1"/>
            </w14:solidFill>
          </w14:textFill>
        </w:rPr>
      </w:pPr>
    </w:p>
    <w:p w14:paraId="2D9CD956">
      <w:pPr>
        <w:pStyle w:val="3"/>
        <w:rPr>
          <w:color w:val="000000" w:themeColor="text1"/>
          <w:highlight w:val="none"/>
          <w14:textFill>
            <w14:solidFill>
              <w14:schemeClr w14:val="tx1"/>
            </w14:solidFill>
          </w14:textFill>
        </w:rPr>
      </w:pPr>
    </w:p>
    <w:p w14:paraId="754A918E">
      <w:pPr>
        <w:rPr>
          <w:color w:val="000000" w:themeColor="text1"/>
          <w:highlight w:val="none"/>
          <w14:textFill>
            <w14:solidFill>
              <w14:schemeClr w14:val="tx1"/>
            </w14:solidFill>
          </w14:textFill>
        </w:rPr>
      </w:pPr>
    </w:p>
    <w:p w14:paraId="48BEE235">
      <w:pPr>
        <w:pStyle w:val="20"/>
        <w:rPr>
          <w:color w:val="000000" w:themeColor="text1"/>
          <w:highlight w:val="none"/>
          <w14:textFill>
            <w14:solidFill>
              <w14:schemeClr w14:val="tx1"/>
            </w14:solidFill>
          </w14:textFill>
        </w:rPr>
      </w:pPr>
    </w:p>
    <w:p w14:paraId="5DF8DB33">
      <w:pPr>
        <w:rPr>
          <w:color w:val="000000" w:themeColor="text1"/>
          <w:highlight w:val="none"/>
          <w14:textFill>
            <w14:solidFill>
              <w14:schemeClr w14:val="tx1"/>
            </w14:solidFill>
          </w14:textFill>
        </w:rPr>
      </w:pPr>
    </w:p>
    <w:p w14:paraId="2EFE2C77">
      <w:pPr>
        <w:pStyle w:val="20"/>
        <w:rPr>
          <w:color w:val="000000" w:themeColor="text1"/>
          <w:highlight w:val="none"/>
          <w14:textFill>
            <w14:solidFill>
              <w14:schemeClr w14:val="tx1"/>
            </w14:solidFill>
          </w14:textFill>
        </w:rPr>
      </w:pPr>
    </w:p>
    <w:p w14:paraId="67FC8B26">
      <w:pPr>
        <w:rPr>
          <w:color w:val="000000" w:themeColor="text1"/>
          <w:highlight w:val="none"/>
          <w14:textFill>
            <w14:solidFill>
              <w14:schemeClr w14:val="tx1"/>
            </w14:solidFill>
          </w14:textFill>
        </w:rPr>
      </w:pPr>
    </w:p>
    <w:p w14:paraId="5E731A4D">
      <w:pPr>
        <w:pStyle w:val="20"/>
        <w:rPr>
          <w:color w:val="000000" w:themeColor="text1"/>
          <w:highlight w:val="none"/>
          <w14:textFill>
            <w14:solidFill>
              <w14:schemeClr w14:val="tx1"/>
            </w14:solidFill>
          </w14:textFill>
        </w:rPr>
      </w:pPr>
    </w:p>
    <w:p w14:paraId="00C4F297">
      <w:pPr>
        <w:rPr>
          <w:color w:val="000000" w:themeColor="text1"/>
          <w:highlight w:val="none"/>
          <w14:textFill>
            <w14:solidFill>
              <w14:schemeClr w14:val="tx1"/>
            </w14:solidFill>
          </w14:textFill>
        </w:rPr>
      </w:pPr>
    </w:p>
    <w:p w14:paraId="1E9B2C93">
      <w:pPr>
        <w:pStyle w:val="20"/>
        <w:rPr>
          <w:color w:val="000000" w:themeColor="text1"/>
          <w:highlight w:val="none"/>
          <w14:textFill>
            <w14:solidFill>
              <w14:schemeClr w14:val="tx1"/>
            </w14:solidFill>
          </w14:textFill>
        </w:rPr>
      </w:pPr>
    </w:p>
    <w:p w14:paraId="4209D334">
      <w:pPr>
        <w:rPr>
          <w:color w:val="000000" w:themeColor="text1"/>
          <w:highlight w:val="none"/>
          <w14:textFill>
            <w14:solidFill>
              <w14:schemeClr w14:val="tx1"/>
            </w14:solidFill>
          </w14:textFill>
        </w:rPr>
      </w:pPr>
    </w:p>
    <w:p w14:paraId="0DF84208">
      <w:pPr>
        <w:pStyle w:val="20"/>
        <w:rPr>
          <w:color w:val="000000" w:themeColor="text1"/>
          <w:highlight w:val="none"/>
          <w14:textFill>
            <w14:solidFill>
              <w14:schemeClr w14:val="tx1"/>
            </w14:solidFill>
          </w14:textFill>
        </w:rPr>
      </w:pPr>
    </w:p>
    <w:p w14:paraId="0809D752">
      <w:pPr>
        <w:rPr>
          <w:color w:val="000000" w:themeColor="text1"/>
          <w:highlight w:val="none"/>
          <w14:textFill>
            <w14:solidFill>
              <w14:schemeClr w14:val="tx1"/>
            </w14:solidFill>
          </w14:textFill>
        </w:rPr>
      </w:pPr>
    </w:p>
    <w:p w14:paraId="7C9610EB">
      <w:pPr>
        <w:pStyle w:val="20"/>
        <w:rPr>
          <w:color w:val="000000" w:themeColor="text1"/>
          <w:highlight w:val="none"/>
          <w14:textFill>
            <w14:solidFill>
              <w14:schemeClr w14:val="tx1"/>
            </w14:solidFill>
          </w14:textFill>
        </w:rPr>
      </w:pPr>
    </w:p>
    <w:p w14:paraId="2414070D">
      <w:pPr>
        <w:rPr>
          <w:color w:val="000000" w:themeColor="text1"/>
          <w:highlight w:val="none"/>
          <w14:textFill>
            <w14:solidFill>
              <w14:schemeClr w14:val="tx1"/>
            </w14:solidFill>
          </w14:textFill>
        </w:rPr>
      </w:pPr>
    </w:p>
    <w:p w14:paraId="2F5F44FB">
      <w:pPr>
        <w:rPr>
          <w:color w:val="000000" w:themeColor="text1"/>
          <w:highlight w:val="none"/>
          <w14:textFill>
            <w14:solidFill>
              <w14:schemeClr w14:val="tx1"/>
            </w14:solidFill>
          </w14:textFill>
        </w:rPr>
      </w:pPr>
    </w:p>
    <w:p w14:paraId="74E6210E">
      <w:pPr>
        <w:pStyle w:val="3"/>
        <w:rPr>
          <w:color w:val="000000" w:themeColor="text1"/>
          <w:highlight w:val="none"/>
          <w14:textFill>
            <w14:solidFill>
              <w14:schemeClr w14:val="tx1"/>
            </w14:solidFill>
          </w14:textFill>
        </w:rPr>
      </w:pPr>
    </w:p>
    <w:p w14:paraId="3B8F080D">
      <w:pPr>
        <w:rPr>
          <w:color w:val="000000" w:themeColor="text1"/>
          <w:highlight w:val="none"/>
          <w14:textFill>
            <w14:solidFill>
              <w14:schemeClr w14:val="tx1"/>
            </w14:solidFill>
          </w14:textFill>
        </w:rPr>
      </w:pPr>
    </w:p>
    <w:p w14:paraId="7934BF33">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13" w:name="_Toc18477"/>
      <w:r>
        <w:rPr>
          <w:rFonts w:hint="eastAsia"/>
          <w:color w:val="000000" w:themeColor="text1"/>
          <w:kern w:val="0"/>
          <w:sz w:val="28"/>
          <w:szCs w:val="28"/>
          <w:highlight w:val="none"/>
          <w14:textFill>
            <w14:solidFill>
              <w14:schemeClr w14:val="tx1"/>
            </w14:solidFill>
          </w14:textFill>
        </w:rPr>
        <w:t>第二部分 参与采购须知</w:t>
      </w:r>
      <w:bookmarkEnd w:id="10"/>
      <w:bookmarkEnd w:id="11"/>
      <w:bookmarkEnd w:id="12"/>
      <w:bookmarkEnd w:id="13"/>
    </w:p>
    <w:p w14:paraId="7797F79E">
      <w:pPr>
        <w:widowControl/>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一、总则</w:t>
      </w:r>
    </w:p>
    <w:p w14:paraId="1C035E6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根据《中华人民共和国政府采购法》以及相关的法律、法规、规章等，按照本文件中预定的评标方式择优选定成交人。</w:t>
      </w:r>
    </w:p>
    <w:p w14:paraId="4849BF48">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本次竞争性谈判已按照有关规定向博爱县财政局采购办备案。</w:t>
      </w:r>
    </w:p>
    <w:p w14:paraId="503BFE8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维护双方当事人的合法权益，反对不正当竞争。</w:t>
      </w:r>
    </w:p>
    <w:p w14:paraId="28A064E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供应商应仔细阅读竞争性谈判文件，一旦参与竞争性谈判，均认为响应该竞争性谈判文件中采购人的有关要求。</w:t>
      </w:r>
    </w:p>
    <w:p w14:paraId="2C4C907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投标费用：供应商在投标过程中所发生的一切费用，不论成交与否，均由供应商自负，采购单位不承担任何责任。</w:t>
      </w:r>
    </w:p>
    <w:p w14:paraId="104E2FAC">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二、采购内容及要求</w:t>
      </w:r>
    </w:p>
    <w:p w14:paraId="22878D3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项目名称：博爱县特殊教育学校改善办学条件设备采购项目</w:t>
      </w:r>
    </w:p>
    <w:p w14:paraId="45402AA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 采购内容：采购学生计算机教室设备、音乐律动室设备、电子班牌设备、教学和办公信息化设备等。 </w:t>
      </w:r>
    </w:p>
    <w:p w14:paraId="49B115B2">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三、采购文件</w:t>
      </w:r>
    </w:p>
    <w:p w14:paraId="299A1D0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竞争性谈判文件包括本文件和所有按本文件规定发出的补充通知等。</w:t>
      </w:r>
    </w:p>
    <w:p w14:paraId="1857E3A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供应商的响应文件应实质上响应竞争性谈判文件的要求，否则，响应文件将被拒绝。</w:t>
      </w:r>
    </w:p>
    <w:p w14:paraId="7EC4E57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竞争性谈判文件的解释。</w:t>
      </w:r>
    </w:p>
    <w:p w14:paraId="62A3ECB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供应商对收到的本项目竞争性谈判文件若有疑问，</w:t>
      </w:r>
      <w:r>
        <w:rPr>
          <w:rFonts w:hint="eastAsia" w:ascii="宋体" w:hAnsi="宋体" w:cs="宋体"/>
          <w:bCs/>
          <w:color w:val="000000" w:themeColor="text1"/>
          <w:sz w:val="24"/>
          <w:highlight w:val="none"/>
          <w14:textFill>
            <w14:solidFill>
              <w14:schemeClr w14:val="tx1"/>
            </w14:solidFill>
          </w14:textFill>
        </w:rPr>
        <w:t>应以书面形式向</w:t>
      </w:r>
      <w:r>
        <w:rPr>
          <w:rFonts w:hint="eastAsia" w:ascii="宋体" w:hAnsi="宋体" w:cs="宋体"/>
          <w:color w:val="000000" w:themeColor="text1"/>
          <w:kern w:val="0"/>
          <w:sz w:val="24"/>
          <w:highlight w:val="none"/>
          <w14:textFill>
            <w14:solidFill>
              <w14:schemeClr w14:val="tx1"/>
            </w14:solidFill>
          </w14:textFill>
        </w:rPr>
        <w:t>采购人、采购代理机构提出，采购人和采购代理机构将在提起之日起七个工作日内以书面形式给予答复。</w:t>
      </w:r>
    </w:p>
    <w:p w14:paraId="45BDAE5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本竞争性谈判文件的解释权属于</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w:t>
      </w:r>
    </w:p>
    <w:p w14:paraId="18D6AC88">
      <w:pPr>
        <w:widowControl/>
        <w:spacing w:line="500" w:lineRule="exact"/>
        <w:ind w:left="42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4.竞争性谈判文件的修改。</w:t>
      </w:r>
    </w:p>
    <w:p w14:paraId="7EA59E3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 在竞争性谈判文件发出后，如需对文件进行修改，应在竞争性谈判开始前以补充通知的形式在相关网站发布。</w:t>
      </w:r>
    </w:p>
    <w:p w14:paraId="32B3A8C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竞争性谈判文件、补充通知内容相互矛盾时，以最后发出的通知为准。</w:t>
      </w:r>
    </w:p>
    <w:p w14:paraId="315DC8DC">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四、采购要求</w:t>
      </w:r>
    </w:p>
    <w:p w14:paraId="75EF641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确定成交人后，成交人要按照响应文件中承诺的内容履行合同。</w:t>
      </w:r>
    </w:p>
    <w:p w14:paraId="7BE044E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参加竞争性谈判的供应商应按竞争性谈判文件中提供的格式填写响应文件，否则将认为是对该竞争性谈判文件的不响应。</w:t>
      </w:r>
    </w:p>
    <w:p w14:paraId="65BF93A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对竞争性谈判文件未作出实质性响应的供应商将被拒绝参与谈判。</w:t>
      </w:r>
    </w:p>
    <w:p w14:paraId="019049C2">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五、响应文件的编制、递交和修改</w:t>
      </w:r>
    </w:p>
    <w:p w14:paraId="176A5405">
      <w:pPr>
        <w:widowControl/>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 响应文件的语言及格式</w:t>
      </w:r>
    </w:p>
    <w:p w14:paraId="652614AA">
      <w:pPr>
        <w:widowControl/>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14:paraId="00F3A2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 与报价有关的所有文件必须使用中文（本竞争性谈判文件中有特殊要求的情形除外），供应商必须使用竞争性谈判文件中规定的文件格式。</w:t>
      </w:r>
    </w:p>
    <w:p w14:paraId="1DB67704">
      <w:pPr>
        <w:widowControl/>
        <w:numPr>
          <w:ilvl w:val="0"/>
          <w:numId w:val="3"/>
        </w:numPr>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响应文件的组成</w:t>
      </w:r>
    </w:p>
    <w:p w14:paraId="7C0085D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响应文件应主要包括下列部分：</w:t>
      </w:r>
    </w:p>
    <w:p w14:paraId="3B1B164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 投标函、投标报价明细表；</w:t>
      </w:r>
    </w:p>
    <w:p w14:paraId="1931A3F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 法定代表人身份证明；</w:t>
      </w:r>
    </w:p>
    <w:p w14:paraId="206CFB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 授权人委托书；</w:t>
      </w:r>
    </w:p>
    <w:p w14:paraId="1001C7B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2.4 供应商资格证明承诺函；</w:t>
      </w:r>
    </w:p>
    <w:p w14:paraId="2F588E3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 供应商服务承诺和优惠承诺；</w:t>
      </w:r>
    </w:p>
    <w:p w14:paraId="735433F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2.6 供应商所投产品属于当期政府采购清单规定的节能环保产品的证明材料(如有)；</w:t>
      </w:r>
    </w:p>
    <w:p w14:paraId="005B354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2.7 投标承诺函；</w:t>
      </w:r>
    </w:p>
    <w:p w14:paraId="46167E8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2.8 中小企业声明函（如有）；</w:t>
      </w:r>
    </w:p>
    <w:p w14:paraId="6801470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 残疾人福利性单位声明函（如有）；</w:t>
      </w:r>
    </w:p>
    <w:p w14:paraId="140DD58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2.10 竞争性谈判文件要求的或供应商认为需要加以说明的其他内容。</w:t>
      </w:r>
    </w:p>
    <w:p w14:paraId="71C609B6">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全套响应文件应无涂改和行间插字，如有修改应在修改处加盖供应商的企业印章（即公章）或企业法定代表人或其委托代理人印章（或签字）。</w:t>
      </w:r>
    </w:p>
    <w:p w14:paraId="556F919D">
      <w:pPr>
        <w:widowControl/>
        <w:spacing w:line="500" w:lineRule="exact"/>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4320FAC">
      <w:pPr>
        <w:widowControl/>
        <w:spacing w:line="500" w:lineRule="exact"/>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7F9018F1">
      <w:pPr>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bookmarkStart w:id="14" w:name="_Toc426369503"/>
      <w:bookmarkStart w:id="15" w:name="_Toc279599793"/>
      <w:bookmarkStart w:id="16" w:name="_Toc403122514"/>
      <w:bookmarkStart w:id="17" w:name="_Toc274249597"/>
      <w:r>
        <w:rPr>
          <w:rFonts w:hint="eastAsia" w:ascii="宋体" w:hAnsi="宋体" w:cs="宋体"/>
          <w:b/>
          <w:bCs/>
          <w:color w:val="000000" w:themeColor="text1"/>
          <w:sz w:val="24"/>
          <w:highlight w:val="none"/>
          <w14:textFill>
            <w14:solidFill>
              <w14:schemeClr w14:val="tx1"/>
            </w14:solidFill>
          </w14:textFill>
        </w:rPr>
        <w:t xml:space="preserve">3. </w:t>
      </w:r>
      <w:r>
        <w:rPr>
          <w:rFonts w:hint="eastAsia" w:ascii="宋体" w:hAnsi="宋体" w:cs="宋体"/>
          <w:b/>
          <w:bCs/>
          <w:color w:val="000000" w:themeColor="text1"/>
          <w:kern w:val="0"/>
          <w:sz w:val="24"/>
          <w:highlight w:val="none"/>
          <w14:textFill>
            <w14:solidFill>
              <w14:schemeClr w14:val="tx1"/>
            </w14:solidFill>
          </w14:textFill>
        </w:rPr>
        <w:t>响应</w:t>
      </w:r>
      <w:r>
        <w:rPr>
          <w:rFonts w:hint="eastAsia" w:ascii="宋体" w:hAnsi="宋体" w:cs="宋体"/>
          <w:b/>
          <w:bCs/>
          <w:color w:val="000000" w:themeColor="text1"/>
          <w:sz w:val="24"/>
          <w:highlight w:val="none"/>
          <w14:textFill>
            <w14:solidFill>
              <w14:schemeClr w14:val="tx1"/>
            </w14:solidFill>
          </w14:textFill>
        </w:rPr>
        <w:t>文件的编制</w:t>
      </w:r>
      <w:bookmarkEnd w:id="14"/>
      <w:bookmarkEnd w:id="15"/>
      <w:bookmarkEnd w:id="16"/>
      <w:bookmarkEnd w:id="17"/>
    </w:p>
    <w:p w14:paraId="5619BF20">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 xml:space="preserve">文件制作专用工具软件编制。 </w:t>
      </w:r>
    </w:p>
    <w:p w14:paraId="34C605EB">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响应文件应当对竞争性谈判文件有关供货安装期、投标有效期、质量要求、采购要求及服务内容、等实质性内容作出承诺及响应。</w:t>
      </w:r>
    </w:p>
    <w:p w14:paraId="2BDDD34D">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文件，按要求解密</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文件。因文件未及时上传导致投标失败的责任由供应商自行承担。</w:t>
      </w:r>
    </w:p>
    <w:p w14:paraId="77FFFD06">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 签字盖章要求：</w:t>
      </w:r>
    </w:p>
    <w:p w14:paraId="329AB708">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要求供应商加盖公章的地方都应加盖供应商单位的 CA 印章。</w:t>
      </w:r>
    </w:p>
    <w:p w14:paraId="746C7E74">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要求法定代表人签字或盖章的，法定代表人在签字或盖章的地方上传手写签名的扫描件或加盖法定代表人 CA 印章。</w:t>
      </w:r>
    </w:p>
    <w:p w14:paraId="013C0C19">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要求委托代理人签字或盖章的，委托代理人在签字或盖章的地方上传手写签名的扫描件或加盖委托代理人 CA 印章。</w:t>
      </w:r>
    </w:p>
    <w:p w14:paraId="77A8DA8B">
      <w:pPr>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 响应性文件的语言和计量单位</w:t>
      </w:r>
    </w:p>
    <w:p w14:paraId="23D500EF">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 谈判文件以及供应商与采购人、采购代理机构就有关投标事宜的所有来往函电均应使用简体中文书写。</w:t>
      </w:r>
    </w:p>
    <w:p w14:paraId="3D918832">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14:paraId="1322C8EC">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882C8A5">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本响应性文件所表述的时间均为北京时间。</w:t>
      </w:r>
    </w:p>
    <w:p w14:paraId="0C5843A7">
      <w:pPr>
        <w:pStyle w:val="5"/>
        <w:spacing w:before="0" w:after="0" w:line="500" w:lineRule="exact"/>
        <w:ind w:firstLine="482" w:firstLineChars="200"/>
        <w:rPr>
          <w:rFonts w:hint="eastAsia" w:ascii="宋体" w:hAnsi="宋体" w:cs="宋体"/>
          <w:bCs w:val="0"/>
          <w:color w:val="000000" w:themeColor="text1"/>
          <w:sz w:val="24"/>
          <w:szCs w:val="24"/>
          <w:highlight w:val="none"/>
          <w14:textFill>
            <w14:solidFill>
              <w14:schemeClr w14:val="tx1"/>
            </w14:solidFill>
          </w14:textFill>
        </w:rPr>
      </w:pPr>
      <w:r>
        <w:rPr>
          <w:rFonts w:hint="eastAsia" w:ascii="宋体" w:hAnsi="宋体" w:cs="宋体"/>
          <w:bCs w:val="0"/>
          <w:color w:val="000000" w:themeColor="text1"/>
          <w:sz w:val="24"/>
          <w:szCs w:val="24"/>
          <w:highlight w:val="none"/>
          <w14:textFill>
            <w14:solidFill>
              <w14:schemeClr w14:val="tx1"/>
            </w14:solidFill>
          </w14:textFill>
        </w:rPr>
        <w:t>5. 响应文件的补充与撤回</w:t>
      </w:r>
    </w:p>
    <w:p w14:paraId="31280BC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 供应商在投标截止时间前可对其响应性文件进行修改并重新上传或在焦作市电子招投标交易平台上进行撤回投标的操作。</w:t>
      </w:r>
    </w:p>
    <w:p w14:paraId="6857936C">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 供应商在响应文件递交截止时间后不能修改、补充替代或撤回其响应文件。</w:t>
      </w:r>
    </w:p>
    <w:p w14:paraId="02BF8BCD">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六、投标报价</w:t>
      </w:r>
    </w:p>
    <w:p w14:paraId="0962EA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控制价</w:t>
      </w:r>
    </w:p>
    <w:p w14:paraId="32D39E57">
      <w:pPr>
        <w:widowControl/>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本项目预算控制金额</w:t>
      </w:r>
      <w:r>
        <w:rPr>
          <w:rFonts w:hint="eastAsia" w:ascii="宋体" w:hAnsi="宋体" w:cs="宋体"/>
          <w:b/>
          <w:bCs/>
          <w:color w:val="000000" w:themeColor="text1"/>
          <w:kern w:val="0"/>
          <w:sz w:val="24"/>
          <w:highlight w:val="none"/>
          <w:u w:val="single"/>
          <w14:textFill>
            <w14:solidFill>
              <w14:schemeClr w14:val="tx1"/>
            </w14:solidFill>
          </w14:textFill>
        </w:rPr>
        <w:t>485750.00.00元</w:t>
      </w:r>
      <w:r>
        <w:rPr>
          <w:rFonts w:hint="eastAsia" w:ascii="宋体" w:hAnsi="宋体" w:cs="宋体"/>
          <w:b/>
          <w:bCs/>
          <w:color w:val="000000" w:themeColor="text1"/>
          <w:kern w:val="0"/>
          <w:sz w:val="24"/>
          <w:highlight w:val="none"/>
          <w14:textFill>
            <w14:solidFill>
              <w14:schemeClr w14:val="tx1"/>
            </w14:solidFill>
          </w14:textFill>
        </w:rPr>
        <w:t>（大写</w:t>
      </w:r>
      <w:r>
        <w:rPr>
          <w:rFonts w:hint="eastAsia" w:ascii="宋体" w:hAnsi="宋体" w:cs="宋体"/>
          <w:b/>
          <w:bCs/>
          <w:color w:val="000000" w:themeColor="text1"/>
          <w:kern w:val="0"/>
          <w:sz w:val="24"/>
          <w:highlight w:val="none"/>
          <w:u w:val="single"/>
          <w14:textFill>
            <w14:solidFill>
              <w14:schemeClr w14:val="tx1"/>
            </w14:solidFill>
          </w14:textFill>
        </w:rPr>
        <w:t>：肆拾捌万伍仟柒佰伍拾元整</w:t>
      </w:r>
      <w:r>
        <w:rPr>
          <w:rFonts w:hint="eastAsia" w:ascii="宋体" w:hAnsi="宋体" w:cs="宋体"/>
          <w:b/>
          <w:bCs/>
          <w:color w:val="000000" w:themeColor="text1"/>
          <w:kern w:val="0"/>
          <w:sz w:val="24"/>
          <w:highlight w:val="none"/>
          <w14:textFill>
            <w14:solidFill>
              <w14:schemeClr w14:val="tx1"/>
            </w14:solidFill>
          </w14:textFill>
        </w:rPr>
        <w:t>）。</w:t>
      </w:r>
    </w:p>
    <w:p w14:paraId="7B6E45F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供应商的投标报价高于招标控制价的视为无效报价，其投标予以拒绝。当成交人的投标价高于控制价的95%时，该成交人的成交价按控制价的95%执行。</w:t>
      </w:r>
    </w:p>
    <w:p w14:paraId="507FD60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投标报价</w:t>
      </w:r>
    </w:p>
    <w:p w14:paraId="5343E94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14:paraId="6F58E48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 供应商的投标报价应包括货物本身的费用、包装费、运输费、装卸费、运输过程保险费、安装费、质量保证费、</w:t>
      </w:r>
      <w:r>
        <w:rPr>
          <w:rFonts w:hint="eastAsia" w:ascii="宋体" w:hAnsi="宋体" w:cs="宋体"/>
          <w:color w:val="000000" w:themeColor="text1"/>
          <w:sz w:val="24"/>
          <w:highlight w:val="none"/>
          <w14:textFill>
            <w14:solidFill>
              <w14:schemeClr w14:val="tx1"/>
            </w14:solidFill>
          </w14:textFill>
        </w:rPr>
        <w:t>第三方质量检测机构验收检测费</w:t>
      </w:r>
      <w:r>
        <w:rPr>
          <w:rFonts w:hint="eastAsia" w:ascii="宋体" w:hAnsi="宋体" w:cs="宋体"/>
          <w:color w:val="000000" w:themeColor="text1"/>
          <w:kern w:val="0"/>
          <w:sz w:val="24"/>
          <w:highlight w:val="none"/>
          <w14:textFill>
            <w14:solidFill>
              <w14:schemeClr w14:val="tx1"/>
            </w14:solidFill>
          </w14:textFill>
        </w:rPr>
        <w:t>、相关的伴随服务费、货物本身已支付或将支付的各种税费、老旧货物拆卸费（音乐律动室安装大屏位置墙面物品、老旧班班通一体机的拆除以及安装在校内指定位置，计算机教室报废设备的拆卸整理等）以及其它交付使用前的所有费用。</w:t>
      </w:r>
    </w:p>
    <w:p w14:paraId="40437DBC">
      <w:pPr>
        <w:spacing w:line="500" w:lineRule="exact"/>
        <w:ind w:firstLine="48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14:paraId="783B70C8">
      <w:pPr>
        <w:widowControl/>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七、谈判程序</w:t>
      </w:r>
    </w:p>
    <w:p w14:paraId="1B62A08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 采购程序</w:t>
      </w:r>
    </w:p>
    <w:p w14:paraId="31B5BFF3">
      <w:pPr>
        <w:widowControl/>
        <w:spacing w:line="500" w:lineRule="exact"/>
        <w:ind w:firstLine="480"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14:paraId="2491A3B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2.所有</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kern w:val="0"/>
          <w:sz w:val="24"/>
          <w:highlight w:val="none"/>
          <w14:textFill>
            <w14:solidFill>
              <w14:schemeClr w14:val="tx1"/>
            </w14:solidFill>
          </w14:textFill>
        </w:rPr>
        <w:t>文件必须在本竞争性谈判文件中规定的</w:t>
      </w:r>
      <w:r>
        <w:rPr>
          <w:rFonts w:hint="eastAsia" w:ascii="宋体" w:hAnsi="宋体" w:cs="宋体"/>
          <w:color w:val="000000" w:themeColor="text1"/>
          <w:sz w:val="24"/>
          <w:highlight w:val="none"/>
          <w14:textFill>
            <w14:solidFill>
              <w14:schemeClr w14:val="tx1"/>
            </w14:solidFill>
          </w14:textFill>
        </w:rPr>
        <w:t>时间进行签到、文件解密、答疑澄清等</w:t>
      </w:r>
      <w:r>
        <w:rPr>
          <w:rFonts w:hint="eastAsia" w:ascii="宋体" w:hAnsi="宋体" w:cs="宋体"/>
          <w:color w:val="000000" w:themeColor="text1"/>
          <w:kern w:val="0"/>
          <w:sz w:val="24"/>
          <w:highlight w:val="none"/>
          <w14:textFill>
            <w14:solidFill>
              <w14:schemeClr w14:val="tx1"/>
            </w14:solidFill>
          </w14:textFill>
        </w:rPr>
        <w:t>，不能按时上传、解密者视为自动放弃投标。</w:t>
      </w:r>
    </w:p>
    <w:p w14:paraId="0243A16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3.供应商不足3家的，不得开标。  </w:t>
      </w:r>
    </w:p>
    <w:p w14:paraId="77934C5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68E4D610">
      <w:pPr>
        <w:tabs>
          <w:tab w:val="left" w:pos="9127"/>
        </w:tabs>
        <w:spacing w:line="500" w:lineRule="exact"/>
        <w:ind w:right="-53" w:rightChars="-25"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供应商应准时参加开标会议，不能按时上传、解密者视为自动放弃投标。</w:t>
      </w:r>
    </w:p>
    <w:p w14:paraId="2DF50B9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 会议由智博国际工程咨询有限公司主持：</w:t>
      </w:r>
    </w:p>
    <w:p w14:paraId="2CCA6949">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6.1公布在投标截止时间前递交响应性文件的供应商名称；</w:t>
      </w:r>
    </w:p>
    <w:p w14:paraId="6C35EFA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6.2供应商通过电子招标投标交易平台对已递交的电子响应性文件在规定时间内进行解密；</w:t>
      </w:r>
    </w:p>
    <w:p w14:paraId="6C37ED93">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6.3批量导入文件；</w:t>
      </w:r>
    </w:p>
    <w:p w14:paraId="38A20FD2">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6.4代理机构将通过焦作市电子招投标交易平台进行唱标，并公布采购项目名称、供应商名称、供货安装期等其他内容，并记录在案；</w:t>
      </w:r>
    </w:p>
    <w:p w14:paraId="3C45C906">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6.5采购人代表、监督人等有关人员按具体现场系统情况在开标记录上签字确认；</w:t>
      </w:r>
    </w:p>
    <w:p w14:paraId="5C3DCDE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6.6开标结束。</w:t>
      </w:r>
    </w:p>
    <w:p w14:paraId="4A123319">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6.7开标异议</w:t>
      </w:r>
    </w:p>
    <w:p w14:paraId="373F27CA">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highlight w:val="none"/>
          <w14:textFill>
            <w14:solidFill>
              <w14:schemeClr w14:val="tx1"/>
            </w14:solidFill>
          </w14:textFill>
        </w:rPr>
        <w:t>语音异议</w:t>
      </w:r>
      <w:bookmarkEnd w:id="18"/>
      <w:r>
        <w:rPr>
          <w:rFonts w:hint="eastAsia" w:ascii="宋体" w:hAnsi="宋体" w:cs="宋体"/>
          <w:color w:val="000000" w:themeColor="text1"/>
          <w:kern w:val="0"/>
          <w:sz w:val="24"/>
          <w:highlight w:val="none"/>
          <w14:textFill>
            <w14:solidFill>
              <w14:schemeClr w14:val="tx1"/>
            </w14:solidFill>
          </w14:textFill>
        </w:rPr>
        <w:t>、</w:t>
      </w:r>
      <w:bookmarkStart w:id="19" w:name="_Toc20745"/>
      <w:r>
        <w:rPr>
          <w:rFonts w:hint="eastAsia" w:ascii="宋体" w:hAnsi="宋体" w:cs="宋体"/>
          <w:color w:val="000000" w:themeColor="text1"/>
          <w:kern w:val="0"/>
          <w:sz w:val="24"/>
          <w:highlight w:val="none"/>
          <w14:textFill>
            <w14:solidFill>
              <w14:schemeClr w14:val="tx1"/>
            </w14:solidFill>
          </w14:textFill>
        </w:rPr>
        <w:t>文字异议</w:t>
      </w:r>
      <w:bookmarkEnd w:id="19"/>
      <w:r>
        <w:rPr>
          <w:rFonts w:hint="eastAsia" w:ascii="宋体" w:hAnsi="宋体" w:cs="宋体"/>
          <w:color w:val="000000" w:themeColor="text1"/>
          <w:kern w:val="0"/>
          <w:sz w:val="24"/>
          <w:highlight w:val="none"/>
          <w14:textFill>
            <w14:solidFill>
              <w14:schemeClr w14:val="tx1"/>
            </w14:solidFill>
          </w14:textFill>
        </w:rPr>
        <w:t>），采购人当场作出答复，并制作记录。</w:t>
      </w:r>
    </w:p>
    <w:p w14:paraId="0CE644D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6.8开标异常处理</w:t>
      </w:r>
    </w:p>
    <w:p w14:paraId="78EB47B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当出现以下情况时，应对未开标的项目中止电子开标，对原有资料及信息作出妥善保密处理，并在恢复正常后及时安排时间开标：</w:t>
      </w:r>
    </w:p>
    <w:p w14:paraId="752A207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6.8.1 系统服务器发生故障，无法访问或无法使用系统；</w:t>
      </w:r>
    </w:p>
    <w:p w14:paraId="6C2DA83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6.8.2 系统的软件或数据库出现错误，不能进行正常操作；</w:t>
      </w:r>
    </w:p>
    <w:p w14:paraId="2E9A239D">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6.8.3 系统发现有安全漏洞，有潜在的泄密危险；</w:t>
      </w:r>
    </w:p>
    <w:p w14:paraId="6A55005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6.8.4 出现断电事故且短时间内无法恢复供电；</w:t>
      </w:r>
    </w:p>
    <w:p w14:paraId="59FB26A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6.8.5 其他无法保证招投标过程正常进行的情形；</w:t>
      </w:r>
    </w:p>
    <w:p w14:paraId="1306CA1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6.9合格供应商不足3家的，将不再评标</w:t>
      </w:r>
    </w:p>
    <w:p w14:paraId="0683534F">
      <w:pPr>
        <w:numPr>
          <w:ilvl w:val="0"/>
          <w:numId w:val="4"/>
        </w:num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组建谈判小组</w:t>
      </w:r>
    </w:p>
    <w:p w14:paraId="771FC2B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7.1采购人根据采购项目的特点依法组建竞争性谈判小组。</w:t>
      </w:r>
    </w:p>
    <w:p w14:paraId="187D7EC3">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本项目采用远程异地评标，竞争性谈判小组由采购人代表和政府采购专家库中随机抽取的评审专家共3人组成。</w:t>
      </w:r>
    </w:p>
    <w:p w14:paraId="2174ACA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 谈判小组负责具体的评标事务，并独立履行以下职责：</w:t>
      </w:r>
    </w:p>
    <w:p w14:paraId="140F28E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7.2.1审查、评价响应性文件是否符合谈判文件的实质性要求；</w:t>
      </w:r>
    </w:p>
    <w:p w14:paraId="24A1EBC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7.2.2要求供应商对响应性文件有关事项作出澄清或者说明；</w:t>
      </w:r>
    </w:p>
    <w:p w14:paraId="72DF2FC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7.2.3对响应性文件进行比较和评价；</w:t>
      </w:r>
    </w:p>
    <w:p w14:paraId="773889C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7.2.4推荐成交供应商名单；</w:t>
      </w:r>
    </w:p>
    <w:p w14:paraId="4F0AA92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7.2.5 向采购人、采购代理机构或者有关部门报告评标中发现的违法行为。</w:t>
      </w:r>
    </w:p>
    <w:p w14:paraId="6709165C">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14:paraId="62ABC0A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14:paraId="720AC2D2">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7.5采购人或者采购代理机构应当将变更、重新组建谈判小组的情况予以记录，并随采购文件一并存档。</w:t>
      </w:r>
    </w:p>
    <w:p w14:paraId="21E0F1AB">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7.6谈判小组应当对符合资格的供应商的响应性文件进行资格性审查，以确定其是否满足竞争性谈判文件的实质性要求。</w:t>
      </w:r>
    </w:p>
    <w:p w14:paraId="4DA3FED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27756B02">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8.符合性审查 </w:t>
      </w:r>
    </w:p>
    <w:p w14:paraId="5E96F5D4">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14:paraId="6061B881">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14:paraId="1FF01BA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8.3实质性响应的投标是指与谈判文件的全部条款、条件和规格相符，没有重大偏离。</w:t>
      </w:r>
    </w:p>
    <w:p w14:paraId="5962D4DA">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3F8C859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14:paraId="0CEDB5E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8.6竞争性谈判小组审定响应文件的响应性只根据响应文件本身的内容而不寻求外部证据。</w:t>
      </w:r>
    </w:p>
    <w:p w14:paraId="1667C2F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8.7竞争性谈判小组对竞争性谈判响应文件进行审查、质疑、评估和比较。</w:t>
      </w:r>
    </w:p>
    <w:p w14:paraId="25AF877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14:paraId="59EC1B12">
      <w:pPr>
        <w:widowControl/>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投标供应商在系统进行第二轮报价时，需以附件方式上传第二轮报价表电子版(PDF格式)，未提供第二轮报价表电子版（PDF）的视为无效标处理。</w:t>
      </w:r>
    </w:p>
    <w:p w14:paraId="51D768A4">
      <w:pPr>
        <w:widowControl/>
        <w:autoSpaceDE w:val="0"/>
        <w:autoSpaceDN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投标供应商的第二轮报价如高于第一轮报价，则该投标供应商的投标价以第一轮报价为准</w:t>
      </w:r>
      <w:r>
        <w:rPr>
          <w:rFonts w:hint="eastAsia" w:ascii="宋体" w:hAnsi="宋体" w:cs="宋体"/>
          <w:b/>
          <w:bCs/>
          <w:color w:val="000000" w:themeColor="text1"/>
          <w:kern w:val="0"/>
          <w:sz w:val="24"/>
          <w:highlight w:val="none"/>
          <w14:textFill>
            <w14:solidFill>
              <w14:schemeClr w14:val="tx1"/>
            </w14:solidFill>
          </w14:textFill>
        </w:rPr>
        <w:t>。</w:t>
      </w:r>
    </w:p>
    <w:p w14:paraId="4FD6330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9.根据符合采购需求报价最低，将投标报价按由低到高的顺序进行排序，推荐3名成交候选供应商。</w:t>
      </w:r>
    </w:p>
    <w:p w14:paraId="67701FA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14:paraId="537C406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11.签订合同：</w:t>
      </w:r>
      <w:r>
        <w:rPr>
          <w:rFonts w:hint="eastAsia" w:ascii="宋体" w:hAnsi="宋体" w:cs="宋体"/>
          <w:color w:val="000000" w:themeColor="text1"/>
          <w:sz w:val="24"/>
          <w:highlight w:val="none"/>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14:paraId="60BED83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12.合同签订后，采购人要在2个工作日内将采购合同在焦作市政府采购网公示并备案（签订合同时由成交人提供合同样本）；</w:t>
      </w:r>
    </w:p>
    <w:p w14:paraId="14790C4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13.在谈判期间，供应商不得向竞争性谈判小组成员询问其它供应商谈判情况，不得进行影响成交结果的活动。</w:t>
      </w:r>
    </w:p>
    <w:p w14:paraId="02D7A01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25242AC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采购小组不向未成交方解释原因，不退还响应文件。</w:t>
      </w:r>
    </w:p>
    <w:p w14:paraId="7788F6A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（三）采购成交原则</w:t>
      </w:r>
    </w:p>
    <w:p w14:paraId="5C6B0230">
      <w:pPr>
        <w:widowControl/>
        <w:numPr>
          <w:ilvl w:val="0"/>
          <w:numId w:val="5"/>
        </w:num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成交原则和方法</w:t>
      </w:r>
    </w:p>
    <w:p w14:paraId="103FDB2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 公开、公平、公正</w:t>
      </w:r>
    </w:p>
    <w:p w14:paraId="7CC760B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 技术可行，措施得当</w:t>
      </w:r>
    </w:p>
    <w:p w14:paraId="07D5A4B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 符合采购需求,价格低者优先成交。在价格同等情况下，依次按质量及服务、提供的优惠条件等进行排序，推荐3名成交候选供应商。</w:t>
      </w:r>
    </w:p>
    <w:p w14:paraId="2A1C094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2.竞争性谈判小组对每个参加采购单位的响应文件的实质内容进行比较。</w:t>
      </w:r>
    </w:p>
    <w:p w14:paraId="109C764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3.竞争性谈判小组将符合竞争性谈判文件规定的最终有效投标报价按由低到高顺序排序，推荐3名成交候选供应商。</w:t>
      </w:r>
    </w:p>
    <w:p w14:paraId="5D72764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0B31797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040E5A2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6.1对小微企业投标的扶持：(如有)</w:t>
      </w:r>
    </w:p>
    <w:p w14:paraId="35A51DF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6.1.1投标供应商为小型或微型企业时，报价给予C1的价格扣除(C1的取值为20%)，即：评标价＝投标报价(最后报价)×(1－C1)；</w:t>
      </w:r>
    </w:p>
    <w:p w14:paraId="1A7ACB5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6.1.2小微企业应当提供《中小企业声明函》(见格式)。</w:t>
      </w:r>
    </w:p>
    <w:p w14:paraId="73D6CCA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6.2按照《政府采购促进中小企业发展管理办法》有关规定，中小企业的标准为：</w:t>
      </w:r>
    </w:p>
    <w:p w14:paraId="1276D20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6.2.1提供本企业制造的货物、承担的工程或者服务，或者提供其他中小企业制造的货物，不包括提供或使用大型企业注册商标的货物；</w:t>
      </w:r>
    </w:p>
    <w:p w14:paraId="7365286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6.2.2本规定所称中小企业划分标准，是指国务院有关部门根据企业从业人员、营业收入、资产总额等指标制定的中小企业划型标准(工信部联企业[2011]300号)；</w:t>
      </w:r>
    </w:p>
    <w:p w14:paraId="0ACB853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6.2.3小型、微型企业提供有中型企业制造的货物的，视同为中型企业；小型、微型、中型企业提供有大型企业制造的货物的，视同为大型企业。</w:t>
      </w:r>
    </w:p>
    <w:p w14:paraId="3CC205E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7A69BCA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同一供应商，小微企业、监狱、残疾人福利性企业同一产品价格扣除优惠只享受一次，不得重复享受。</w:t>
      </w:r>
    </w:p>
    <w:p w14:paraId="4577E41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（四）参加竞争性谈判单位的响应文件有下列情况之一的，视为无效响应文件。</w:t>
      </w:r>
    </w:p>
    <w:p w14:paraId="2375CC2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未按竞争性谈判文件明示的规定签字或盖章的；</w:t>
      </w:r>
    </w:p>
    <w:p w14:paraId="7924C0F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响应文件的关键内容（投标报价、供货安装期、质量要求、品牌、型号等）未填写或填写字迹模糊无法辨认的；</w:t>
      </w:r>
    </w:p>
    <w:p w14:paraId="120AA4D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采购报价超出控制价的；</w:t>
      </w:r>
    </w:p>
    <w:p w14:paraId="3D61692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响应文件中对同一项目有两个或多个报价，且未声明哪一个有效的；</w:t>
      </w:r>
    </w:p>
    <w:p w14:paraId="5D0BA96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相关资格证明文件不合格的；</w:t>
      </w:r>
    </w:p>
    <w:p w14:paraId="236DA82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 响应文件中附有采购人不能接受的条件的；</w:t>
      </w:r>
    </w:p>
    <w:p w14:paraId="40D8F008">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 响应文件有明显不符合竞争性谈判文件其它要求和有关法律法规的；</w:t>
      </w:r>
    </w:p>
    <w:p w14:paraId="5D7D3327">
      <w:pPr>
        <w:widowControl/>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14:paraId="27204D9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1D4E4FD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14:paraId="6059896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10.1 不同供应商的响应性文件由同一单位或者个人编制；</w:t>
      </w:r>
    </w:p>
    <w:p w14:paraId="65F8106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10.2 不同供应商委托同一单位或者个人办理投标事宜；</w:t>
      </w:r>
    </w:p>
    <w:p w14:paraId="789A01C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10.3 不同供应商的响应性文件载明的项目管理成员或者联系人员为同一人；</w:t>
      </w:r>
    </w:p>
    <w:p w14:paraId="4744132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10.4 不同供应商的响应性文件异常一致或者投标报价呈规律性差异；</w:t>
      </w:r>
    </w:p>
    <w:p w14:paraId="199EA3F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10.5 不同供应商的响应性文件相互混装；</w:t>
      </w:r>
    </w:p>
    <w:p w14:paraId="76061A4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10.6 有证据证明供应商与采购人、采购代理机构或者其他供应商串通的其他情形；</w:t>
      </w:r>
    </w:p>
    <w:p w14:paraId="632B92F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（五）授予合同</w:t>
      </w:r>
    </w:p>
    <w:p w14:paraId="19B251A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本合同将授予经过竞争性谈判小组确认的成交单位。</w:t>
      </w:r>
    </w:p>
    <w:p w14:paraId="68F3E69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成交人应当自成交通知书发出之日起15日内，按照竞争性谈判文件和成交人的响应文件与采购单位签订合同。</w:t>
      </w:r>
    </w:p>
    <w:p w14:paraId="6FE1DDA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竞争性谈判文件、成交人的竞争性谈判文件及其澄清文件等均为签订合同的依据。</w:t>
      </w:r>
    </w:p>
    <w:p w14:paraId="4702709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合同签订后，成交人应将合同在2个工作日内将合同在焦作市政府采购网公示并备案。</w:t>
      </w:r>
    </w:p>
    <w:p w14:paraId="43A55D64">
      <w:pPr>
        <w:pStyle w:val="10"/>
        <w:ind w:firstLine="480"/>
        <w:rPr>
          <w:rFonts w:hint="eastAsia" w:ascii="宋体" w:hAnsi="宋体"/>
          <w:color w:val="000000" w:themeColor="text1"/>
          <w:kern w:val="0"/>
          <w:sz w:val="24"/>
          <w:highlight w:val="none"/>
          <w14:textFill>
            <w14:solidFill>
              <w14:schemeClr w14:val="tx1"/>
            </w14:solidFill>
          </w14:textFill>
        </w:rPr>
      </w:pPr>
    </w:p>
    <w:p w14:paraId="39FCA2B1">
      <w:pPr>
        <w:pStyle w:val="22"/>
        <w:rPr>
          <w:rFonts w:hint="eastAsia" w:ascii="宋体" w:hAnsi="宋体"/>
          <w:color w:val="000000" w:themeColor="text1"/>
          <w:highlight w:val="none"/>
          <w14:textFill>
            <w14:solidFill>
              <w14:schemeClr w14:val="tx1"/>
            </w14:solidFill>
          </w14:textFill>
        </w:rPr>
      </w:pPr>
    </w:p>
    <w:p w14:paraId="2BFA2037">
      <w:pPr>
        <w:pStyle w:val="10"/>
        <w:ind w:firstLine="480"/>
        <w:rPr>
          <w:rFonts w:hint="eastAsia" w:ascii="宋体" w:hAnsi="宋体"/>
          <w:color w:val="000000" w:themeColor="text1"/>
          <w:kern w:val="0"/>
          <w:sz w:val="24"/>
          <w:highlight w:val="none"/>
          <w14:textFill>
            <w14:solidFill>
              <w14:schemeClr w14:val="tx1"/>
            </w14:solidFill>
          </w14:textFill>
        </w:rPr>
      </w:pPr>
    </w:p>
    <w:p w14:paraId="35B2B57F">
      <w:pPr>
        <w:pStyle w:val="22"/>
        <w:rPr>
          <w:rFonts w:hint="eastAsia" w:ascii="宋体" w:hAnsi="宋体"/>
          <w:color w:val="000000" w:themeColor="text1"/>
          <w:highlight w:val="none"/>
          <w14:textFill>
            <w14:solidFill>
              <w14:schemeClr w14:val="tx1"/>
            </w14:solidFill>
          </w14:textFill>
        </w:rPr>
      </w:pPr>
    </w:p>
    <w:p w14:paraId="23E9A8F9">
      <w:pPr>
        <w:pStyle w:val="10"/>
        <w:ind w:firstLine="480"/>
        <w:rPr>
          <w:rFonts w:hint="eastAsia" w:ascii="宋体" w:hAnsi="宋体"/>
          <w:color w:val="000000" w:themeColor="text1"/>
          <w:kern w:val="0"/>
          <w:sz w:val="24"/>
          <w:highlight w:val="none"/>
          <w14:textFill>
            <w14:solidFill>
              <w14:schemeClr w14:val="tx1"/>
            </w14:solidFill>
          </w14:textFill>
        </w:rPr>
      </w:pPr>
    </w:p>
    <w:p w14:paraId="56041825">
      <w:pPr>
        <w:pStyle w:val="22"/>
        <w:rPr>
          <w:color w:val="000000" w:themeColor="text1"/>
          <w:highlight w:val="none"/>
          <w14:textFill>
            <w14:solidFill>
              <w14:schemeClr w14:val="tx1"/>
            </w14:solidFill>
          </w14:textFill>
        </w:rPr>
      </w:pPr>
    </w:p>
    <w:p w14:paraId="761F2C6A">
      <w:pPr>
        <w:rPr>
          <w:color w:val="000000" w:themeColor="text1"/>
          <w:highlight w:val="none"/>
          <w14:textFill>
            <w14:solidFill>
              <w14:schemeClr w14:val="tx1"/>
            </w14:solidFill>
          </w14:textFill>
        </w:rPr>
      </w:pPr>
      <w:bookmarkStart w:id="20" w:name="_Toc533668870"/>
      <w:bookmarkStart w:id="21" w:name="_Toc9332"/>
      <w:bookmarkStart w:id="22" w:name="_Toc2540"/>
    </w:p>
    <w:p w14:paraId="24F7CAB5">
      <w:pPr>
        <w:pStyle w:val="27"/>
        <w:rPr>
          <w:color w:val="000000" w:themeColor="text1"/>
          <w:highlight w:val="none"/>
          <w14:textFill>
            <w14:solidFill>
              <w14:schemeClr w14:val="tx1"/>
            </w14:solidFill>
          </w14:textFill>
        </w:rPr>
      </w:pPr>
    </w:p>
    <w:p w14:paraId="51284051">
      <w:pPr>
        <w:rPr>
          <w:color w:val="000000" w:themeColor="text1"/>
          <w:highlight w:val="none"/>
          <w14:textFill>
            <w14:solidFill>
              <w14:schemeClr w14:val="tx1"/>
            </w14:solidFill>
          </w14:textFill>
        </w:rPr>
      </w:pPr>
    </w:p>
    <w:p w14:paraId="103856F8">
      <w:pPr>
        <w:rPr>
          <w:color w:val="000000" w:themeColor="text1"/>
          <w:highlight w:val="none"/>
          <w14:textFill>
            <w14:solidFill>
              <w14:schemeClr w14:val="tx1"/>
            </w14:solidFill>
          </w14:textFill>
        </w:rPr>
      </w:pPr>
    </w:p>
    <w:p w14:paraId="5C6D1F04">
      <w:pPr>
        <w:rPr>
          <w:color w:val="000000" w:themeColor="text1"/>
          <w:highlight w:val="none"/>
          <w14:textFill>
            <w14:solidFill>
              <w14:schemeClr w14:val="tx1"/>
            </w14:solidFill>
          </w14:textFill>
        </w:rPr>
      </w:pPr>
    </w:p>
    <w:p w14:paraId="614BBBC3">
      <w:pPr>
        <w:rPr>
          <w:color w:val="000000" w:themeColor="text1"/>
          <w:highlight w:val="none"/>
          <w14:textFill>
            <w14:solidFill>
              <w14:schemeClr w14:val="tx1"/>
            </w14:solidFill>
          </w14:textFill>
        </w:rPr>
      </w:pPr>
    </w:p>
    <w:p w14:paraId="316F037A">
      <w:pPr>
        <w:rPr>
          <w:color w:val="000000" w:themeColor="text1"/>
          <w:highlight w:val="none"/>
          <w14:textFill>
            <w14:solidFill>
              <w14:schemeClr w14:val="tx1"/>
            </w14:solidFill>
          </w14:textFill>
        </w:rPr>
      </w:pPr>
    </w:p>
    <w:p w14:paraId="0AE53EC8">
      <w:pPr>
        <w:rPr>
          <w:color w:val="000000" w:themeColor="text1"/>
          <w:highlight w:val="none"/>
          <w14:textFill>
            <w14:solidFill>
              <w14:schemeClr w14:val="tx1"/>
            </w14:solidFill>
          </w14:textFill>
        </w:rPr>
      </w:pPr>
    </w:p>
    <w:p w14:paraId="17A641DF">
      <w:pPr>
        <w:pStyle w:val="27"/>
        <w:rPr>
          <w:color w:val="000000" w:themeColor="text1"/>
          <w:highlight w:val="none"/>
          <w14:textFill>
            <w14:solidFill>
              <w14:schemeClr w14:val="tx1"/>
            </w14:solidFill>
          </w14:textFill>
        </w:rPr>
      </w:pPr>
    </w:p>
    <w:p w14:paraId="423690D8">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23" w:name="_Toc27037"/>
      <w:r>
        <w:rPr>
          <w:rFonts w:hint="eastAsia"/>
          <w:color w:val="000000" w:themeColor="text1"/>
          <w:kern w:val="0"/>
          <w:sz w:val="28"/>
          <w:szCs w:val="28"/>
          <w:highlight w:val="none"/>
          <w14:textFill>
            <w14:solidFill>
              <w14:schemeClr w14:val="tx1"/>
            </w14:solidFill>
          </w14:textFill>
        </w:rPr>
        <w:t>第三部分 其他要求</w:t>
      </w:r>
      <w:bookmarkEnd w:id="20"/>
      <w:bookmarkEnd w:id="21"/>
      <w:bookmarkEnd w:id="22"/>
      <w:bookmarkEnd w:id="23"/>
    </w:p>
    <w:p w14:paraId="425F95F2">
      <w:pPr>
        <w:rPr>
          <w:color w:val="000000" w:themeColor="text1"/>
          <w:highlight w:val="none"/>
          <w14:textFill>
            <w14:solidFill>
              <w14:schemeClr w14:val="tx1"/>
            </w14:solidFill>
          </w14:textFill>
        </w:rPr>
      </w:pPr>
    </w:p>
    <w:p w14:paraId="680838D5">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供应商如有不清楚的地方可与采购人和代理机构联系。采购报价应包含所有费用。成交人在成交后不得以任何理由增加任何费用。</w:t>
      </w:r>
    </w:p>
    <w:p w14:paraId="1E792E01">
      <w:pPr>
        <w:rPr>
          <w:color w:val="000000" w:themeColor="text1"/>
          <w:highlight w:val="none"/>
          <w14:textFill>
            <w14:solidFill>
              <w14:schemeClr w14:val="tx1"/>
            </w14:solidFill>
          </w14:textFill>
        </w:rPr>
      </w:pPr>
    </w:p>
    <w:p w14:paraId="29E6A20C">
      <w:pPr>
        <w:rPr>
          <w:color w:val="000000" w:themeColor="text1"/>
          <w:highlight w:val="none"/>
          <w14:textFill>
            <w14:solidFill>
              <w14:schemeClr w14:val="tx1"/>
            </w14:solidFill>
          </w14:textFill>
        </w:rPr>
      </w:pPr>
    </w:p>
    <w:p w14:paraId="0FE37D5B">
      <w:pPr>
        <w:pStyle w:val="10"/>
        <w:ind w:firstLine="420"/>
        <w:rPr>
          <w:color w:val="000000" w:themeColor="text1"/>
          <w:highlight w:val="none"/>
          <w14:textFill>
            <w14:solidFill>
              <w14:schemeClr w14:val="tx1"/>
            </w14:solidFill>
          </w14:textFill>
        </w:rPr>
      </w:pPr>
    </w:p>
    <w:p w14:paraId="254CBB1E">
      <w:pPr>
        <w:pStyle w:val="22"/>
        <w:rPr>
          <w:color w:val="000000" w:themeColor="text1"/>
          <w:highlight w:val="none"/>
          <w14:textFill>
            <w14:solidFill>
              <w14:schemeClr w14:val="tx1"/>
            </w14:solidFill>
          </w14:textFill>
        </w:rPr>
      </w:pPr>
    </w:p>
    <w:p w14:paraId="0BB32413">
      <w:pPr>
        <w:rPr>
          <w:color w:val="000000" w:themeColor="text1"/>
          <w:highlight w:val="none"/>
          <w14:textFill>
            <w14:solidFill>
              <w14:schemeClr w14:val="tx1"/>
            </w14:solidFill>
          </w14:textFill>
        </w:rPr>
      </w:pPr>
    </w:p>
    <w:p w14:paraId="727BACE3">
      <w:pPr>
        <w:pStyle w:val="2"/>
        <w:spacing w:before="0" w:after="0" w:line="360" w:lineRule="auto"/>
        <w:ind w:left="439" w:leftChars="209" w:firstLine="7509" w:firstLineChars="17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0DA48551">
      <w:pPr>
        <w:pStyle w:val="2"/>
        <w:spacing w:before="0" w:after="0" w:line="360" w:lineRule="auto"/>
        <w:jc w:val="center"/>
        <w:rPr>
          <w:color w:val="000000" w:themeColor="text1"/>
          <w:kern w:val="0"/>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24" w:name="_Toc11753"/>
      <w:r>
        <w:rPr>
          <w:rFonts w:hint="eastAsia"/>
          <w:color w:val="000000" w:themeColor="text1"/>
          <w:kern w:val="0"/>
          <w:sz w:val="28"/>
          <w:szCs w:val="28"/>
          <w:highlight w:val="none"/>
          <w14:textFill>
            <w14:solidFill>
              <w14:schemeClr w14:val="tx1"/>
            </w14:solidFill>
          </w14:textFill>
        </w:rPr>
        <w:t>第四部分 质疑与投诉</w:t>
      </w:r>
      <w:bookmarkEnd w:id="24"/>
    </w:p>
    <w:p w14:paraId="7B9B29D9">
      <w:pPr>
        <w:rPr>
          <w:color w:val="000000" w:themeColor="text1"/>
          <w:highlight w:val="none"/>
          <w14:textFill>
            <w14:solidFill>
              <w14:schemeClr w14:val="tx1"/>
            </w14:solidFill>
          </w14:textFill>
        </w:rPr>
      </w:pPr>
    </w:p>
    <w:p w14:paraId="0AA1573B">
      <w:pPr>
        <w:spacing w:line="52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一、质疑与答复</w:t>
      </w:r>
    </w:p>
    <w:p w14:paraId="6A9C2D66">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0486A063">
      <w:pPr>
        <w:pStyle w:val="27"/>
        <w:spacing w:after="0" w:line="520" w:lineRule="exact"/>
        <w:ind w:left="0" w:leftChars="0"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供应商提出质疑应当提交质疑函和必要的证明材料。政府采购供应商质疑函范本下载地址：</w:t>
      </w:r>
    </w:p>
    <w:p w14:paraId="3BC3B2E2">
      <w:pPr>
        <w:pStyle w:val="27"/>
        <w:spacing w:after="0" w:line="520" w:lineRule="exact"/>
        <w:ind w:firstLine="0" w:firstLineChars="0"/>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"http://download.ccgp.gov.cn/2018/zhiyihanfanben.zip；"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sz w:val="24"/>
          <w:highlight w:val="none"/>
          <w14:textFill>
            <w14:solidFill>
              <w14:schemeClr w14:val="tx1"/>
            </w14:solidFill>
          </w14:textFill>
        </w:rPr>
        <w:t>http://download.ccgp.gov.cn/2018/zhiyihanfanben.zip；</w:t>
      </w:r>
      <w:r>
        <w:rPr>
          <w:rStyle w:val="38"/>
          <w:rFonts w:hint="eastAsia" w:ascii="宋体" w:hAnsi="宋体" w:cs="宋体"/>
          <w:color w:val="000000" w:themeColor="text1"/>
          <w:sz w:val="24"/>
          <w:highlight w:val="none"/>
          <w14:textFill>
            <w14:solidFill>
              <w14:schemeClr w14:val="tx1"/>
            </w14:solidFill>
          </w14:textFill>
        </w:rPr>
        <w:fldChar w:fldCharType="end"/>
      </w:r>
    </w:p>
    <w:p w14:paraId="5DB2556D">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1D8421D3">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1124C5A">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供应商的姓名或者名称、地址、邮编、联系人及联系电话；</w:t>
      </w:r>
    </w:p>
    <w:p w14:paraId="66081B71">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质疑项目的名称、编号；</w:t>
      </w:r>
    </w:p>
    <w:p w14:paraId="6011BCE7">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具体、明确的质疑事项和与质疑事项相关的请求；</w:t>
      </w:r>
    </w:p>
    <w:p w14:paraId="2388D79D">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p>
    <w:p w14:paraId="53C478E0">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必要的法律依据；</w:t>
      </w:r>
    </w:p>
    <w:p w14:paraId="335E1739">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提出质疑的日期；</w:t>
      </w:r>
    </w:p>
    <w:p w14:paraId="3BADA41F">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获取招标文件的凭证；</w:t>
      </w:r>
    </w:p>
    <w:p w14:paraId="0F7E1EDE">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以上资料一式二份（招标人、采购代理机构各执一份）。</w:t>
      </w:r>
    </w:p>
    <w:p w14:paraId="7472E9CF">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供应商不得虚假质疑和恶意质疑，并对质疑内容的真实性承担责任。</w:t>
      </w:r>
    </w:p>
    <w:p w14:paraId="7780AF1E">
      <w:pPr>
        <w:spacing w:line="52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二、投诉与处理</w:t>
      </w:r>
    </w:p>
    <w:p w14:paraId="1ECB1B18">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0DB31AC">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240D780A">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33C2E87B">
      <w:pPr>
        <w:pStyle w:val="26"/>
        <w:spacing w:after="0" w:line="520" w:lineRule="exact"/>
        <w:ind w:firstLineChars="200"/>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"http://download.ccgp.gov.cn/2018/tousushufanben.zip"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sz w:val="24"/>
          <w:highlight w:val="none"/>
          <w14:textFill>
            <w14:solidFill>
              <w14:schemeClr w14:val="tx1"/>
            </w14:solidFill>
          </w14:textFill>
        </w:rPr>
        <w:t>http://download.ccgp.gov.cn/2018/tousushufanben.zip</w:t>
      </w:r>
      <w:r>
        <w:rPr>
          <w:rStyle w:val="38"/>
          <w:rFonts w:hint="eastAsia" w:ascii="宋体" w:hAnsi="宋体" w:cs="宋体"/>
          <w:color w:val="000000" w:themeColor="text1"/>
          <w:sz w:val="24"/>
          <w:highlight w:val="none"/>
          <w14:textFill>
            <w14:solidFill>
              <w14:schemeClr w14:val="tx1"/>
            </w14:solidFill>
          </w14:textFill>
        </w:rPr>
        <w:fldChar w:fldCharType="end"/>
      </w:r>
    </w:p>
    <w:p w14:paraId="575D9026">
      <w:pPr>
        <w:numPr>
          <w:ilvl w:val="0"/>
          <w:numId w:val="1"/>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财政部门自收到投诉之日起30个工作日内，对投诉事项作出处理决定并公示。</w:t>
      </w:r>
    </w:p>
    <w:p w14:paraId="3B6FD700">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投诉人在全国范围12个月内三次以上投诉查无实据的，由财政部门列入不良行为记录名单。</w:t>
      </w:r>
    </w:p>
    <w:p w14:paraId="4C97E2A2">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5" w:name="_Toc28662"/>
      <w:bookmarkStart w:id="26" w:name="_Toc533668873"/>
      <w:bookmarkStart w:id="27" w:name="_Toc4037"/>
    </w:p>
    <w:p w14:paraId="79DE2D33">
      <w:pPr>
        <w:pStyle w:val="2"/>
        <w:spacing w:before="0" w:after="0" w:line="520" w:lineRule="exact"/>
        <w:rPr>
          <w:color w:val="000000" w:themeColor="text1"/>
          <w:highlight w:val="none"/>
          <w14:textFill>
            <w14:solidFill>
              <w14:schemeClr w14:val="tx1"/>
            </w14:solidFill>
          </w14:textFill>
        </w:rPr>
      </w:pPr>
    </w:p>
    <w:p w14:paraId="5B790140">
      <w:pPr>
        <w:spacing w:line="520" w:lineRule="exact"/>
        <w:rPr>
          <w:color w:val="000000" w:themeColor="text1"/>
          <w:highlight w:val="none"/>
          <w14:textFill>
            <w14:solidFill>
              <w14:schemeClr w14:val="tx1"/>
            </w14:solidFill>
          </w14:textFill>
        </w:rPr>
      </w:pPr>
    </w:p>
    <w:p w14:paraId="4C31DAAD">
      <w:pPr>
        <w:pStyle w:val="3"/>
        <w:rPr>
          <w:color w:val="000000" w:themeColor="text1"/>
          <w:highlight w:val="none"/>
          <w14:textFill>
            <w14:solidFill>
              <w14:schemeClr w14:val="tx1"/>
            </w14:solidFill>
          </w14:textFill>
        </w:rPr>
      </w:pPr>
    </w:p>
    <w:p w14:paraId="2F9F044D">
      <w:pPr>
        <w:rPr>
          <w:color w:val="000000" w:themeColor="text1"/>
          <w:highlight w:val="none"/>
          <w14:textFill>
            <w14:solidFill>
              <w14:schemeClr w14:val="tx1"/>
            </w14:solidFill>
          </w14:textFill>
        </w:rPr>
      </w:pPr>
    </w:p>
    <w:p w14:paraId="0274D591">
      <w:pPr>
        <w:rPr>
          <w:color w:val="000000" w:themeColor="text1"/>
          <w:highlight w:val="none"/>
          <w14:textFill>
            <w14:solidFill>
              <w14:schemeClr w14:val="tx1"/>
            </w14:solidFill>
          </w14:textFill>
        </w:rPr>
      </w:pPr>
    </w:p>
    <w:p w14:paraId="5731DC1D">
      <w:pPr>
        <w:rPr>
          <w:color w:val="000000" w:themeColor="text1"/>
          <w:highlight w:val="none"/>
          <w14:textFill>
            <w14:solidFill>
              <w14:schemeClr w14:val="tx1"/>
            </w14:solidFill>
          </w14:textFill>
        </w:rPr>
      </w:pPr>
    </w:p>
    <w:p w14:paraId="2ED62678">
      <w:pPr>
        <w:rPr>
          <w:color w:val="000000" w:themeColor="text1"/>
          <w:highlight w:val="none"/>
          <w14:textFill>
            <w14:solidFill>
              <w14:schemeClr w14:val="tx1"/>
            </w14:solidFill>
          </w14:textFill>
        </w:rPr>
      </w:pPr>
    </w:p>
    <w:p w14:paraId="688EA395">
      <w:pPr>
        <w:rPr>
          <w:color w:val="000000" w:themeColor="text1"/>
          <w:highlight w:val="none"/>
          <w14:textFill>
            <w14:solidFill>
              <w14:schemeClr w14:val="tx1"/>
            </w14:solidFill>
          </w14:textFill>
        </w:rPr>
      </w:pPr>
    </w:p>
    <w:p w14:paraId="43266ABD">
      <w:pPr>
        <w:rPr>
          <w:color w:val="000000" w:themeColor="text1"/>
          <w:highlight w:val="none"/>
          <w14:textFill>
            <w14:solidFill>
              <w14:schemeClr w14:val="tx1"/>
            </w14:solidFill>
          </w14:textFill>
        </w:rPr>
      </w:pPr>
    </w:p>
    <w:p w14:paraId="33D9A5CF">
      <w:pPr>
        <w:pStyle w:val="2"/>
        <w:spacing w:before="0" w:after="0" w:line="360" w:lineRule="auto"/>
        <w:ind w:left="2310"/>
        <w:rPr>
          <w:color w:val="000000" w:themeColor="text1"/>
          <w:highlight w:val="none"/>
          <w14:textFill>
            <w14:solidFill>
              <w14:schemeClr w14:val="tx1"/>
            </w14:solidFill>
          </w14:textFill>
        </w:rPr>
      </w:pPr>
    </w:p>
    <w:p w14:paraId="3FBAC52D">
      <w:pPr>
        <w:rPr>
          <w:color w:val="000000" w:themeColor="text1"/>
          <w:highlight w:val="none"/>
          <w14:textFill>
            <w14:solidFill>
              <w14:schemeClr w14:val="tx1"/>
            </w14:solidFill>
          </w14:textFill>
        </w:rPr>
      </w:pPr>
    </w:p>
    <w:p w14:paraId="7B2B140E">
      <w:pPr>
        <w:pStyle w:val="10"/>
        <w:ind w:firstLine="420"/>
        <w:rPr>
          <w:color w:val="000000" w:themeColor="text1"/>
          <w:highlight w:val="none"/>
          <w14:textFill>
            <w14:solidFill>
              <w14:schemeClr w14:val="tx1"/>
            </w14:solidFill>
          </w14:textFill>
        </w:rPr>
      </w:pPr>
    </w:p>
    <w:p w14:paraId="0A2886F4">
      <w:pPr>
        <w:pStyle w:val="2"/>
        <w:spacing w:before="0" w:after="0" w:line="360" w:lineRule="auto"/>
        <w:jc w:val="center"/>
        <w:rPr>
          <w:color w:val="000000" w:themeColor="text1"/>
          <w:kern w:val="0"/>
          <w:sz w:val="28"/>
          <w:szCs w:val="28"/>
          <w:highlight w:val="none"/>
          <w14:textFill>
            <w14:solidFill>
              <w14:schemeClr w14:val="tx1"/>
            </w14:solidFill>
          </w14:textFill>
        </w:rPr>
        <w:sectPr>
          <w:footerReference r:id="rId8" w:type="default"/>
          <w:pgSz w:w="11905" w:h="16838"/>
          <w:pgMar w:top="1440" w:right="1463" w:bottom="1440" w:left="1463" w:header="567" w:footer="998" w:gutter="0"/>
          <w:pgNumType w:start="1"/>
          <w:cols w:space="0" w:num="1"/>
          <w:docGrid w:type="lines" w:linePitch="389" w:charSpace="0"/>
        </w:sectPr>
      </w:pPr>
      <w:bookmarkStart w:id="28" w:name="_Toc2271"/>
    </w:p>
    <w:p w14:paraId="3EAD4C94">
      <w:pPr>
        <w:pStyle w:val="2"/>
        <w:spacing w:before="0" w:after="0" w:line="360" w:lineRule="auto"/>
        <w:jc w:val="center"/>
        <w:rPr>
          <w:color w:val="000000" w:themeColor="text1"/>
          <w:kern w:val="0"/>
          <w:sz w:val="28"/>
          <w:szCs w:val="28"/>
          <w:highlight w:val="none"/>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第五部分  采购内容及要求</w:t>
      </w:r>
      <w:bookmarkEnd w:id="25"/>
      <w:bookmarkEnd w:id="26"/>
      <w:bookmarkEnd w:id="27"/>
      <w:bookmarkEnd w:id="28"/>
    </w:p>
    <w:p w14:paraId="47F3DA21">
      <w:pPr>
        <w:pStyle w:val="2"/>
        <w:spacing w:before="0" w:after="0" w:line="360" w:lineRule="auto"/>
        <w:rPr>
          <w:rFonts w:hint="eastAsia" w:ascii="宋体" w:hAnsi="宋体" w:cs="宋体"/>
          <w:color w:val="000000" w:themeColor="text1"/>
          <w:sz w:val="24"/>
          <w:szCs w:val="24"/>
          <w:highlight w:val="none"/>
          <w14:textFill>
            <w14:solidFill>
              <w14:schemeClr w14:val="tx1"/>
            </w14:solidFill>
          </w14:textFill>
        </w:rPr>
      </w:pPr>
      <w:bookmarkStart w:id="29" w:name="_Toc26860"/>
      <w:r>
        <w:rPr>
          <w:rFonts w:hint="eastAsia" w:ascii="宋体" w:hAnsi="宋体" w:cs="宋体"/>
          <w:color w:val="000000" w:themeColor="text1"/>
          <w:sz w:val="24"/>
          <w:szCs w:val="24"/>
          <w:highlight w:val="none"/>
          <w14:textFill>
            <w14:solidFill>
              <w14:schemeClr w14:val="tx1"/>
            </w14:solidFill>
          </w14:textFill>
        </w:rPr>
        <w:t>技术参数要求：</w:t>
      </w:r>
      <w:bookmarkEnd w:id="29"/>
    </w:p>
    <w:p w14:paraId="7103F462">
      <w:pPr>
        <w:pStyle w:val="45"/>
        <w:framePr w:wrap="around"/>
        <w:rPr>
          <w:color w:val="000000" w:themeColor="text1"/>
          <w:highlight w:val="none"/>
          <w14:textFill>
            <w14:solidFill>
              <w14:schemeClr w14:val="tx1"/>
            </w14:solidFill>
          </w14:textFill>
        </w:rPr>
      </w:pPr>
    </w:p>
    <w:tbl>
      <w:tblPr>
        <w:tblStyle w:val="28"/>
        <w:tblW w:w="14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1283"/>
        <w:gridCol w:w="733"/>
        <w:gridCol w:w="717"/>
        <w:gridCol w:w="668"/>
      </w:tblGrid>
      <w:tr w14:paraId="46E1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7" w:type="dxa"/>
            <w:shd w:val="clear" w:color="auto" w:fill="auto"/>
            <w:noWrap/>
            <w:vAlign w:val="center"/>
          </w:tcPr>
          <w:p w14:paraId="3FC34FFC">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w:t>
            </w:r>
          </w:p>
        </w:tc>
        <w:tc>
          <w:tcPr>
            <w:tcW w:w="11283" w:type="dxa"/>
            <w:shd w:val="clear" w:color="auto" w:fill="auto"/>
            <w:vAlign w:val="center"/>
          </w:tcPr>
          <w:p w14:paraId="42E03E1B">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技术参数及要求</w:t>
            </w:r>
          </w:p>
        </w:tc>
        <w:tc>
          <w:tcPr>
            <w:tcW w:w="733" w:type="dxa"/>
            <w:shd w:val="clear" w:color="auto" w:fill="auto"/>
            <w:noWrap/>
            <w:vAlign w:val="center"/>
          </w:tcPr>
          <w:p w14:paraId="2FBB5732">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717" w:type="dxa"/>
            <w:vAlign w:val="center"/>
          </w:tcPr>
          <w:p w14:paraId="410CD44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668" w:type="dxa"/>
            <w:shd w:val="clear" w:color="auto" w:fill="auto"/>
            <w:noWrap/>
            <w:vAlign w:val="center"/>
          </w:tcPr>
          <w:p w14:paraId="2438B410">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0A4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9" w:hRule="atLeast"/>
        </w:trPr>
        <w:tc>
          <w:tcPr>
            <w:tcW w:w="897" w:type="dxa"/>
            <w:shd w:val="clear" w:color="auto" w:fill="auto"/>
            <w:noWrap/>
            <w:vAlign w:val="center"/>
          </w:tcPr>
          <w:p w14:paraId="4CB32C3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台式电脑</w:t>
            </w:r>
          </w:p>
        </w:tc>
        <w:tc>
          <w:tcPr>
            <w:tcW w:w="11283" w:type="dxa"/>
            <w:shd w:val="clear" w:color="auto" w:fill="auto"/>
          </w:tcPr>
          <w:p w14:paraId="10B4814B">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1、CPU：不低于8核2.7GHz基础主频，国产X86架构CPU</w:t>
            </w:r>
          </w:p>
          <w:p w14:paraId="77D0D403">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2、内存：不低于16GB DDR4内存，至少2个内存插槽</w:t>
            </w:r>
          </w:p>
          <w:p w14:paraId="21627905">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3、显卡：集成显卡或更高，支持VGA+HDMI视频输出显示</w:t>
            </w:r>
          </w:p>
          <w:p w14:paraId="59C96718">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4、声卡：原厂配备5.1声道声卡 ，至少提供5个音频接口</w:t>
            </w:r>
          </w:p>
          <w:p w14:paraId="1E84D8F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5、硬盘：不低于512G M.2 SSD，支持2个3.5英寸HDD硬盘扩展</w:t>
            </w:r>
          </w:p>
          <w:p w14:paraId="6985308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6、网卡：主板板载至少1个RJ45以太网口</w:t>
            </w:r>
          </w:p>
          <w:p w14:paraId="35A2D9D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7、显示器：不低于23.8英寸显示器，与主机同品牌，分辨率≥1920*1080，刷新频率≥75Hz，对比度≥3000:1，视频接口VGA+HDMI</w:t>
            </w:r>
          </w:p>
          <w:p w14:paraId="438B2B06">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8、扩展槽：主板至少提供1个PCIe x16、2个PCIe x1、1个M.2扩展插槽和2个SATA接口</w:t>
            </w:r>
          </w:p>
          <w:p w14:paraId="4CFE67EF">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9、键鼠：标配原厂防水键盘、抗菌鼠标</w:t>
            </w:r>
          </w:p>
          <w:p w14:paraId="56E62519">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10、USB接口：主板原生USB接口不少于8个(其中前置USB3.0 TYPE-A数量≥4个, 后置USB3.0接口≥2个，USB2.0接口≥2个）</w:t>
            </w:r>
          </w:p>
          <w:p w14:paraId="562A11CA">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11、电源：不高于180W节能电源</w:t>
            </w:r>
          </w:p>
          <w:p w14:paraId="26F946D4">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操作系统：出厂预装正版国产化操作系统含三年授权</w:t>
            </w:r>
          </w:p>
          <w:p w14:paraId="441F01B1">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12、机箱：不小于15L标准塔式免工具拆卸机箱，前面板标配硬盘灯和电源灯，配备顶置提手和主板报警蜂鸣器</w:t>
            </w:r>
          </w:p>
          <w:p w14:paraId="7490B27F">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13、服务：针对产品提供原厂三年质保，提供专业的7*24h远程服务支持。</w:t>
            </w:r>
          </w:p>
        </w:tc>
        <w:tc>
          <w:tcPr>
            <w:tcW w:w="733" w:type="dxa"/>
            <w:shd w:val="clear" w:color="auto" w:fill="auto"/>
            <w:noWrap/>
            <w:vAlign w:val="center"/>
          </w:tcPr>
          <w:p w14:paraId="6E1CB21D">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717" w:type="dxa"/>
            <w:vAlign w:val="center"/>
          </w:tcPr>
          <w:p w14:paraId="5DE9E5A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711C9095">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25D4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trPr>
        <w:tc>
          <w:tcPr>
            <w:tcW w:w="897" w:type="dxa"/>
            <w:shd w:val="clear" w:color="auto" w:fill="auto"/>
            <w:noWrap/>
            <w:vAlign w:val="center"/>
          </w:tcPr>
          <w:p w14:paraId="59263AD9">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台式电脑</w:t>
            </w:r>
          </w:p>
        </w:tc>
        <w:tc>
          <w:tcPr>
            <w:tcW w:w="11283" w:type="dxa"/>
            <w:shd w:val="clear" w:color="auto" w:fill="auto"/>
          </w:tcPr>
          <w:p w14:paraId="2AAC6D4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1、机箱：≥13.6L，支持全高全长扩展卡</w:t>
            </w:r>
          </w:p>
          <w:p w14:paraId="33E9EDFA">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2、处理器：配置1颗国产X86架构CPU，每颗CPU物理核心数≥8核，每颗CPU主频≥3.0GHz，所有核心智能频率可提升至≥3.3GHz，三级缓存≥16MB，支持超线程技术； </w:t>
            </w:r>
          </w:p>
          <w:p w14:paraId="305B62D8">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3、内存：配置16GB DDR4 UDIMM内存，配置≥4个内存插槽</w:t>
            </w:r>
          </w:p>
          <w:p w14:paraId="3CEBB5D6">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4、显卡：标配2G独立显卡，支持VGA+HDMI视频输出显示；</w:t>
            </w:r>
          </w:p>
          <w:p w14:paraId="39ABA384">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5、硬盘：512GB M.2接口NVME协议SSD+1T机械硬盘；</w:t>
            </w:r>
          </w:p>
          <w:p w14:paraId="08ACD174">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6、电源：电源功率≤180W； </w:t>
            </w:r>
          </w:p>
          <w:p w14:paraId="68EC021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7、网络：1个RJ45 10/100/1000自适应以太网口； </w:t>
            </w:r>
          </w:p>
          <w:p w14:paraId="411919FA">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8、接口扩展 ：1个PCIe x16，1个PCIe x4，1个PCIe x1</w:t>
            </w:r>
          </w:p>
          <w:p w14:paraId="7B065BB1">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9、扩展槽：USB接口不少于8个（其中前置USB3.0 Type A数量≥4个，后置USB3.0接口≥4个）；音频接口：前置麦克风1个，耳机1个；后端3个Audio音频接口；</w:t>
            </w:r>
          </w:p>
          <w:p w14:paraId="3DF88744">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10、易用性：免工具拆卸机箱，便于维护（不接受组装），支持键盘开机。</w:t>
            </w:r>
          </w:p>
          <w:p w14:paraId="026A2030">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11、操作系统：出厂预装正版国产化操作系统含三年授权</w:t>
            </w:r>
          </w:p>
          <w:p w14:paraId="3C6174CE">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12、显示器：配置≥23.8寸LED显示器，与主机同品牌；</w:t>
            </w:r>
          </w:p>
          <w:p w14:paraId="01CAD27E">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13、服务：针对产品提供原厂三年质保，提供专业的7*24h远程服务支持。</w:t>
            </w:r>
          </w:p>
        </w:tc>
        <w:tc>
          <w:tcPr>
            <w:tcW w:w="733" w:type="dxa"/>
            <w:shd w:val="clear" w:color="auto" w:fill="auto"/>
            <w:noWrap/>
            <w:vAlign w:val="center"/>
          </w:tcPr>
          <w:p w14:paraId="5CF9D31C">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17" w:type="dxa"/>
            <w:vAlign w:val="center"/>
          </w:tcPr>
          <w:p w14:paraId="7724C0DF">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58082AD7">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4F19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7" w:type="dxa"/>
            <w:shd w:val="clear" w:color="auto" w:fill="auto"/>
            <w:noWrap/>
            <w:vAlign w:val="center"/>
          </w:tcPr>
          <w:p w14:paraId="6E7D4E70">
            <w:pPr>
              <w:widowControl/>
              <w:jc w:val="center"/>
              <w:rPr>
                <w:rFonts w:hint="eastAsia" w:ascii="宋体" w:hAnsi="宋体" w:cs="宋体"/>
                <w:color w:val="000000" w:themeColor="text1"/>
                <w:kern w:val="0"/>
                <w:szCs w:val="21"/>
                <w:highlight w:val="none"/>
                <w14:textFill>
                  <w14:solidFill>
                    <w14:schemeClr w14:val="tx1"/>
                  </w14:solidFill>
                </w14:textFill>
              </w:rPr>
            </w:pPr>
            <w:bookmarkStart w:id="30" w:name="_Hlk192769939"/>
            <w:r>
              <w:rPr>
                <w:rFonts w:hint="eastAsia" w:ascii="宋体" w:hAnsi="宋体"/>
                <w:color w:val="000000" w:themeColor="text1"/>
                <w:szCs w:val="21"/>
                <w:highlight w:val="none"/>
                <w14:textFill>
                  <w14:solidFill>
                    <w14:schemeClr w14:val="tx1"/>
                  </w14:solidFill>
                </w14:textFill>
              </w:rPr>
              <w:t>集控管理软件</w:t>
            </w:r>
            <w:bookmarkEnd w:id="30"/>
          </w:p>
        </w:tc>
        <w:tc>
          <w:tcPr>
            <w:tcW w:w="11283" w:type="dxa"/>
            <w:shd w:val="clear" w:color="auto" w:fill="auto"/>
          </w:tcPr>
          <w:p w14:paraId="58372329">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1、支持Legacy与UEFI两种方式启动系统，支持管理双网卡、双硬盘，支持NVME、M.2新型高速固态硬盘，同时兼容新老机型部署。</w:t>
            </w:r>
          </w:p>
          <w:p w14:paraId="564CBB21">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2、可充分利用学校现有网络，支持在镜像下发时进行组内网络探测与网速传输测试，提前优化镜像下发策略，保障传输效率。</w:t>
            </w:r>
          </w:p>
          <w:p w14:paraId="58B3B5A8">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3、为方便学校进行硬件资产统计，支持收集平台中所有终端硬件配置信息，包含但不限于终端名称、主板型号、CPU型号、内存容量、最近运行时间、合计运行时间、硬件变更和记录信息等。</w:t>
            </w:r>
          </w:p>
          <w:p w14:paraId="014CD19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4、为方便学校掌握终端硬件运行情况，支持收集平台中所有终端的运行状态信息，包含但不限于终端名称、CPU温度、开机时间、硬盘信息等。（提供此功能界面截图证明）</w:t>
            </w:r>
          </w:p>
          <w:p w14:paraId="7B1236DE">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5、平台可以进行计划任务设置，可以设置固定时间、每天、每周、每月进行定时执行各种任务类型，包括开机、关机、切换模板、还原数据盘。</w:t>
            </w:r>
          </w:p>
          <w:p w14:paraId="04CFE3C1">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6、支持大数据展示，可展示包括但不限于资产统计、设备详情、开关机对比、日志、系统使用情况等信息。（提供此功能界面截图证明）</w:t>
            </w:r>
          </w:p>
          <w:p w14:paraId="366120EE">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7、支持对服务器使用的网络端口进行检测，并通过检测结果帮助管理员快速分析和解决问题。（提供此功能界面截图证明）                                            </w:t>
            </w:r>
          </w:p>
          <w:p w14:paraId="47391EAE">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8、终端支持多盘缓存模式，在终端固态盘容量小导致无法多镜像缓存时，支持固态盘和机械盘混合缓存载入，充分利用终端现有存储资源。</w:t>
            </w:r>
          </w:p>
          <w:p w14:paraId="755AD95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9、终端支持部署多操作系统：支持统信UOS、麒麟KOS、Linux、 Windows全系列。支持从管理端或客户端自主选择启动环境，且多个系统环境可快速切换。</w:t>
            </w:r>
          </w:p>
          <w:p w14:paraId="3950E088">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10、当终端无法进入系统时，支持基于Linux和Windows两种方式进行系统数据恢复。</w:t>
            </w:r>
          </w:p>
          <w:p w14:paraId="6EC29A0B">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11、支持对终端端口进行分类控制，包括但不限于控制所有USB接口、光盘驱动器接口、USB存储设备接口、打印机接口、1394接口、串并口接口、蓝牙驱动器接口等。（提供此功能界面截图证明）</w:t>
            </w:r>
          </w:p>
          <w:p w14:paraId="3A9C93A1">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12、支持复杂网络环境及跨校区部署管理，支持客户端通过网络引导、光盘引导、U盘方式部署系统，客户端可通过VLAN、跨区域、跨互联网连接服务器并下发缓存。</w:t>
            </w:r>
          </w:p>
          <w:p w14:paraId="23D8563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13、教师演示：教师可对单一、部分或全体学生进行屏幕演示，全屏、窗口方式均可。</w:t>
            </w:r>
          </w:p>
          <w:p w14:paraId="3D713854">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14、分组讨论：教师可以创建多个小组进行讨论活动，并可任意选择分组加入讨论活动。同组师生支持多种方式进行交流，包括文字，表情，图片等。</w:t>
            </w:r>
          </w:p>
          <w:p w14:paraId="3B8AC40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15、屏幕录制：教师机可以将本地的操作和讲解过程录制为ASF录像文件，可以用 Windows 自带的 Media Player 直接播放。</w:t>
            </w:r>
          </w:p>
          <w:p w14:paraId="558E643B">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16、上网限制：设定学生访问网站的黑名单或白名单，对学生可以访问的Internet站点进行管理。支持多浏览器限制，如QQ、IE、谷歌、360、遨游等浏览器。</w:t>
            </w:r>
          </w:p>
          <w:p w14:paraId="52A80DAA">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17、程序限制：通过各种策略的应用，可防止学生在教学过程中打游戏，或使用QQ，MSN等聊天工具。</w:t>
            </w:r>
          </w:p>
        </w:tc>
        <w:tc>
          <w:tcPr>
            <w:tcW w:w="733" w:type="dxa"/>
            <w:shd w:val="clear" w:color="auto" w:fill="auto"/>
            <w:noWrap/>
            <w:vAlign w:val="center"/>
          </w:tcPr>
          <w:p w14:paraId="1421119F">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717" w:type="dxa"/>
            <w:vAlign w:val="center"/>
          </w:tcPr>
          <w:p w14:paraId="53ADB297">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668" w:type="dxa"/>
            <w:shd w:val="clear" w:color="auto" w:fill="auto"/>
            <w:noWrap/>
            <w:vAlign w:val="center"/>
          </w:tcPr>
          <w:p w14:paraId="49A91CAD">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4B62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7" w:type="dxa"/>
            <w:shd w:val="clear" w:color="auto" w:fill="auto"/>
            <w:noWrap/>
            <w:vAlign w:val="center"/>
          </w:tcPr>
          <w:p w14:paraId="20F67D8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电脑桌、凳</w:t>
            </w:r>
          </w:p>
        </w:tc>
        <w:tc>
          <w:tcPr>
            <w:tcW w:w="11283" w:type="dxa"/>
            <w:shd w:val="clear" w:color="auto" w:fill="auto"/>
            <w:vAlign w:val="center"/>
          </w:tcPr>
          <w:p w14:paraId="2B3A9D47">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单人木质电脑桌，尺寸：6</w:t>
            </w:r>
            <w:r>
              <w:rPr>
                <w:rFonts w:ascii="宋体" w:hAnsi="宋体" w:cs="宋体"/>
                <w:color w:val="000000" w:themeColor="text1"/>
                <w:kern w:val="0"/>
                <w:szCs w:val="21"/>
                <w:highlight w:val="none"/>
                <w14:textFill>
                  <w14:solidFill>
                    <w14:schemeClr w14:val="tx1"/>
                  </w14:solidFill>
                </w14:textFill>
              </w:rPr>
              <w:t>00*500*750</w:t>
            </w:r>
            <w:r>
              <w:rPr>
                <w:rFonts w:hint="eastAsia" w:ascii="宋体" w:hAnsi="宋体" w:cs="宋体"/>
                <w:color w:val="000000" w:themeColor="text1"/>
                <w:kern w:val="0"/>
                <w:szCs w:val="21"/>
                <w:highlight w:val="none"/>
                <w14:textFill>
                  <w14:solidFill>
                    <w14:schemeClr w14:val="tx1"/>
                  </w14:solidFill>
                </w14:textFill>
              </w:rPr>
              <w:t>cm，凳子采用金属骨架，加厚钢材</w:t>
            </w:r>
          </w:p>
        </w:tc>
        <w:tc>
          <w:tcPr>
            <w:tcW w:w="733" w:type="dxa"/>
            <w:shd w:val="clear" w:color="auto" w:fill="auto"/>
            <w:noWrap/>
            <w:vAlign w:val="center"/>
          </w:tcPr>
          <w:p w14:paraId="02B08297">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717" w:type="dxa"/>
            <w:vAlign w:val="center"/>
          </w:tcPr>
          <w:p w14:paraId="488E8D82">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668" w:type="dxa"/>
            <w:shd w:val="clear" w:color="auto" w:fill="auto"/>
            <w:noWrap/>
            <w:vAlign w:val="center"/>
          </w:tcPr>
          <w:p w14:paraId="1FD785FA">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3DE1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7" w:type="dxa"/>
            <w:shd w:val="clear" w:color="auto" w:fill="auto"/>
            <w:noWrap/>
            <w:vAlign w:val="center"/>
          </w:tcPr>
          <w:p w14:paraId="1AA2707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电脑桌、椅</w:t>
            </w:r>
          </w:p>
        </w:tc>
        <w:tc>
          <w:tcPr>
            <w:tcW w:w="11283" w:type="dxa"/>
            <w:shd w:val="clear" w:color="auto" w:fill="auto"/>
            <w:vAlign w:val="center"/>
          </w:tcPr>
          <w:p w14:paraId="64C173F9">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木质电脑桌，尺寸：1</w:t>
            </w:r>
            <w:r>
              <w:rPr>
                <w:rFonts w:ascii="宋体" w:hAnsi="宋体" w:cs="宋体"/>
                <w:color w:val="000000" w:themeColor="text1"/>
                <w:kern w:val="0"/>
                <w:szCs w:val="21"/>
                <w:highlight w:val="none"/>
                <w14:textFill>
                  <w14:solidFill>
                    <w14:schemeClr w14:val="tx1"/>
                  </w14:solidFill>
                </w14:textFill>
              </w:rPr>
              <w:t>200*600*750cm</w:t>
            </w:r>
            <w:r>
              <w:rPr>
                <w:rFonts w:hint="eastAsia" w:ascii="宋体" w:hAnsi="宋体" w:cs="宋体"/>
                <w:color w:val="000000" w:themeColor="text1"/>
                <w:kern w:val="0"/>
                <w:szCs w:val="21"/>
                <w:highlight w:val="none"/>
                <w14:textFill>
                  <w14:solidFill>
                    <w14:schemeClr w14:val="tx1"/>
                  </w14:solidFill>
                </w14:textFill>
              </w:rPr>
              <w:t>，椅子采用钢制框架，布面填充高密度海绵，座宽</w:t>
            </w:r>
            <w:r>
              <w:rPr>
                <w:rFonts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5c</w:t>
            </w:r>
            <w:r>
              <w:rPr>
                <w:rFonts w:ascii="宋体" w:hAnsi="宋体" w:cs="宋体"/>
                <w:color w:val="000000" w:themeColor="text1"/>
                <w:kern w:val="0"/>
                <w:szCs w:val="21"/>
                <w:highlight w:val="none"/>
                <w14:textFill>
                  <w14:solidFill>
                    <w14:schemeClr w14:val="tx1"/>
                  </w14:solidFill>
                </w14:textFill>
              </w:rPr>
              <w:t>m</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座深≥4</w:t>
            </w:r>
            <w:r>
              <w:rPr>
                <w:rFonts w:hint="eastAsia" w:ascii="宋体" w:hAnsi="宋体" w:cs="宋体"/>
                <w:color w:val="000000" w:themeColor="text1"/>
                <w:kern w:val="0"/>
                <w:szCs w:val="21"/>
                <w:highlight w:val="none"/>
                <w14:textFill>
                  <w14:solidFill>
                    <w14:schemeClr w14:val="tx1"/>
                  </w14:solidFill>
                </w14:textFill>
              </w:rPr>
              <w:t>6</w:t>
            </w:r>
            <w:r>
              <w:rPr>
                <w:rFonts w:ascii="宋体" w:hAnsi="宋体" w:cs="宋体"/>
                <w:color w:val="000000" w:themeColor="text1"/>
                <w:kern w:val="0"/>
                <w:szCs w:val="21"/>
                <w:highlight w:val="none"/>
                <w14:textFill>
                  <w14:solidFill>
                    <w14:schemeClr w14:val="tx1"/>
                  </w14:solidFill>
                </w14:textFill>
              </w:rPr>
              <w:t>cm</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椅高89-99cm（可升降</w:t>
            </w:r>
            <w:r>
              <w:rPr>
                <w:rFonts w:hint="eastAsia" w:ascii="宋体" w:hAnsi="宋体" w:cs="宋体"/>
                <w:color w:val="000000" w:themeColor="text1"/>
                <w:kern w:val="0"/>
                <w:szCs w:val="21"/>
                <w:highlight w:val="none"/>
                <w14:textFill>
                  <w14:solidFill>
                    <w14:schemeClr w14:val="tx1"/>
                  </w14:solidFill>
                </w14:textFill>
              </w:rPr>
              <w:t>）</w:t>
            </w:r>
          </w:p>
        </w:tc>
        <w:tc>
          <w:tcPr>
            <w:tcW w:w="733" w:type="dxa"/>
            <w:shd w:val="clear" w:color="auto" w:fill="auto"/>
            <w:noWrap/>
            <w:vAlign w:val="center"/>
          </w:tcPr>
          <w:p w14:paraId="6C8B0320">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2C03E381">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668" w:type="dxa"/>
            <w:shd w:val="clear" w:color="auto" w:fill="auto"/>
            <w:noWrap/>
            <w:vAlign w:val="center"/>
          </w:tcPr>
          <w:p w14:paraId="2C3B8F86">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5DDE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897" w:type="dxa"/>
            <w:shd w:val="clear" w:color="auto" w:fill="auto"/>
            <w:noWrap/>
            <w:vAlign w:val="center"/>
          </w:tcPr>
          <w:p w14:paraId="7FEB5C1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交换机</w:t>
            </w:r>
          </w:p>
        </w:tc>
        <w:tc>
          <w:tcPr>
            <w:tcW w:w="11283" w:type="dxa"/>
            <w:shd w:val="clear" w:color="auto" w:fill="auto"/>
            <w:vAlign w:val="center"/>
          </w:tcPr>
          <w:p w14:paraId="0338FD6F">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1. 性能：整机交换容量≥52Gbps；转发性能≥38.7Mpps </w:t>
            </w:r>
          </w:p>
          <w:p w14:paraId="3C5F306A">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2. 端口：≥24千兆电口+2千兆光口； </w:t>
            </w:r>
          </w:p>
          <w:p w14:paraId="2AD128FB">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 MAC地址表≥8K，包缓存≥4M；</w:t>
            </w:r>
          </w:p>
          <w:p w14:paraId="351DE0D4">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4. 支持IEEE802.1P，IEEE802.1Q； </w:t>
            </w:r>
          </w:p>
          <w:p w14:paraId="5646EEF8">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 支持CPU防攻击，实现CPU保护功能，能限制非法报文对CPU的攻击，保护交换机在各种环境下稳定工作</w:t>
            </w:r>
          </w:p>
          <w:p w14:paraId="7A4A84A5">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6. 支持环路监测，风暴抑制，端口镜像等功能；</w:t>
            </w:r>
          </w:p>
          <w:p w14:paraId="17CFA501">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7. 交换模式支持存储转发模式 </w:t>
            </w:r>
          </w:p>
          <w:p w14:paraId="13F9E2F8">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8. 支持模式切换：标准交换，端口隔离，汇聚上联，网络克隆 </w:t>
            </w:r>
          </w:p>
          <w:p w14:paraId="74850222">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9. 采用共享缓存架构</w:t>
            </w:r>
          </w:p>
          <w:p w14:paraId="2DAFBB7A">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10. 100-240V AC供电，无风扇、低噪设计; </w:t>
            </w:r>
          </w:p>
        </w:tc>
        <w:tc>
          <w:tcPr>
            <w:tcW w:w="733" w:type="dxa"/>
            <w:shd w:val="clear" w:color="auto" w:fill="auto"/>
            <w:noWrap/>
            <w:vAlign w:val="center"/>
          </w:tcPr>
          <w:p w14:paraId="49B80B2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34912DE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409B33D0">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0E8D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7" w:type="dxa"/>
            <w:shd w:val="clear" w:color="auto" w:fill="auto"/>
            <w:noWrap/>
            <w:vAlign w:val="center"/>
          </w:tcPr>
          <w:p w14:paraId="3C470B72">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机柜</w:t>
            </w:r>
          </w:p>
        </w:tc>
        <w:tc>
          <w:tcPr>
            <w:tcW w:w="11283" w:type="dxa"/>
            <w:shd w:val="clear" w:color="auto" w:fill="auto"/>
            <w:vAlign w:val="center"/>
          </w:tcPr>
          <w:p w14:paraId="0C8EF8E5">
            <w:pPr>
              <w:widowControl/>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24U</w:t>
            </w:r>
            <w:r>
              <w:rPr>
                <w:rFonts w:hint="eastAsia" w:ascii="宋体" w:hAnsi="宋体" w:cs="宋体"/>
                <w:color w:val="000000" w:themeColor="text1"/>
                <w:kern w:val="0"/>
                <w:szCs w:val="21"/>
                <w:highlight w:val="none"/>
                <w14:textFill>
                  <w14:solidFill>
                    <w14:schemeClr w14:val="tx1"/>
                  </w14:solidFill>
                </w14:textFill>
              </w:rPr>
              <w:t>网络机柜，板材厚度不小于1mm</w:t>
            </w:r>
          </w:p>
        </w:tc>
        <w:tc>
          <w:tcPr>
            <w:tcW w:w="733" w:type="dxa"/>
            <w:shd w:val="clear" w:color="auto" w:fill="auto"/>
            <w:noWrap/>
            <w:vAlign w:val="center"/>
          </w:tcPr>
          <w:p w14:paraId="63EF32EB">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6A815762">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668" w:type="dxa"/>
            <w:shd w:val="clear" w:color="auto" w:fill="auto"/>
            <w:noWrap/>
            <w:vAlign w:val="center"/>
          </w:tcPr>
          <w:p w14:paraId="7F0227A9">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5763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97" w:type="dxa"/>
            <w:shd w:val="clear" w:color="auto" w:fill="auto"/>
            <w:noWrap/>
            <w:vAlign w:val="center"/>
          </w:tcPr>
          <w:p w14:paraId="60A79265">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辅材</w:t>
            </w:r>
          </w:p>
        </w:tc>
        <w:tc>
          <w:tcPr>
            <w:tcW w:w="11283" w:type="dxa"/>
            <w:shd w:val="clear" w:color="auto" w:fill="auto"/>
            <w:vAlign w:val="center"/>
          </w:tcPr>
          <w:p w14:paraId="17A81CB6">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1、六类网线、电源线材等达到国标标准，辅料等达到行业标准。2、对机房进行环境改造，根据现场布局及校方要求施工。</w:t>
            </w:r>
          </w:p>
        </w:tc>
        <w:tc>
          <w:tcPr>
            <w:tcW w:w="733" w:type="dxa"/>
            <w:shd w:val="clear" w:color="auto" w:fill="auto"/>
            <w:noWrap/>
            <w:vAlign w:val="center"/>
          </w:tcPr>
          <w:p w14:paraId="27623ACD">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7E76854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w:t>
            </w:r>
          </w:p>
        </w:tc>
        <w:tc>
          <w:tcPr>
            <w:tcW w:w="668" w:type="dxa"/>
            <w:shd w:val="clear" w:color="auto" w:fill="auto"/>
            <w:noWrap/>
            <w:vAlign w:val="center"/>
          </w:tcPr>
          <w:p w14:paraId="23E45847">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1412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2" w:hRule="atLeast"/>
        </w:trPr>
        <w:tc>
          <w:tcPr>
            <w:tcW w:w="897" w:type="dxa"/>
            <w:shd w:val="clear" w:color="auto" w:fill="auto"/>
            <w:noWrap/>
            <w:vAlign w:val="center"/>
          </w:tcPr>
          <w:p w14:paraId="15305940">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大屏</w:t>
            </w:r>
          </w:p>
        </w:tc>
        <w:tc>
          <w:tcPr>
            <w:tcW w:w="11283" w:type="dxa"/>
            <w:shd w:val="clear" w:color="auto" w:fill="auto"/>
            <w:vAlign w:val="center"/>
          </w:tcPr>
          <w:p w14:paraId="7ADC9FCC">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屏体尺寸：4</w:t>
            </w:r>
            <w:r>
              <w:rPr>
                <w:rFonts w:ascii="宋体" w:hAnsi="宋体"/>
                <w:color w:val="000000" w:themeColor="text1"/>
                <w:szCs w:val="21"/>
                <w:highlight w:val="none"/>
                <w14:textFill>
                  <w14:solidFill>
                    <w14:schemeClr w14:val="tx1"/>
                  </w14:solidFill>
                </w14:textFill>
              </w:rPr>
              <w:t>.48m*2.56</w:t>
            </w:r>
            <w:r>
              <w:rPr>
                <w:rFonts w:hint="eastAsia" w:ascii="宋体" w:hAnsi="宋体"/>
                <w:color w:val="000000" w:themeColor="text1"/>
                <w:szCs w:val="21"/>
                <w:highlight w:val="none"/>
                <w14:textFill>
                  <w14:solidFill>
                    <w14:schemeClr w14:val="tx1"/>
                  </w14:solidFill>
                </w14:textFill>
              </w:rPr>
              <w:t>m</w:t>
            </w:r>
          </w:p>
          <w:p w14:paraId="7CEB541C">
            <w:pPr>
              <w:widowControl/>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xml:space="preserve">1、像数点间距 1.5mm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2、像素密度   422500 Dots/㎡</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 xml:space="preserve">3、像素构成   1R1G1B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4、套件采用聚碳酸酯和玻璃纤维材质</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5、为确保屏体的安全性，要求LED显示屏所使用的PCB板、防火保护外壳及内部其他元器件的阻燃均达到V-0等级</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6、单元板分辨率  208*104=21632Dots</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7、供电方式   支持电源均流DC4.2V---DC4.5V供电</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 xml:space="preserve">8、亮度  ≥600cd/㎡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9、亮度均匀性 ≥98%</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10、屏幕水平视角  ≥160°</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11、屏幕垂直视角  ≥160°</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 xml:space="preserve">12、最高对比度   ≥8000：1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 xml:space="preserve">13、灰度级数 采用16Bit技术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 xml:space="preserve">14、换帧频率 ≥60Hz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15、刷新频率 ≥3840Hz</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16、色温      800-18000K可调</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 xml:space="preserve">17、人眼视觉舒适度   VICO指数≤1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18、具有防静电、防电磁干扰、防腐蚀、防霉菌、防虫、防潮、抗震动、抗雷击等功能；具有电源过压、过流、断电保护、分布上电措施、防护等级达到IP60</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19、噪声，工作时噪声满足NR-25（噪声标准曲线）要求，屏前后左右四个方向1.0米处噪音＜1.4dB（A）</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 xml:space="preserve">20、衰减率(工作3年)    ≤10％ </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21、老化稳定检测   LED显示屏通过在正常环境下168h不间断运行无故障的老化测试</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22、画面延时  ≤500ns</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23、工作温度   -40℃-80℃</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24、调试软件支持鬼影消除、首行暗亮线消除、低灰偏色补偿、十字架消除、毛毛虫消除等功能</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25、抗电强度测试，在器具输入插座端与屏正面之间施加试验电压3kv/50Hz，保持1min，不应出现飞弧和击穿现象</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26、显示屏经过辐射干扰试验，符合GB/T9254-2008  Class B限值要求</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27、显示屏经过盐雾试验</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10级</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28、显示屏经过冷热冲击试验，试验结束后，产品能正常工作</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29、光生物安全检测，8h曝辐中不造成光化学紫外危害（ES），且在2.8h内不造成对视网膜蓝光危害（LB）</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30、产品经过抗紫外线UV测试，外观无异常，</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5级</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31、灯管红墨水试验，纯红墨水常温浸泡24h，无渗透，灯管气密性良好</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32、抗震实验，显示屏通过YD 5083-2005标准抗震测试，测试结果抗震</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10级</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33、对LED显示屏进行节能对比，达到能效一级标准</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34、具备防蓝光护眼功能，蓝光辐射能量值对人眼视网膜无伤害</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35、支持手机、平板可视化控制LED大屏，切换播放内容，定制播放计划等；支持一键点屏技术，开机后自动识别系统连接，无需重置系统配置；支持联网一键下载程序文件和调试；支持手机添加LOGO、时间、日期、文字标语、滚动字幕、图片、视频窗口</w:t>
            </w:r>
            <w:r>
              <w:rPr>
                <w:rFonts w:hint="eastAsia" w:ascii="宋体" w:hAnsi="宋体" w:cs="宋体"/>
                <w:bCs/>
                <w:color w:val="000000" w:themeColor="text1"/>
                <w:kern w:val="0"/>
                <w:szCs w:val="21"/>
                <w:highlight w:val="none"/>
                <w14:textFill>
                  <w14:solidFill>
                    <w14:schemeClr w14:val="tx1"/>
                  </w14:solidFill>
                </w14:textFill>
              </w:rPr>
              <w:br w:type="textWrapping"/>
            </w:r>
            <w:r>
              <w:rPr>
                <w:rFonts w:hint="eastAsia" w:ascii="宋体" w:hAnsi="宋体" w:cs="宋体"/>
                <w:bCs/>
                <w:color w:val="000000" w:themeColor="text1"/>
                <w:kern w:val="0"/>
                <w:szCs w:val="21"/>
                <w:highlight w:val="none"/>
                <w14:textFill>
                  <w14:solidFill>
                    <w14:schemeClr w14:val="tx1"/>
                  </w14:solidFill>
                </w14:textFill>
              </w:rPr>
              <w:t>含视频处理器、接收卡、电源、框架以及辅材等</w:t>
            </w:r>
          </w:p>
        </w:tc>
        <w:tc>
          <w:tcPr>
            <w:tcW w:w="733" w:type="dxa"/>
            <w:shd w:val="clear" w:color="auto" w:fill="auto"/>
            <w:noWrap/>
            <w:vAlign w:val="center"/>
          </w:tcPr>
          <w:p w14:paraId="6B06B1E0">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7AE2DA61">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668" w:type="dxa"/>
            <w:shd w:val="clear" w:color="auto" w:fill="auto"/>
            <w:noWrap/>
            <w:vAlign w:val="center"/>
          </w:tcPr>
          <w:p w14:paraId="6BE0ACC1">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732A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7" w:type="dxa"/>
            <w:shd w:val="clear" w:color="auto" w:fill="auto"/>
            <w:noWrap/>
            <w:vAlign w:val="center"/>
          </w:tcPr>
          <w:p w14:paraId="36000ED4">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幕布</w:t>
            </w:r>
          </w:p>
        </w:tc>
        <w:tc>
          <w:tcPr>
            <w:tcW w:w="11283" w:type="dxa"/>
            <w:shd w:val="clear" w:color="auto" w:fill="auto"/>
            <w:vAlign w:val="center"/>
          </w:tcPr>
          <w:p w14:paraId="3B45A2B9">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电动幕布,根据现场情况定制，符合校方要求</w:t>
            </w:r>
          </w:p>
        </w:tc>
        <w:tc>
          <w:tcPr>
            <w:tcW w:w="733" w:type="dxa"/>
            <w:shd w:val="clear" w:color="auto" w:fill="auto"/>
            <w:noWrap/>
            <w:vAlign w:val="center"/>
          </w:tcPr>
          <w:p w14:paraId="79806686">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4DEA224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668" w:type="dxa"/>
            <w:shd w:val="clear" w:color="auto" w:fill="auto"/>
            <w:noWrap/>
            <w:vAlign w:val="center"/>
          </w:tcPr>
          <w:p w14:paraId="2A320AE2">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3F39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97" w:type="dxa"/>
            <w:shd w:val="clear" w:color="auto" w:fill="auto"/>
            <w:noWrap/>
            <w:vAlign w:val="center"/>
          </w:tcPr>
          <w:p w14:paraId="3C094C75">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主扩音箱</w:t>
            </w:r>
          </w:p>
        </w:tc>
        <w:tc>
          <w:tcPr>
            <w:tcW w:w="11283" w:type="dxa"/>
            <w:shd w:val="clear" w:color="auto" w:fill="auto"/>
            <w:vAlign w:val="center"/>
          </w:tcPr>
          <w:p w14:paraId="4BC6F859">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单12寸全频音响，单元组合:LF 1×12"HF 1×34"，低音65芯140磁，阻抗8Ω,额定功率≥300W,最大功率≥1200W,灵敏度≥94dB,声压级≥118dB（124dB) peak,@1m.频率响应:60Hz～18KHz (±3dB)，辐射角度(1KHz)(H×V):90°× 60°</w:t>
            </w:r>
          </w:p>
        </w:tc>
        <w:tc>
          <w:tcPr>
            <w:tcW w:w="733" w:type="dxa"/>
            <w:shd w:val="clear" w:color="auto" w:fill="auto"/>
            <w:noWrap/>
            <w:vAlign w:val="center"/>
          </w:tcPr>
          <w:p w14:paraId="2B3251FD">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717" w:type="dxa"/>
            <w:vAlign w:val="center"/>
          </w:tcPr>
          <w:p w14:paraId="448020B7">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668" w:type="dxa"/>
            <w:shd w:val="clear" w:color="auto" w:fill="auto"/>
            <w:noWrap/>
            <w:vAlign w:val="center"/>
          </w:tcPr>
          <w:p w14:paraId="0273E31A">
            <w:pPr>
              <w:widowControl/>
              <w:jc w:val="right"/>
              <w:rPr>
                <w:rFonts w:hint="eastAsia" w:ascii="宋体" w:hAnsi="宋体"/>
                <w:color w:val="000000" w:themeColor="text1"/>
                <w:szCs w:val="21"/>
                <w:highlight w:val="none"/>
                <w14:textFill>
                  <w14:solidFill>
                    <w14:schemeClr w14:val="tx1"/>
                  </w14:solidFill>
                </w14:textFill>
              </w:rPr>
            </w:pPr>
          </w:p>
        </w:tc>
      </w:tr>
      <w:tr w14:paraId="1F57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97" w:type="dxa"/>
            <w:shd w:val="clear" w:color="auto" w:fill="auto"/>
            <w:noWrap/>
            <w:vAlign w:val="center"/>
          </w:tcPr>
          <w:p w14:paraId="0E25697D">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功率放大器</w:t>
            </w:r>
          </w:p>
        </w:tc>
        <w:tc>
          <w:tcPr>
            <w:tcW w:w="11283" w:type="dxa"/>
            <w:shd w:val="clear" w:color="auto" w:fill="auto"/>
            <w:vAlign w:val="center"/>
          </w:tcPr>
          <w:p w14:paraId="4C4CA113">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配置莲花级联接口；</w:t>
            </w:r>
          </w:p>
          <w:p w14:paraId="32CC2660">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多种输出接口：包括纽崔克接口、旋钮式接线柱；配置短路保护按键；面板配置重力把手；</w:t>
            </w:r>
          </w:p>
          <w:p w14:paraId="5CE90DDC">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RMS(EIAJ)功率:≥2X330W@8Ω;≥2X450W@4Ω;桥接:≥1X900W@8Ω;</w:t>
            </w:r>
          </w:p>
          <w:p w14:paraId="73C59AB8">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输出连接器：2个-SPEAKON及两对接线柱；阻尼系数（1KHz）：&gt;500；失真率：0.5%,20Hz-20KHz；互调失真：-0.0035；转换速率：&gt;10V/us；频率响应：20-20KHz  +0/-1dB；信噪比：20Hz- 20kHz &gt;100dB；串扰：At 1KHz   -75dB   At 20KHz   -59dB；电平增益：32dB；输入灵敏度：0.775Vrms or 1.4Vrms；输入阻抗：非平衡10KΩ，平衡20KΩ；输入连接器：每通道一路平衡XLR及一路非平衡RCA；控制：面板：AC开关、CH!/CH2增益旋钮；背板：立体声、并联、桥接、输入灵敏度开关：0.775V或1.4V；指示灯：开启－蓝灯／保护－绿灯／压缩－黄灯／峰值－红灯／并联－黄灯；智能保护系统：防止短路、空载、开/关机噪音、无线电干扰保护电路；</w:t>
            </w:r>
          </w:p>
        </w:tc>
        <w:tc>
          <w:tcPr>
            <w:tcW w:w="733" w:type="dxa"/>
            <w:shd w:val="clear" w:color="auto" w:fill="auto"/>
            <w:noWrap/>
            <w:vAlign w:val="center"/>
          </w:tcPr>
          <w:p w14:paraId="7ECD70F6">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17" w:type="dxa"/>
            <w:vAlign w:val="center"/>
          </w:tcPr>
          <w:p w14:paraId="2A7391C4">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668" w:type="dxa"/>
            <w:shd w:val="clear" w:color="auto" w:fill="auto"/>
            <w:noWrap/>
            <w:vAlign w:val="center"/>
          </w:tcPr>
          <w:p w14:paraId="2EABE48C">
            <w:pPr>
              <w:jc w:val="right"/>
              <w:rPr>
                <w:rFonts w:hint="eastAsia" w:ascii="宋体" w:hAnsi="宋体"/>
                <w:color w:val="000000" w:themeColor="text1"/>
                <w:szCs w:val="21"/>
                <w:highlight w:val="none"/>
                <w14:textFill>
                  <w14:solidFill>
                    <w14:schemeClr w14:val="tx1"/>
                  </w14:solidFill>
                </w14:textFill>
              </w:rPr>
            </w:pPr>
          </w:p>
        </w:tc>
      </w:tr>
      <w:tr w14:paraId="1CB7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97" w:type="dxa"/>
            <w:shd w:val="clear" w:color="auto" w:fill="auto"/>
            <w:noWrap/>
            <w:vAlign w:val="center"/>
          </w:tcPr>
          <w:p w14:paraId="685C0DC2">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无线一拖二手持话筒</w:t>
            </w:r>
          </w:p>
        </w:tc>
        <w:tc>
          <w:tcPr>
            <w:tcW w:w="11283" w:type="dxa"/>
            <w:shd w:val="clear" w:color="auto" w:fill="auto"/>
            <w:vAlign w:val="center"/>
          </w:tcPr>
          <w:p w14:paraId="2E88B74D">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背光式LED显示屏指示RF和AF信号强度，电池状态，分集通道指示（A/B），频率，频率组/频道等工作状态；</w:t>
            </w:r>
          </w:p>
          <w:p w14:paraId="4DECC70F">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采用数字音码锁定技术。</w:t>
            </w:r>
          </w:p>
          <w:p w14:paraId="0F9D6C3C">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采用最新红外线自动对频（IR）技术。</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独立隐藏式系统锁键. 一键上锁。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话筒可互换使用，通用性强，全金属电镀管体。</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综 合 参 数：</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频率范围：610MHz-690MHz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信道数目: ≥200个</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信道间隔: 300KHZ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频率稳定度:±0.005%</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动态范围: 100db</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最大偏移: ±45KHZ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音频频率响应:40HZ-18KHZ(±2db)</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综合信噪比:  &gt;105db</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综合失真：≤0.5%</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接 收 机：</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中频：110MHZ. 10.7MHZ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天线接入：TNC/50Ω</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灵敏度：12dBuV(80db S/N)</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灵敏度调节范围：12-32dBuV</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杂散抑制：≥75db</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最大输出电平：+10dbv</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供电方式：直流12V 400mA输入</w:t>
            </w:r>
          </w:p>
          <w:p w14:paraId="254DEED9">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 射 机：</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输出功率：高功率30mW，低功率15mW</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音频频率响应：40~18,000Hz，（+1 dB，-3 dB）</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杂散抑制： -60db</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工作电流： 110mA/H (常规AA碱性电池可连续工作不小于20小时) </w:t>
            </w:r>
          </w:p>
        </w:tc>
        <w:tc>
          <w:tcPr>
            <w:tcW w:w="733" w:type="dxa"/>
            <w:shd w:val="clear" w:color="auto" w:fill="auto"/>
            <w:noWrap/>
            <w:vAlign w:val="center"/>
          </w:tcPr>
          <w:p w14:paraId="39D0C563">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1931368B">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套</w:t>
            </w:r>
          </w:p>
        </w:tc>
        <w:tc>
          <w:tcPr>
            <w:tcW w:w="668" w:type="dxa"/>
            <w:shd w:val="clear" w:color="auto" w:fill="auto"/>
            <w:noWrap/>
            <w:vAlign w:val="center"/>
          </w:tcPr>
          <w:p w14:paraId="1006223B">
            <w:pPr>
              <w:jc w:val="right"/>
              <w:rPr>
                <w:rFonts w:hint="eastAsia" w:ascii="宋体" w:hAnsi="宋体"/>
                <w:color w:val="000000" w:themeColor="text1"/>
                <w:szCs w:val="21"/>
                <w:highlight w:val="none"/>
                <w14:textFill>
                  <w14:solidFill>
                    <w14:schemeClr w14:val="tx1"/>
                  </w14:solidFill>
                </w14:textFill>
              </w:rPr>
            </w:pPr>
          </w:p>
        </w:tc>
      </w:tr>
      <w:tr w14:paraId="342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97" w:type="dxa"/>
            <w:shd w:val="clear" w:color="auto" w:fill="auto"/>
            <w:noWrap/>
            <w:vAlign w:val="center"/>
          </w:tcPr>
          <w:p w14:paraId="4749D753">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调音台</w:t>
            </w:r>
          </w:p>
        </w:tc>
        <w:tc>
          <w:tcPr>
            <w:tcW w:w="11283" w:type="dxa"/>
            <w:shd w:val="clear" w:color="auto" w:fill="auto"/>
            <w:vAlign w:val="center"/>
          </w:tcPr>
          <w:p w14:paraId="76D66D88">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输入≥8路，至少2个编组设有独立输出端，内置至少16种DSP效果，单独+48v幻想电源开关，MP3大屏播放器，高品质USB音乐播放器，支持无线蓝牙接收，设2个辅助发送，方便扩展设备，1个效果发送，1个返回，60mm长寿命高分析推子。</w:t>
            </w:r>
          </w:p>
        </w:tc>
        <w:tc>
          <w:tcPr>
            <w:tcW w:w="733" w:type="dxa"/>
            <w:shd w:val="clear" w:color="auto" w:fill="auto"/>
            <w:noWrap/>
            <w:vAlign w:val="center"/>
          </w:tcPr>
          <w:p w14:paraId="1B34E734">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579685D7">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668" w:type="dxa"/>
            <w:shd w:val="clear" w:color="auto" w:fill="auto"/>
            <w:noWrap/>
            <w:vAlign w:val="center"/>
          </w:tcPr>
          <w:p w14:paraId="44995BAD">
            <w:pPr>
              <w:jc w:val="right"/>
              <w:rPr>
                <w:rFonts w:hint="eastAsia" w:ascii="宋体" w:hAnsi="宋体"/>
                <w:color w:val="000000" w:themeColor="text1"/>
                <w:szCs w:val="21"/>
                <w:highlight w:val="none"/>
                <w14:textFill>
                  <w14:solidFill>
                    <w14:schemeClr w14:val="tx1"/>
                  </w14:solidFill>
                </w14:textFill>
              </w:rPr>
            </w:pPr>
          </w:p>
        </w:tc>
      </w:tr>
      <w:tr w14:paraId="0160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trPr>
        <w:tc>
          <w:tcPr>
            <w:tcW w:w="897" w:type="dxa"/>
            <w:shd w:val="clear" w:color="auto" w:fill="auto"/>
            <w:noWrap/>
            <w:vAlign w:val="center"/>
          </w:tcPr>
          <w:p w14:paraId="2804D6A9">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反馈抑制器</w:t>
            </w:r>
          </w:p>
        </w:tc>
        <w:tc>
          <w:tcPr>
            <w:tcW w:w="11283" w:type="dxa"/>
            <w:shd w:val="clear" w:color="auto" w:fill="auto"/>
            <w:vAlign w:val="center"/>
          </w:tcPr>
          <w:p w14:paraId="5CABD979">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提供内置输入自动混合器，以实现至少4路话筒输入.并自带48V幻象供电输出.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提供2.2寸彩色液晶显示屏.</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输入通道数量:至少4通道(4通道平衡输入或者选择4通道6.35非平衡输入)</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供电电压:4通道48V幻像供电</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额定电压: 220V±10% 50Hz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取样频率: 32KHz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频率响应: 125Hz~15KHz(语音模式)</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          20Hz~15KHz (音乐模式)</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失真:     &gt;0.1%@ 1KHz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信噪比:   &gt;90dB</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信号延迟: 7Ms (音乐模式)</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          11MS (语音模式)</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输入阻抗: 20K ohm</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输出阻抗:(平衡)200ohm</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温度范围: -10~55℃</w:t>
            </w:r>
          </w:p>
        </w:tc>
        <w:tc>
          <w:tcPr>
            <w:tcW w:w="733" w:type="dxa"/>
            <w:shd w:val="clear" w:color="auto" w:fill="auto"/>
            <w:noWrap/>
            <w:vAlign w:val="center"/>
          </w:tcPr>
          <w:p w14:paraId="47C2ED1E">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1C0F82E6">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668" w:type="dxa"/>
            <w:shd w:val="clear" w:color="auto" w:fill="auto"/>
            <w:noWrap/>
            <w:vAlign w:val="center"/>
          </w:tcPr>
          <w:p w14:paraId="1A1D73B8">
            <w:pPr>
              <w:jc w:val="right"/>
              <w:rPr>
                <w:rFonts w:hint="eastAsia" w:ascii="宋体" w:hAnsi="宋体"/>
                <w:color w:val="000000" w:themeColor="text1"/>
                <w:szCs w:val="21"/>
                <w:highlight w:val="none"/>
                <w14:textFill>
                  <w14:solidFill>
                    <w14:schemeClr w14:val="tx1"/>
                  </w14:solidFill>
                </w14:textFill>
              </w:rPr>
            </w:pPr>
          </w:p>
        </w:tc>
      </w:tr>
      <w:tr w14:paraId="33EC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97" w:type="dxa"/>
            <w:shd w:val="clear" w:color="auto" w:fill="auto"/>
            <w:noWrap/>
            <w:vAlign w:val="center"/>
          </w:tcPr>
          <w:p w14:paraId="7BB3DC92">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电源时序器</w:t>
            </w:r>
          </w:p>
        </w:tc>
        <w:tc>
          <w:tcPr>
            <w:tcW w:w="11283" w:type="dxa"/>
            <w:shd w:val="clear" w:color="auto" w:fill="auto"/>
            <w:vAlign w:val="center"/>
          </w:tcPr>
          <w:p w14:paraId="3E21C66D">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1、按顺序开启或关闭受控设备的电源至少8路。</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2.每通道可以单独受控。</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4.电压适应范围 交流245V—90V, 50Hz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5.具有5V工程灯，USB插口。</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6.单机工作，可级联工作，级联不小于255台。</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7.可外接线控。</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8.配置中控接口RS232，可通过RS232接口联电脑控制。 </w:t>
            </w:r>
          </w:p>
        </w:tc>
        <w:tc>
          <w:tcPr>
            <w:tcW w:w="733" w:type="dxa"/>
            <w:shd w:val="clear" w:color="auto" w:fill="auto"/>
            <w:noWrap/>
            <w:vAlign w:val="center"/>
          </w:tcPr>
          <w:p w14:paraId="30C60C81">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38DA8096">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668" w:type="dxa"/>
            <w:shd w:val="clear" w:color="auto" w:fill="auto"/>
            <w:noWrap/>
            <w:vAlign w:val="center"/>
          </w:tcPr>
          <w:p w14:paraId="3183DE86">
            <w:pPr>
              <w:jc w:val="right"/>
              <w:rPr>
                <w:rFonts w:hint="eastAsia" w:ascii="宋体" w:hAnsi="宋体"/>
                <w:color w:val="000000" w:themeColor="text1"/>
                <w:szCs w:val="21"/>
                <w:highlight w:val="none"/>
                <w14:textFill>
                  <w14:solidFill>
                    <w14:schemeClr w14:val="tx1"/>
                  </w14:solidFill>
                </w14:textFill>
              </w:rPr>
            </w:pPr>
          </w:p>
        </w:tc>
      </w:tr>
      <w:tr w14:paraId="7ABB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97" w:type="dxa"/>
            <w:shd w:val="clear" w:color="auto" w:fill="auto"/>
            <w:noWrap/>
            <w:vAlign w:val="center"/>
          </w:tcPr>
          <w:p w14:paraId="0A3C64D7">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机柜</w:t>
            </w:r>
          </w:p>
        </w:tc>
        <w:tc>
          <w:tcPr>
            <w:tcW w:w="11283" w:type="dxa"/>
            <w:shd w:val="clear" w:color="auto" w:fill="auto"/>
            <w:vAlign w:val="center"/>
          </w:tcPr>
          <w:p w14:paraId="49F54547">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航空机柜，16U三开门，黑色，表面采用PBS阻然材料，箱壁采用（10MM）进口合资板，箱内贴（10-15MM）防震防潮EVA减震材料，五金配件有:蝴蝶锁扣，（直）球包角，带刹车万向轮子及轮涡，拉手等。</w:t>
            </w:r>
          </w:p>
        </w:tc>
        <w:tc>
          <w:tcPr>
            <w:tcW w:w="733" w:type="dxa"/>
            <w:shd w:val="clear" w:color="auto" w:fill="auto"/>
            <w:noWrap/>
            <w:vAlign w:val="center"/>
          </w:tcPr>
          <w:p w14:paraId="616F7EF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0D66E98E">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个</w:t>
            </w:r>
          </w:p>
        </w:tc>
        <w:tc>
          <w:tcPr>
            <w:tcW w:w="668" w:type="dxa"/>
            <w:shd w:val="clear" w:color="auto" w:fill="auto"/>
            <w:noWrap/>
            <w:vAlign w:val="center"/>
          </w:tcPr>
          <w:p w14:paraId="401AB0EC">
            <w:pPr>
              <w:jc w:val="right"/>
              <w:rPr>
                <w:rFonts w:hint="eastAsia" w:ascii="宋体" w:hAnsi="宋体"/>
                <w:color w:val="000000" w:themeColor="text1"/>
                <w:szCs w:val="21"/>
                <w:highlight w:val="none"/>
                <w14:textFill>
                  <w14:solidFill>
                    <w14:schemeClr w14:val="tx1"/>
                  </w14:solidFill>
                </w14:textFill>
              </w:rPr>
            </w:pPr>
          </w:p>
        </w:tc>
      </w:tr>
      <w:tr w14:paraId="1A0D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97" w:type="dxa"/>
            <w:shd w:val="clear" w:color="auto" w:fill="auto"/>
            <w:noWrap/>
            <w:vAlign w:val="center"/>
          </w:tcPr>
          <w:p w14:paraId="77015988">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LED面光灯单色双色</w:t>
            </w:r>
          </w:p>
        </w:tc>
        <w:tc>
          <w:tcPr>
            <w:tcW w:w="11283" w:type="dxa"/>
            <w:shd w:val="clear" w:color="auto" w:fill="auto"/>
            <w:vAlign w:val="center"/>
          </w:tcPr>
          <w:p w14:paraId="09D4B5DD">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电压：AC90-245V AC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功率150W/200W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光源：Cob100W/200W 3200K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灯珠寿命：&gt;1000000小时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调光：0-100%线性调光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控制模式：DMX512，通道：2CH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控制面板：数码显示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外壳材料及颜色：铝合金；</w:t>
            </w:r>
          </w:p>
        </w:tc>
        <w:tc>
          <w:tcPr>
            <w:tcW w:w="733" w:type="dxa"/>
            <w:shd w:val="clear" w:color="auto" w:fill="auto"/>
            <w:noWrap/>
            <w:vAlign w:val="center"/>
          </w:tcPr>
          <w:p w14:paraId="405191B6">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717" w:type="dxa"/>
            <w:vAlign w:val="center"/>
          </w:tcPr>
          <w:p w14:paraId="144FD653">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个</w:t>
            </w:r>
          </w:p>
        </w:tc>
        <w:tc>
          <w:tcPr>
            <w:tcW w:w="668" w:type="dxa"/>
            <w:shd w:val="clear" w:color="auto" w:fill="auto"/>
            <w:noWrap/>
            <w:vAlign w:val="center"/>
          </w:tcPr>
          <w:p w14:paraId="55DDF482">
            <w:pPr>
              <w:widowControl/>
              <w:jc w:val="right"/>
              <w:rPr>
                <w:rFonts w:hint="eastAsia" w:ascii="宋体" w:hAnsi="宋体"/>
                <w:color w:val="000000" w:themeColor="text1"/>
                <w:szCs w:val="21"/>
                <w:highlight w:val="none"/>
                <w14:textFill>
                  <w14:solidFill>
                    <w14:schemeClr w14:val="tx1"/>
                  </w14:solidFill>
                </w14:textFill>
              </w:rPr>
            </w:pPr>
          </w:p>
        </w:tc>
      </w:tr>
      <w:tr w14:paraId="6975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97" w:type="dxa"/>
            <w:shd w:val="clear" w:color="auto" w:fill="auto"/>
            <w:noWrap/>
            <w:vAlign w:val="center"/>
          </w:tcPr>
          <w:p w14:paraId="1E9A5ED8">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平板会议灯</w:t>
            </w:r>
          </w:p>
        </w:tc>
        <w:tc>
          <w:tcPr>
            <w:tcW w:w="11283" w:type="dxa"/>
            <w:shd w:val="clear" w:color="auto" w:fill="auto"/>
            <w:vAlign w:val="center"/>
          </w:tcPr>
          <w:p w14:paraId="23354B21">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工作电压：100-240V AC50/60Hz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寿命：≥50000小时</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额定功率：150W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色温：3200K/5600K (±200K)  可选</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显色指数：Ra≥90</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调光：0-100%线性调光平滑无闪烁</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灯珠数量：≥256颗</w:t>
            </w:r>
          </w:p>
        </w:tc>
        <w:tc>
          <w:tcPr>
            <w:tcW w:w="733" w:type="dxa"/>
            <w:shd w:val="clear" w:color="auto" w:fill="auto"/>
            <w:noWrap/>
            <w:vAlign w:val="center"/>
          </w:tcPr>
          <w:p w14:paraId="4E8FEF7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17" w:type="dxa"/>
            <w:vAlign w:val="center"/>
          </w:tcPr>
          <w:p w14:paraId="02E307E5">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个</w:t>
            </w:r>
          </w:p>
        </w:tc>
        <w:tc>
          <w:tcPr>
            <w:tcW w:w="668" w:type="dxa"/>
            <w:shd w:val="clear" w:color="auto" w:fill="auto"/>
            <w:noWrap/>
            <w:vAlign w:val="center"/>
          </w:tcPr>
          <w:p w14:paraId="5AB2973C">
            <w:pPr>
              <w:jc w:val="right"/>
              <w:rPr>
                <w:rFonts w:hint="eastAsia" w:ascii="宋体" w:hAnsi="宋体"/>
                <w:color w:val="000000" w:themeColor="text1"/>
                <w:szCs w:val="21"/>
                <w:highlight w:val="none"/>
                <w14:textFill>
                  <w14:solidFill>
                    <w14:schemeClr w14:val="tx1"/>
                  </w14:solidFill>
                </w14:textFill>
              </w:rPr>
            </w:pPr>
          </w:p>
        </w:tc>
      </w:tr>
      <w:tr w14:paraId="25B9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97" w:type="dxa"/>
            <w:shd w:val="clear" w:color="auto" w:fill="auto"/>
            <w:noWrap/>
            <w:vAlign w:val="center"/>
          </w:tcPr>
          <w:p w14:paraId="5A66BEB7">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调光台</w:t>
            </w:r>
          </w:p>
        </w:tc>
        <w:tc>
          <w:tcPr>
            <w:tcW w:w="11283" w:type="dxa"/>
            <w:shd w:val="clear" w:color="auto" w:fill="auto"/>
            <w:vAlign w:val="center"/>
          </w:tcPr>
          <w:p w14:paraId="32AF5B02">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电源:AC 100-240V，50-60Hz</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DMX512数码输出，512DMX控制通道，2个光隔离独立驱动信号输出端口，可控制12台16通道电脑灯，1600个走灯程序步储存容量。</w:t>
            </w:r>
          </w:p>
        </w:tc>
        <w:tc>
          <w:tcPr>
            <w:tcW w:w="733" w:type="dxa"/>
            <w:shd w:val="clear" w:color="auto" w:fill="auto"/>
            <w:noWrap/>
            <w:vAlign w:val="center"/>
          </w:tcPr>
          <w:p w14:paraId="0C431E1E">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05E715D5">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668" w:type="dxa"/>
            <w:shd w:val="clear" w:color="auto" w:fill="auto"/>
            <w:noWrap/>
            <w:vAlign w:val="center"/>
          </w:tcPr>
          <w:p w14:paraId="0D3D30F3">
            <w:pPr>
              <w:jc w:val="right"/>
              <w:rPr>
                <w:rFonts w:hint="eastAsia" w:ascii="宋体" w:hAnsi="宋体"/>
                <w:color w:val="000000" w:themeColor="text1"/>
                <w:szCs w:val="21"/>
                <w:highlight w:val="none"/>
                <w14:textFill>
                  <w14:solidFill>
                    <w14:schemeClr w14:val="tx1"/>
                  </w14:solidFill>
                </w14:textFill>
              </w:rPr>
            </w:pPr>
          </w:p>
        </w:tc>
      </w:tr>
      <w:tr w14:paraId="7EE7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7" w:type="dxa"/>
            <w:shd w:val="clear" w:color="auto" w:fill="auto"/>
            <w:noWrap/>
            <w:vAlign w:val="center"/>
          </w:tcPr>
          <w:p w14:paraId="47713AAD">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灯光辅料</w:t>
            </w:r>
          </w:p>
        </w:tc>
        <w:tc>
          <w:tcPr>
            <w:tcW w:w="11283" w:type="dxa"/>
            <w:shd w:val="clear" w:color="auto" w:fill="auto"/>
            <w:vAlign w:val="center"/>
          </w:tcPr>
          <w:p w14:paraId="5DE4E2CD">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灯光阻燃线缆、信号线、灯光架子、灯钩、保险绳、设备接头、跳线、膨胀丝、电胶带等</w:t>
            </w:r>
          </w:p>
        </w:tc>
        <w:tc>
          <w:tcPr>
            <w:tcW w:w="733" w:type="dxa"/>
            <w:shd w:val="clear" w:color="auto" w:fill="auto"/>
            <w:noWrap/>
            <w:vAlign w:val="center"/>
          </w:tcPr>
          <w:p w14:paraId="30DDB827">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44EE764D">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668" w:type="dxa"/>
            <w:shd w:val="clear" w:color="auto" w:fill="auto"/>
            <w:noWrap/>
            <w:vAlign w:val="center"/>
          </w:tcPr>
          <w:p w14:paraId="0B3D426A">
            <w:pPr>
              <w:jc w:val="right"/>
              <w:rPr>
                <w:rFonts w:hint="eastAsia" w:ascii="宋体" w:hAnsi="宋体"/>
                <w:color w:val="000000" w:themeColor="text1"/>
                <w:szCs w:val="21"/>
                <w:highlight w:val="none"/>
                <w14:textFill>
                  <w14:solidFill>
                    <w14:schemeClr w14:val="tx1"/>
                  </w14:solidFill>
                </w14:textFill>
              </w:rPr>
            </w:pPr>
          </w:p>
        </w:tc>
      </w:tr>
      <w:tr w14:paraId="1D6D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97" w:type="dxa"/>
            <w:shd w:val="clear" w:color="auto" w:fill="auto"/>
            <w:vAlign w:val="center"/>
          </w:tcPr>
          <w:p w14:paraId="029C864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其他辅材</w:t>
            </w:r>
          </w:p>
        </w:tc>
        <w:tc>
          <w:tcPr>
            <w:tcW w:w="11283" w:type="dxa"/>
            <w:shd w:val="clear" w:color="auto" w:fill="auto"/>
            <w:vAlign w:val="center"/>
          </w:tcPr>
          <w:p w14:paraId="49D87476">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音响线（国标无氧铜）、音箱臂架（可灵活固定于墙上,长度可伸缩.上下角度可调.托盘为ABS材料,支架部分为钢材.牢固.承重≥50KG）、卡农线、各种接头、音频跳线等辅材。环境改善，根据现场环境布局及校方要求定制。</w:t>
            </w:r>
          </w:p>
        </w:tc>
        <w:tc>
          <w:tcPr>
            <w:tcW w:w="733" w:type="dxa"/>
            <w:shd w:val="clear" w:color="auto" w:fill="auto"/>
            <w:noWrap/>
            <w:vAlign w:val="center"/>
          </w:tcPr>
          <w:p w14:paraId="0FF8B9D3">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17" w:type="dxa"/>
            <w:vAlign w:val="center"/>
          </w:tcPr>
          <w:p w14:paraId="53FD8DCC">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w:t>
            </w:r>
          </w:p>
        </w:tc>
        <w:tc>
          <w:tcPr>
            <w:tcW w:w="668" w:type="dxa"/>
            <w:shd w:val="clear" w:color="auto" w:fill="auto"/>
            <w:noWrap/>
            <w:vAlign w:val="center"/>
          </w:tcPr>
          <w:p w14:paraId="4135A326">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0676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97" w:type="dxa"/>
            <w:shd w:val="clear" w:color="auto" w:fill="auto"/>
            <w:noWrap/>
            <w:vAlign w:val="center"/>
          </w:tcPr>
          <w:p w14:paraId="0E38C77C">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电子班牌</w:t>
            </w:r>
          </w:p>
        </w:tc>
        <w:tc>
          <w:tcPr>
            <w:tcW w:w="11283" w:type="dxa"/>
            <w:shd w:val="clear" w:color="auto" w:fill="auto"/>
            <w:vAlign w:val="center"/>
          </w:tcPr>
          <w:p w14:paraId="33498D3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1、21.5英寸云电子班牌硬件：</w:t>
            </w:r>
          </w:p>
          <w:p w14:paraId="27BBD837">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1)采用21.5英寸横屏式电容显示屏，支持10点触控，屏幕分辨率≥1920*1080，显示比例16:9；屏幕亮度≥250cd/㎡。</w:t>
            </w:r>
          </w:p>
          <w:p w14:paraId="6C629044">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2)整机采用防水防尘结构设计，适用于学校教室半户外环境，防护等级不低于IP65。（提供第三方机构出具的检测报告加盖原厂商公章）</w:t>
            </w:r>
          </w:p>
          <w:p w14:paraId="1C457C30">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3)整机背部与墙面微距全贴合，背面与平整墙面间隙最大处≤2.5mm，保障教学环境的安全性。</w:t>
            </w:r>
          </w:p>
          <w:p w14:paraId="30B9FE1A">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4)整机最大厚度不大于28.5mm。</w:t>
            </w:r>
          </w:p>
          <w:p w14:paraId="6A55FBE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5)可拍摄不低于799W像素的照片，支持不少于5人同时进行人脸识别。可支持学生无卡考勤签到、查看个人课程表、家长留言等个人信息。（提供第三方机构出具的检测报告加盖原厂商公章）</w:t>
            </w:r>
          </w:p>
          <w:p w14:paraId="7FAE435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6)内置高灵敏度的全向麦克风，拾音半径不小于0.5m，支持学生语音留言，留言内容同步发送至家长微信。（提供第三方机构出具的检测报告加盖原厂商公章）</w:t>
            </w:r>
          </w:p>
          <w:p w14:paraId="5B5AE3D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7)内置2.0立体声道功放，支持视频及家长留言的音频播放。</w:t>
            </w:r>
          </w:p>
          <w:p w14:paraId="48E434AE">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8)刷卡器：具有内置IC卡刷卡器，支持14443协议。学生可佩带相应的终端设备完成刷卡签到、查看个人信息等操作。</w:t>
            </w:r>
          </w:p>
          <w:p w14:paraId="75C5D52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9)整机具备至少一路RJ45网络接口；具备不少于2路USB 2.0接口。</w:t>
            </w:r>
          </w:p>
          <w:p w14:paraId="418FCA48">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10)整机采用内置天线设计，无任何天线外露。</w:t>
            </w:r>
          </w:p>
          <w:p w14:paraId="44500924">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11)整机支持外接门禁及串口接口。</w:t>
            </w:r>
          </w:p>
          <w:p w14:paraId="4D7B93E0">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12)整机CPU≥4核，最高主频≥1.9G，操作系统版本不低于Android 9.0。</w:t>
            </w:r>
          </w:p>
          <w:p w14:paraId="18E4E480">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13)兼容多种多媒体格式，至少支持 MPEG1、MPEG2、MPEG4、 H.263、H.264等视频格式；至少支持 MP3等音频格式；至少支持 JPG、JPEG、BMP、PNG、GIF 等图片格式。</w:t>
            </w:r>
          </w:p>
          <w:p w14:paraId="201EBA19">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2、云电子班牌应用软件： </w:t>
            </w:r>
          </w:p>
          <w:p w14:paraId="55D62261">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1)人脸识别考勤功能支持离线识别，无网络环境下班牌仍可以进行人脸识别考勤。</w:t>
            </w:r>
          </w:p>
          <w:p w14:paraId="12F1C027">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2)班牌可显示对应场地的历史考勤记录，可按日查看考勤事件的名称、考勤时间、考勤结果，考勤结果按准点、迟到、缺勤、请假等状态分类展示考勤名单，突出标识迟到或缺勤人员。</w:t>
            </w:r>
          </w:p>
          <w:p w14:paraId="5F6554A2">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3)学生考勤结果可自动推送至家长手机端，供家长查看学生考勤信息。支持考勤结束后自动推送考勤结果给班主任和任课老师，同时老师可设置关闭通知开关。</w:t>
            </w:r>
          </w:p>
          <w:p w14:paraId="4D6CBB18">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进行考勤，也可只对学生或教师单独进行考勤。</w:t>
            </w:r>
          </w:p>
          <w:p w14:paraId="5F52654D">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5)支持批量为班级颁发具备有效期限的流动红旗，获奖班级班牌界面使用荣誉班级专用主题风格。</w:t>
            </w:r>
          </w:p>
          <w:p w14:paraId="77053627">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6)班牌可连接对应场地内的网络摄像头和录播设备，在班牌即可査看教室内的上课画面，实现电子可视化巡课；可在单个班牌切换查看多个班级部署可视化巡课系统的课堂画面。</w:t>
            </w:r>
          </w:p>
          <w:p w14:paraId="1DFB67B0">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7)班牌巡课具备权限管理功能，需用户扫码验证教师后，方可使用该功能，避免无关人士使用。</w:t>
            </w:r>
          </w:p>
          <w:p w14:paraId="50C5859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8)支持班级名称更新，学年结束后管理员可一键升级全校班牌的班级名称，如“一年级一班”自动升级为“二年级一班”，管理员也可一键将毕业年级升级为毕业班。</w:t>
            </w:r>
          </w:p>
          <w:p w14:paraId="44A36DC4">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9)班牌投票：支持老师在手机端发布投票到班牌，然后学生可以在班牌端通过刷脸或刷卡进行投票表决。</w:t>
            </w:r>
          </w:p>
          <w:p w14:paraId="4CB6C59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10)支持学校管理员或班主任在微信端编辑并发起问卷，家长在微信端填写问卷（如：体温打卡）后，即可实现信息回传给学校，学校老师可以在云班后台或微信端实时查看家长提交的数据。</w:t>
            </w:r>
          </w:p>
          <w:p w14:paraId="1AC79723">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11)班牌端录入人脸识别照片：老师在班牌端扫码后，即可进入人脸照片录入界面，可依次让学生直接在班牌上拍照上传人脸识别照片。</w:t>
            </w:r>
          </w:p>
          <w:p w14:paraId="75FDECA8">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支持学生在个人空间查看每日课程表，包含上课时间、场地、任课老师等信息，支持学生在个人空间查看个人每日考勤记录，学生在班牌刷卡登录个人中心后，可以主动向家长发起语音留言，留言后家长微信可收到提醒。</w:t>
            </w:r>
          </w:p>
          <w:p w14:paraId="296CEC28">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13)班牌软件支持远程0TA静默升级。</w:t>
            </w:r>
          </w:p>
          <w:p w14:paraId="52AC8F93">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14)班牌内置电子动态二维码供用户提交反馈建议，提交反馈时会自动上报该设备的配置、运行状态等信息。</w:t>
            </w:r>
          </w:p>
          <w:p w14:paraId="410CDA76">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15)支持用户在后台直接预览班牌端当前展示内容。</w:t>
            </w:r>
          </w:p>
          <w:p w14:paraId="2525B577">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提供对本项目的售后服务承诺函，承诺原厂质保不少于三年并加盖厂家公章。</w:t>
            </w:r>
          </w:p>
        </w:tc>
        <w:tc>
          <w:tcPr>
            <w:tcW w:w="733" w:type="dxa"/>
            <w:shd w:val="clear" w:color="auto" w:fill="auto"/>
            <w:noWrap/>
            <w:vAlign w:val="center"/>
          </w:tcPr>
          <w:p w14:paraId="32AF4C7B">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17" w:type="dxa"/>
            <w:vAlign w:val="center"/>
          </w:tcPr>
          <w:p w14:paraId="0A15D1A5">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02185AF2">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096A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97" w:type="dxa"/>
            <w:shd w:val="clear" w:color="auto" w:fill="auto"/>
            <w:noWrap/>
            <w:vAlign w:val="center"/>
          </w:tcPr>
          <w:p w14:paraId="0891E031">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智慧黑板</w:t>
            </w:r>
          </w:p>
        </w:tc>
        <w:tc>
          <w:tcPr>
            <w:tcW w:w="11283" w:type="dxa"/>
            <w:shd w:val="clear" w:color="auto" w:fill="auto"/>
            <w:vAlign w:val="center"/>
          </w:tcPr>
          <w:p w14:paraId="5F5268CD">
            <w:pPr>
              <w:pStyle w:val="90"/>
              <w:numPr>
                <w:ilvl w:val="0"/>
                <w:numId w:val="6"/>
              </w:numPr>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硬件功能</w:t>
            </w:r>
          </w:p>
          <w:p w14:paraId="778B78BB">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1.整体外观尺寸：宽≥4200mm，高≥1200mm，厚≤120mm。整机采用全金属外壳，三拼接平面一体化设计，屏幕边缘采用圆角包边防护，整机背板采用金属材质。</w:t>
            </w:r>
          </w:p>
          <w:p w14:paraId="3CA38C3B">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2.无推拉式结构，外部无任何可见内部功能模块连接线。主副屏过渡平滑，中间无单独边框阻隔。</w:t>
            </w:r>
          </w:p>
          <w:p w14:paraId="6947754B">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3.整机显示屏幕采用≥86英寸液晶显示器。显示比例16:9，分辨率≥3840×2160。</w:t>
            </w:r>
          </w:p>
          <w:p w14:paraId="756BB17C">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4.嵌入式系统版本≥Android 13，内存≥2GB，存储空间≥8GB。</w:t>
            </w:r>
          </w:p>
          <w:p w14:paraId="3F84C9D3">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5.Windows系统中和Android系统中触控点数≥40点。</w:t>
            </w:r>
          </w:p>
          <w:p w14:paraId="643F6D28">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6.整机内置2.2声道扬声器，位于设备上边框，顶置朝前发声，前朝向10W高音扬声器2个，上朝向20W中低音扬声器2个，额定总功率60W。（提供检验检测中心所出具的权威检测报告复印件并加盖厂家公章）</w:t>
            </w:r>
          </w:p>
          <w:p w14:paraId="704B78A3">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7.整机内置非独立外扩展的8阵列麦克风，拾音角度≥180°，可用于对教室环境音频进行采集，拾音距离≥12m。</w:t>
            </w:r>
          </w:p>
          <w:p w14:paraId="1A5FEEA4">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8.支持标准、听力、观影和AI空间感知音效模式，AI空间感知音效模式可通过内置麦克风采集教室物理环境声音，自动生成符合当前教室物理环境的频段、音量、音效。</w:t>
            </w:r>
          </w:p>
          <w:p w14:paraId="6D52D2EE">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9.整机支持色彩空间可选，包含标准模式和sRGB模式，在sRGB模式下可做到高色准△E≤1</w:t>
            </w:r>
          </w:p>
          <w:p w14:paraId="1D72EDFF">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整机系统支持手势上滑调出人工智能画质调节模式（AI-PQ），在安卓通道下可根据屏幕内容自动调节画质参数，当屏幕出现人物、建筑、夜景等元素时，自动调整对比度、饱和度、锐利度、色调色相值、高光/阴影。（提供检验检测中心所出具的权威检测报告复印件并加盖厂家公章）</w:t>
            </w:r>
          </w:p>
          <w:p w14:paraId="5D211B17">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11.纸质护眼模式下，显示画面各像素点灰度不规则，减少背景干扰。</w:t>
            </w:r>
          </w:p>
          <w:p w14:paraId="5A1917D2">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FB3C4A9">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13.整机支持蓝牙Bluetooth 5.4标准，固件版本号HCI13.0/LMP13.0。</w:t>
            </w:r>
          </w:p>
          <w:p w14:paraId="7E8C340C">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整机支持发出频率为18kHz-22kHz超声波信号，智能手机通过麦克风接收后，智能手机与整机无需在同一局域网内，可实现配对，一键投屏，用户无需手动输入投屏码或扫码获取投屏码；（提供检验检测中心所出具的权威检测报告复印件并加盖厂家公章）</w:t>
            </w:r>
          </w:p>
          <w:p w14:paraId="63B5BA73">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15.整机内置双WiFi6无线网卡（不接受外接），在Android和Windows系统下，可实现Wi-Fi无线上网连接、AP无线热点发射。</w:t>
            </w:r>
          </w:p>
          <w:p w14:paraId="4DBEC4FD">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16.整机内置双WiFi6无线网卡（不接受外接），在Android下支持无线设备同时连接数量≥32个，在Windows系统下支持无线设备同时连接≥8个；（提供检验检测中心所出具的权威检测报告复印件并加盖厂家公章）</w:t>
            </w:r>
          </w:p>
          <w:p w14:paraId="2A97F760">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17.Wi-Fi制式支持IEEE 802.11 a/b/g/n/ac/ax；支持版本Wi-Fi6。</w:t>
            </w:r>
          </w:p>
          <w:p w14:paraId="22F9F312">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18.整机上边框内置非独立摄像头，采用一体化集成设计。（提供检验检测中心所出具的权威检测报告复印件并加盖厂家公章）</w:t>
            </w:r>
          </w:p>
          <w:p w14:paraId="69EEC12B">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19.整机上边框内置非独立的广角高清摄像头，在距离整机1.7米情况下，且拍摄范围可以覆盖摄像头垂直法线左右距离大于等于4米，可以实现人脸识别。</w:t>
            </w:r>
          </w:p>
          <w:p w14:paraId="07758157">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20.整机摄像头支持人脸识别、清点人数、随机抽人；识别所有学生，显示标记，然后随机抽选，同时显示标记不少于60人。（提供检验检测中心所出具的权威检测报告复印件并加盖厂家公章）</w:t>
            </w:r>
          </w:p>
          <w:p w14:paraId="41EF9D9A">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21.整机系统支持书写触控延迟≤25ms</w:t>
            </w:r>
          </w:p>
          <w:p w14:paraId="207E033A">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22.整机支持提笔书写，在Windows系统下可实现无需点击任意功能入口，当检测到红外笔笔尖接触屏幕时，自动进入书写模式。</w:t>
            </w:r>
          </w:p>
          <w:p w14:paraId="1D4E793A">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23.整机触摸支持动态压力感应，支持无任何电子功能的普通书写笔在整机上书写或点压时，整机能感应压力变化，书写或点压过程笔迹呈现不同粗细。</w:t>
            </w:r>
          </w:p>
          <w:p w14:paraId="668D5F8A">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24.整机具备供电保护模块，能够检测内置电脑是否插好在位，在内置电脑未在位的情况下，内置电脑无法上电工作。</w:t>
            </w:r>
          </w:p>
          <w:p w14:paraId="5897172F">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25.整机设备开机启动后，自动进入教学桌面，支持账号登录、退出，自动获取个人云端教学课件列表，并可进入全部课件列表。</w:t>
            </w:r>
          </w:p>
          <w:p w14:paraId="37614F0D">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26.整机设备教学桌面支持查看设备盘符，支持本地磁盘和外接 U 盘、移动硬盘，点击即可打开该磁盘查看磁盘文件。教学桌面支持显示存储空间状态，当存储空间即将满载时候进行红色标记明显提示。</w:t>
            </w:r>
          </w:p>
          <w:p w14:paraId="2B226B8F">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27.整机Windows通道支持文件传输应用，支持通过扫码、wifi直联、超声三种方式与手机进行握手连接，实现文件传输功能。</w:t>
            </w:r>
          </w:p>
          <w:p w14:paraId="62850B83">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29.整机设备自带地震预警软件。支持在地震预警页面中获取位置，可以手动进行位置校准。支持在地震预警页面中选择提醒阈值。支持在地震预警界面中开启和关闭地震预警服务。（提供检验检测中心所出具的权威检测报告复印件并加盖厂家公章）</w:t>
            </w:r>
          </w:p>
          <w:p w14:paraId="25179422">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30.CPU≥Intel  I5 性能配置，内存≥ 8GB DDR4。硬盘≥256GB SSD固态硬盘，和整机的连接采用万兆级接口，传输速率≥10Gbps。采用按压式卡扣，无需工具就可快速拆卸电脑模块。</w:t>
            </w:r>
          </w:p>
          <w:p w14:paraId="149A9347">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 xml:space="preserve"> 提供对本项目的售后服务承诺函，承诺原厂质保不少于三年并加盖厂家公章</w:t>
            </w:r>
            <w:r>
              <w:rPr>
                <w:rFonts w:hint="eastAsia" w:ascii="宋体" w:hAnsi="宋体"/>
                <w:color w:val="000000" w:themeColor="text1"/>
                <w:sz w:val="21"/>
                <w:szCs w:val="21"/>
                <w:highlight w:val="none"/>
                <w14:textFill>
                  <w14:solidFill>
                    <w14:schemeClr w14:val="tx1"/>
                  </w14:solidFill>
                </w14:textFill>
              </w:rPr>
              <w:t>。</w:t>
            </w:r>
          </w:p>
          <w:p w14:paraId="0910C3BE">
            <w:pPr>
              <w:pStyle w:val="9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二、多媒体课件制作展示软件功能</w:t>
            </w:r>
          </w:p>
          <w:p w14:paraId="6332054C">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1.为教师提供可扩展，易于学校管理，安全可靠的云存储空间。</w:t>
            </w:r>
          </w:p>
          <w:p w14:paraId="11021412">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2.为使用方全体教师配备个人账号，形成一体的信息化教学账号体系；根据教师账号信息将教师云空间匹配至对应学校、学科校本资源库。支持通过数字账号、微信二维码、硬件密钥方式登录教师个人账号。</w:t>
            </w:r>
          </w:p>
          <w:p w14:paraId="17C8B9C1">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3.互动教学课件支持定向精准分享：分享者可将互动课件、课件组精准推送至指定接收方账号云空间，接收方可在云空间接收并打开分享课件。</w:t>
            </w:r>
          </w:p>
          <w:p w14:paraId="0A8AD1F8">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4.接收方通过web链接或二维码的课件分享入口可预览互动课件内容并可触控课件互动元素，并能将互动课件转存至个人云空间，登陆云空间即可接收并打开互动课件。</w:t>
            </w:r>
          </w:p>
          <w:p w14:paraId="0AA5DB0F">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5.互动课件内容的编辑修改无需人为保存即可自动同步至云空间，可根据教师需要调整云空间自动同步的时间间隔，避免教学资源的损坏、遗失。</w:t>
            </w:r>
          </w:p>
          <w:p w14:paraId="17D17843">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6.编辑多份互动课件时，教师可一键将所有处于编辑状态的课件同步到互动课件云空间。</w:t>
            </w:r>
          </w:p>
          <w:p w14:paraId="59FF6374">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7.内置图片处理功能，无需借助专业图片处理软件即可对课件内的图片进行快速抠图，图片主体处理后边缘无明显毛边，且处理后的图片可直接上传至教师云空间供后续复用。</w:t>
            </w:r>
          </w:p>
          <w:p w14:paraId="35972D10">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8.具备图形自由创作工具，教师可自由绘制复杂的任意多边图形及曲边图形；教师自主创作的图形可直接在备课界面下存储至个人云空间，无需导出转存，便于后续使用。</w:t>
            </w:r>
          </w:p>
          <w:p w14:paraId="03A88314">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9.支持对音频、视频文件进行关键帧标记，可在音、视频进度条任意位置自由设置关键帧播放节点，便于快速定位讲解关键教学内容。 </w:t>
            </w:r>
          </w:p>
          <w:p w14:paraId="72B93595">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10.具备交互表格功能，课件可自由插入表格；表格支持自由输入文本，且根据文本内容可一键自动调整行列宽高；表格通过表格首行首列交接处的按键可一键精准增加行列；具备遮罩功能，授课模式点击即可取消遮罩，便于教师交互式教学</w:t>
            </w:r>
          </w:p>
          <w:p w14:paraId="4649927C">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11.提供柱状图、折线图等互动图表，每类图表预置不少于四种样式，支持图表文字、背景、透明度设置；柱状图、折线图可一键转置互换坐标轴类别；图表支持三维模式旋转展示，生动形象。</w:t>
            </w:r>
          </w:p>
          <w:p w14:paraId="0F85748B">
            <w:pPr>
              <w:pStyle w:val="44"/>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12.平面几何工具：可自由绘制线条、线段及射线；可自由绘制任意边数及角度的图形，自动显示内角角度，支持编辑内角角度对图形进行精细调整，提供具有智能吸附的辅助线工具，教师可快速自由绘制所需辅助线。同类几何体相互靠近时，可智能识别吸附。</w:t>
            </w:r>
          </w:p>
          <w:p w14:paraId="0DD4B5A4">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所有实验内容都可以支持在实验操作的过程中查看具体的实验内容简介，可查看的内容简介至少应包含：实验目的、实验器材、实验步骤等，方便老师在使用中快速了解具体实验内容，提高老师课堂教学效率。所有学科软件要求提供的实验内容模块需根据知识点分类。</w:t>
            </w:r>
          </w:p>
          <w:p w14:paraId="34491072">
            <w:pPr>
              <w:widowControl/>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14.空中课堂功能内置于交互式备授课软件中，无需额外安装部署直播软件，可实现语音直播、课件同步、互动工具等远程教学功能。</w:t>
            </w:r>
          </w:p>
        </w:tc>
        <w:tc>
          <w:tcPr>
            <w:tcW w:w="733" w:type="dxa"/>
            <w:shd w:val="clear" w:color="auto" w:fill="auto"/>
            <w:noWrap/>
            <w:vAlign w:val="center"/>
          </w:tcPr>
          <w:p w14:paraId="7208C445">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717" w:type="dxa"/>
            <w:vAlign w:val="center"/>
          </w:tcPr>
          <w:p w14:paraId="555E899F">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668" w:type="dxa"/>
            <w:shd w:val="clear" w:color="auto" w:fill="auto"/>
            <w:noWrap/>
            <w:vAlign w:val="center"/>
          </w:tcPr>
          <w:p w14:paraId="26D26AA9">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65E8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97" w:type="dxa"/>
            <w:shd w:val="clear" w:color="auto" w:fill="auto"/>
            <w:vAlign w:val="center"/>
          </w:tcPr>
          <w:p w14:paraId="51269330">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展台</w:t>
            </w:r>
          </w:p>
        </w:tc>
        <w:tc>
          <w:tcPr>
            <w:tcW w:w="11283" w:type="dxa"/>
            <w:shd w:val="clear" w:color="auto" w:fill="auto"/>
            <w:vAlign w:val="center"/>
          </w:tcPr>
          <w:p w14:paraId="4FE9872E">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1.采用≥800万像素摄像头；采用 USB五伏电源直接供电，无需额外配置电源适配器，环保无辐射；箱内USB连线采用隐藏式设计，箱内无可见连线且USB口下出，有效防止积尘，且方便布线和返修。</w:t>
            </w:r>
          </w:p>
          <w:p w14:paraId="4CF3DB62">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2.A4大小拍摄幅面，1080P动态视频预览≥30帧/秒；托板及挂墙部分采用金属加强，托板承重≥3kg，整机壁挂式安装。</w:t>
            </w:r>
          </w:p>
          <w:p w14:paraId="4234191D">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3.支持展台成像画面实时批注，预设多种笔划粗细及颜色供选择，且支持对展台成像画面联同批注内容进行同步缩放、移动。</w:t>
            </w:r>
          </w:p>
          <w:p w14:paraId="63B4578F">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4.展示托板正上方具备LED补光灯，保证展示区域的亮度及展示效果，补光灯开关采用触摸按键设计，同时可通过交互智能平板中的软件直接控制开关；</w:t>
            </w:r>
          </w:p>
          <w:p w14:paraId="188FE39D">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5.带自动对焦摄像头；外壳在摄像头部分带保护镜片密封，防止灰尘沾染摄像头。</w:t>
            </w:r>
          </w:p>
          <w:p w14:paraId="631BCFA1">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6.具有故障自动检测功能：在调用展台却无法出现镜头采集画面信号时，可自动出现检测链接，并给出导致性原因（如硬件连接、摄像头占用、配套软件版本等问题）。</w:t>
            </w:r>
          </w:p>
          <w:p w14:paraId="3CF94C46">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7.支持对展台画面进行放大、缩小、旋转、自适应、冻结画面等操作。</w:t>
            </w:r>
          </w:p>
          <w:p w14:paraId="42EFEBC7">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8.支持展台画面实时批注，预设多种笔划粗细及颜色供选择，且支持对展台画面联同批注内容进行同步缩放、移动。</w:t>
            </w:r>
          </w:p>
          <w:p w14:paraId="0934FCAD">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9.支持展台画面拍照截图并进行多图预览，可对任一图片进行全屏显示。</w:t>
            </w:r>
          </w:p>
          <w:p w14:paraId="50CE21FC">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10.具备图像增强功能，可自动裁剪背景并增强文字显示，使文档画面更清晰。</w:t>
            </w:r>
          </w:p>
          <w:p w14:paraId="0EFA8FAD">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11.支持故障自动检测，在软件无法出现展台拍摄画面时，自动出现检测链接，帮助用户检测“无画面”的原因，并给出引导性解决方案。可判断硬件连接、显卡驱动、摄像头占用、软件版本等问题。</w:t>
            </w:r>
          </w:p>
        </w:tc>
        <w:tc>
          <w:tcPr>
            <w:tcW w:w="733" w:type="dxa"/>
            <w:shd w:val="clear" w:color="auto" w:fill="auto"/>
            <w:noWrap/>
            <w:vAlign w:val="center"/>
          </w:tcPr>
          <w:p w14:paraId="3D668C21">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17" w:type="dxa"/>
            <w:vAlign w:val="center"/>
          </w:tcPr>
          <w:p w14:paraId="221AB53E">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75A7CA89">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4A18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97" w:type="dxa"/>
            <w:shd w:val="clear" w:color="auto" w:fill="auto"/>
            <w:vAlign w:val="center"/>
          </w:tcPr>
          <w:p w14:paraId="189435D4">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智能笔</w:t>
            </w:r>
          </w:p>
        </w:tc>
        <w:tc>
          <w:tcPr>
            <w:tcW w:w="11283" w:type="dxa"/>
            <w:shd w:val="clear" w:color="auto" w:fill="auto"/>
            <w:vAlign w:val="center"/>
          </w:tcPr>
          <w:p w14:paraId="08E1CC87">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1.笔身造型采用圆润一体化笔型设计，表面采用手感漆工艺便于握持；笔身长度≤17cm,笔身直径≤13mm，笔身重量≤18g。</w:t>
            </w:r>
          </w:p>
          <w:p w14:paraId="59700798">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2.笔身配置不少于五个按键，具备上下翻页，智能语音，远程聚光灯/放大，书写颜色切换，兼顾触摸书写以及远程操控的握持姿态；</w:t>
            </w:r>
          </w:p>
          <w:p w14:paraId="39E04708">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3.采用锥型笔尖设计，直径≤3mm；同时支持电容，红外触控设备书写，书写最小精度2mm；</w:t>
            </w:r>
          </w:p>
          <w:p w14:paraId="6C11DE90">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4.连续书写距离不小于7km；</w:t>
            </w:r>
          </w:p>
          <w:p w14:paraId="0494204B">
            <w:pPr>
              <w:widowControl/>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5.短按上下翻页按键，可实现白板软件/ppt/pdf等文档上下翻页；长按上下翻页按键3s，可实现ppt播放/退出；</w:t>
            </w:r>
          </w:p>
        </w:tc>
        <w:tc>
          <w:tcPr>
            <w:tcW w:w="733" w:type="dxa"/>
            <w:shd w:val="clear" w:color="auto" w:fill="auto"/>
            <w:noWrap/>
            <w:vAlign w:val="center"/>
          </w:tcPr>
          <w:p w14:paraId="41A798F7">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717" w:type="dxa"/>
            <w:vAlign w:val="center"/>
          </w:tcPr>
          <w:p w14:paraId="55A40CA7">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668" w:type="dxa"/>
            <w:shd w:val="clear" w:color="auto" w:fill="auto"/>
            <w:noWrap/>
            <w:vAlign w:val="center"/>
          </w:tcPr>
          <w:p w14:paraId="1186431B">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26D5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97" w:type="dxa"/>
            <w:shd w:val="clear" w:color="auto" w:fill="auto"/>
            <w:noWrap/>
            <w:vAlign w:val="center"/>
          </w:tcPr>
          <w:p w14:paraId="26738BFC">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笔记本电脑</w:t>
            </w:r>
          </w:p>
        </w:tc>
        <w:tc>
          <w:tcPr>
            <w:tcW w:w="11283" w:type="dxa"/>
            <w:shd w:val="clear" w:color="auto" w:fill="auto"/>
          </w:tcPr>
          <w:p w14:paraId="39CE0B4E">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1、处理器：核数：≥12核,主频：≥2.2GHz 缓存：≥ 18MB缓存</w:t>
            </w:r>
          </w:p>
          <w:p w14:paraId="30947120">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2、内存：≥16G DDR5 内存，标配双内存插槽</w:t>
            </w:r>
          </w:p>
          <w:p w14:paraId="49C49E88">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3、硬盘：1TB M.2 PCIe NVME SSD硬盘  </w:t>
            </w:r>
          </w:p>
          <w:p w14:paraId="1702B34E">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4、显示屏：≥15” LED雾面防眩光液晶显示屏（1920x1200）， 配置合金转轴，屏幕180度开合平放 </w:t>
            </w:r>
          </w:p>
          <w:p w14:paraId="5DA58064">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5、显卡：集成显卡</w:t>
            </w:r>
          </w:p>
          <w:p w14:paraId="313B59FD">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6、网卡：802.11 AX无线网卡（支持WIFI6协议，蓝牙5.0协议）</w:t>
            </w:r>
          </w:p>
          <w:p w14:paraId="4CF81AB2">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7、键盘：防泼溅键盘</w:t>
            </w:r>
          </w:p>
          <w:p w14:paraId="65250C0F">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8、定位设备：多点触控触摸板</w:t>
            </w:r>
          </w:p>
          <w:p w14:paraId="594C7CC8">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9、摄像头：720P高清摄像头 ，支持物理防窥功能，保护个人隐私</w:t>
            </w:r>
          </w:p>
          <w:p w14:paraId="665BDC9F">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10、接口：2个USB-C 3.2 G2接口（其中1个支持雷电4协议）、2个USB-A 3.2 G1接口（其中1个支持PowerUSB）、HDMI2.0接口、耳麦二合一接口、RJ45接口</w:t>
            </w:r>
          </w:p>
          <w:p w14:paraId="6D2BA30A">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11、电池：内置≥45WHr以上锂电池 </w:t>
            </w:r>
          </w:p>
          <w:p w14:paraId="3E1AAA53">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12、重量≤1</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75KG（含电池），厚度≤17mm</w:t>
            </w:r>
          </w:p>
          <w:p w14:paraId="2004F704">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13、操作系统：配置 Windows 正版操作系统 </w:t>
            </w:r>
          </w:p>
          <w:p w14:paraId="79850527">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14、机壳：笔记本顶盖和底壳为铝合金材质</w:t>
            </w:r>
          </w:p>
          <w:p w14:paraId="7F23ABEA">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15、服务：原厂标准保修</w:t>
            </w:r>
          </w:p>
        </w:tc>
        <w:tc>
          <w:tcPr>
            <w:tcW w:w="733" w:type="dxa"/>
            <w:shd w:val="clear" w:color="auto" w:fill="auto"/>
            <w:noWrap/>
            <w:vAlign w:val="center"/>
          </w:tcPr>
          <w:p w14:paraId="16872EDD">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17" w:type="dxa"/>
            <w:vAlign w:val="center"/>
          </w:tcPr>
          <w:p w14:paraId="5B1D9BB1">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19EAB31D">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1D2E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97" w:type="dxa"/>
            <w:shd w:val="clear" w:color="auto" w:fill="auto"/>
            <w:noWrap/>
            <w:vAlign w:val="center"/>
          </w:tcPr>
          <w:p w14:paraId="6A0F620C">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多功能一体机</w:t>
            </w:r>
          </w:p>
        </w:tc>
        <w:tc>
          <w:tcPr>
            <w:tcW w:w="11283" w:type="dxa"/>
            <w:shd w:val="clear" w:color="auto" w:fill="auto"/>
          </w:tcPr>
          <w:p w14:paraId="6B315DA5">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1、产品速度：≥33ppm(A4) ≥35ppm(Letter) </w:t>
            </w:r>
          </w:p>
          <w:p w14:paraId="5FE2635F">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58ppm（A5 长边）</w:t>
            </w:r>
          </w:p>
          <w:p w14:paraId="0B0B2B0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2、分辨率：物理分辨率：≥600*600dpi;软件增强分辨率：≥1200*600dpi</w:t>
            </w:r>
          </w:p>
          <w:p w14:paraId="467E542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3、内存容量：≥256MB</w:t>
            </w:r>
          </w:p>
          <w:p w14:paraId="776F473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4、处理器：≥800MHz</w:t>
            </w:r>
          </w:p>
          <w:p w14:paraId="030CDEA8">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5、首页打印时间：≤5.3秒</w:t>
            </w:r>
          </w:p>
          <w:p w14:paraId="1FC6914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6、功能：打印自动双面、复印、扫描、定影清洁、卡纸强排、适配文印管理系统 </w:t>
            </w:r>
          </w:p>
          <w:p w14:paraId="1FC0E848">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7、复印功能：身份证复印、票据复印、多页合一复印、克隆复印、海报复印、手动双面复印、逐份复印</w:t>
            </w:r>
          </w:p>
          <w:p w14:paraId="469BCA34">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8、扫描：平板+ADF（≥50页） </w:t>
            </w:r>
          </w:p>
          <w:p w14:paraId="61A901A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9、扫描输出功能：扫描到PC、邮件、FTP、U盘 </w:t>
            </w:r>
          </w:p>
          <w:p w14:paraId="2BB08E6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10、纸盒输入：自动纸盒：≥250页；手动进纸器：≥1页</w:t>
            </w:r>
          </w:p>
          <w:p w14:paraId="2F53C42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11、介质重量：自动纸盒：60-105g/㎡ 手动进纸盘：60-200g/㎡</w:t>
            </w:r>
          </w:p>
          <w:p w14:paraId="3B98277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12、接口：高速 USB 2.0 ; 有线网络：IEEE 802.3 10/100Base-Tx</w:t>
            </w:r>
          </w:p>
          <w:p w14:paraId="572ED546">
            <w:pP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r>
              <w:rPr>
                <w:rFonts w:hint="eastAsia" w:ascii="宋体" w:hAnsi="宋体" w:cs="微软雅黑"/>
                <w:color w:val="000000" w:themeColor="text1"/>
                <w:szCs w:val="21"/>
                <w:highlight w:val="none"/>
                <w14:textFill>
                  <w14:solidFill>
                    <w14:schemeClr w14:val="tx1"/>
                  </w14:solidFill>
                </w14:textFill>
              </w:rPr>
              <w:t>打印语言：PCL5e、PCL6、PS、PDF</w:t>
            </w:r>
          </w:p>
          <w:p w14:paraId="3AB8BE7D">
            <w:pP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14、最大月打印量：</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80000页</w:t>
            </w:r>
          </w:p>
          <w:p w14:paraId="5C709601">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15、鼓粉分离 鼓组件：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25000页  粉盒：</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6000页</w:t>
            </w:r>
          </w:p>
        </w:tc>
        <w:tc>
          <w:tcPr>
            <w:tcW w:w="733" w:type="dxa"/>
            <w:shd w:val="clear" w:color="auto" w:fill="auto"/>
            <w:noWrap/>
            <w:vAlign w:val="center"/>
          </w:tcPr>
          <w:p w14:paraId="663780F9">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17" w:type="dxa"/>
            <w:vAlign w:val="center"/>
          </w:tcPr>
          <w:p w14:paraId="7A5BBDC6">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2C8C55A8">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00E2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97" w:type="dxa"/>
            <w:shd w:val="clear" w:color="auto" w:fill="auto"/>
            <w:noWrap/>
            <w:vAlign w:val="center"/>
          </w:tcPr>
          <w:p w14:paraId="0E167A7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智能屏</w:t>
            </w:r>
          </w:p>
        </w:tc>
        <w:tc>
          <w:tcPr>
            <w:tcW w:w="11283" w:type="dxa"/>
            <w:shd w:val="clear" w:color="auto" w:fill="auto"/>
            <w:vAlign w:val="center"/>
          </w:tcPr>
          <w:p w14:paraId="0F650173">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全语音操控，支持视频通话，屏幕：类纸屏，尺寸</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0.1</w:t>
            </w:r>
            <w:r>
              <w:rPr>
                <w:rFonts w:hint="eastAsia" w:ascii="宋体" w:hAnsi="宋体"/>
                <w:color w:val="000000" w:themeColor="text1"/>
                <w:szCs w:val="21"/>
                <w:highlight w:val="none"/>
                <w14:textFill>
                  <w14:solidFill>
                    <w14:schemeClr w14:val="tx1"/>
                  </w14:solidFill>
                </w14:textFill>
              </w:rPr>
              <w:t>英寸，支持多点触控，分辨率≥1</w:t>
            </w:r>
            <w:r>
              <w:rPr>
                <w:rFonts w:ascii="宋体" w:hAnsi="宋体"/>
                <w:color w:val="000000" w:themeColor="text1"/>
                <w:szCs w:val="21"/>
                <w:highlight w:val="none"/>
                <w14:textFill>
                  <w14:solidFill>
                    <w14:schemeClr w14:val="tx1"/>
                  </w14:solidFill>
                </w14:textFill>
              </w:rPr>
              <w:t>280*800</w:t>
            </w:r>
            <w:r>
              <w:rPr>
                <w:rFonts w:hint="eastAsia" w:ascii="宋体" w:hAnsi="宋体"/>
                <w:color w:val="000000" w:themeColor="text1"/>
                <w:szCs w:val="21"/>
                <w:highlight w:val="none"/>
                <w14:textFill>
                  <w14:solidFill>
                    <w14:schemeClr w14:val="tx1"/>
                  </w14:solidFill>
                </w14:textFill>
              </w:rPr>
              <w:t>，存储≥</w:t>
            </w:r>
            <w:r>
              <w:rPr>
                <w:rFonts w:ascii="宋体" w:hAnsi="宋体"/>
                <w:color w:val="000000" w:themeColor="text1"/>
                <w:szCs w:val="21"/>
                <w:highlight w:val="none"/>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G，麦克风≥2颗线性阵列，扬声器≥8W，支持</w:t>
            </w:r>
            <w:r>
              <w:rPr>
                <w:rFonts w:ascii="宋体" w:hAnsi="宋体"/>
                <w:color w:val="000000" w:themeColor="text1"/>
                <w:szCs w:val="21"/>
                <w:highlight w:val="none"/>
                <w14:textFill>
                  <w14:solidFill>
                    <w14:schemeClr w14:val="tx1"/>
                  </w14:solidFill>
                </w14:textFill>
              </w:rPr>
              <w:t>Wifi</w:t>
            </w:r>
            <w:r>
              <w:rPr>
                <w:rFonts w:hint="eastAsia" w:ascii="宋体" w:hAnsi="宋体"/>
                <w:color w:val="000000" w:themeColor="text1"/>
                <w:szCs w:val="21"/>
                <w:highlight w:val="none"/>
                <w14:textFill>
                  <w14:solidFill>
                    <w14:schemeClr w14:val="tx1"/>
                  </w14:solidFill>
                </w14:textFill>
              </w:rPr>
              <w:t>和蓝牙连接，v</w:t>
            </w:r>
            <w:r>
              <w:rPr>
                <w:rFonts w:ascii="宋体" w:hAnsi="宋体"/>
                <w:color w:val="000000" w:themeColor="text1"/>
                <w:szCs w:val="21"/>
                <w:highlight w:val="none"/>
                <w14:textFill>
                  <w14:solidFill>
                    <w14:schemeClr w14:val="tx1"/>
                  </w14:solidFill>
                </w14:textFill>
              </w:rPr>
              <w:t>ip</w:t>
            </w:r>
            <w:r>
              <w:rPr>
                <w:rFonts w:hint="eastAsia" w:ascii="宋体" w:hAnsi="宋体"/>
                <w:color w:val="000000" w:themeColor="text1"/>
                <w:szCs w:val="21"/>
                <w:highlight w:val="none"/>
                <w14:textFill>
                  <w14:solidFill>
                    <w14:schemeClr w14:val="tx1"/>
                  </w14:solidFill>
                </w14:textFill>
              </w:rPr>
              <w:t>会员曲库</w:t>
            </w:r>
          </w:p>
        </w:tc>
        <w:tc>
          <w:tcPr>
            <w:tcW w:w="733" w:type="dxa"/>
            <w:shd w:val="clear" w:color="auto" w:fill="auto"/>
            <w:noWrap/>
            <w:vAlign w:val="center"/>
          </w:tcPr>
          <w:p w14:paraId="30F54091">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17" w:type="dxa"/>
            <w:vAlign w:val="center"/>
          </w:tcPr>
          <w:p w14:paraId="4BBABF76">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668" w:type="dxa"/>
            <w:shd w:val="clear" w:color="auto" w:fill="auto"/>
            <w:noWrap/>
            <w:vAlign w:val="center"/>
          </w:tcPr>
          <w:p w14:paraId="564FE1F7">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7795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97" w:type="dxa"/>
            <w:shd w:val="clear" w:color="auto" w:fill="auto"/>
            <w:noWrap/>
            <w:vAlign w:val="center"/>
          </w:tcPr>
          <w:p w14:paraId="0B5083C7">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稳压电源</w:t>
            </w:r>
          </w:p>
        </w:tc>
        <w:tc>
          <w:tcPr>
            <w:tcW w:w="11283" w:type="dxa"/>
            <w:shd w:val="clear" w:color="auto" w:fill="auto"/>
            <w:vAlign w:val="center"/>
          </w:tcPr>
          <w:p w14:paraId="2ADC328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220V全自动</w:t>
            </w:r>
            <w:r>
              <w:rPr>
                <w:rFonts w:hint="eastAsia" w:ascii="宋体" w:hAnsi="宋体"/>
                <w:color w:val="000000" w:themeColor="text1"/>
                <w:szCs w:val="21"/>
                <w:highlight w:val="none"/>
                <w14:textFill>
                  <w14:solidFill>
                    <w14:schemeClr w14:val="tx1"/>
                  </w14:solidFill>
                </w14:textFill>
              </w:rPr>
              <w:t>交流稳压</w:t>
            </w:r>
            <w:r>
              <w:rPr>
                <w:rFonts w:ascii="宋体" w:hAnsi="宋体"/>
                <w:color w:val="000000" w:themeColor="text1"/>
                <w:szCs w:val="21"/>
                <w:highlight w:val="none"/>
                <w14:textFill>
                  <w14:solidFill>
                    <w14:schemeClr w14:val="tx1"/>
                  </w14:solidFill>
                </w14:textFill>
              </w:rPr>
              <w:t>电源</w:t>
            </w:r>
            <w:r>
              <w:rPr>
                <w:rFonts w:hint="eastAsia" w:ascii="宋体" w:hAnsi="宋体"/>
                <w:color w:val="000000" w:themeColor="text1"/>
                <w:szCs w:val="21"/>
                <w:highlight w:val="none"/>
                <w14:textFill>
                  <w14:solidFill>
                    <w14:schemeClr w14:val="tx1"/>
                  </w14:solidFill>
                </w14:textFill>
              </w:rPr>
              <w:t>，输入电压1</w:t>
            </w:r>
            <w:r>
              <w:rPr>
                <w:rFonts w:ascii="宋体" w:hAnsi="宋体"/>
                <w:color w:val="000000" w:themeColor="text1"/>
                <w:szCs w:val="21"/>
                <w:highlight w:val="none"/>
                <w14:textFill>
                  <w14:solidFill>
                    <w14:schemeClr w14:val="tx1"/>
                  </w14:solidFill>
                </w14:textFill>
              </w:rPr>
              <w:t>50</w:t>
            </w:r>
            <w:r>
              <w:rPr>
                <w:rFonts w:hint="eastAsia" w:ascii="宋体" w:hAnsi="宋体"/>
                <w:color w:val="000000" w:themeColor="text1"/>
                <w:szCs w:val="21"/>
                <w:highlight w:val="none"/>
                <w14:textFill>
                  <w14:solidFill>
                    <w14:schemeClr w14:val="tx1"/>
                  </w14:solidFill>
                </w14:textFill>
              </w:rPr>
              <w:t>V</w:t>
            </w:r>
            <w:r>
              <w:rPr>
                <w:rFonts w:ascii="宋体" w:hAnsi="宋体"/>
                <w:color w:val="000000" w:themeColor="text1"/>
                <w:szCs w:val="21"/>
                <w:highlight w:val="none"/>
                <w14:textFill>
                  <w14:solidFill>
                    <w14:schemeClr w14:val="tx1"/>
                  </w14:solidFill>
                </w14:textFill>
              </w:rPr>
              <w:t>-250</w:t>
            </w:r>
            <w:r>
              <w:rPr>
                <w:rFonts w:hint="eastAsia" w:ascii="宋体" w:hAnsi="宋体"/>
                <w:color w:val="000000" w:themeColor="text1"/>
                <w:szCs w:val="21"/>
                <w:highlight w:val="none"/>
                <w14:textFill>
                  <w14:solidFill>
                    <w14:schemeClr w14:val="tx1"/>
                  </w14:solidFill>
                </w14:textFill>
              </w:rPr>
              <w:t>V,输出电压2</w:t>
            </w:r>
            <w:r>
              <w:rPr>
                <w:rFonts w:ascii="宋体" w:hAnsi="宋体"/>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V</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,效率&gt;</w:t>
            </w:r>
            <w:r>
              <w:rPr>
                <w:rFonts w:ascii="宋体" w:hAnsi="宋体"/>
                <w:color w:val="000000" w:themeColor="text1"/>
                <w:szCs w:val="21"/>
                <w:highlight w:val="none"/>
                <w14:textFill>
                  <w14:solidFill>
                    <w14:schemeClr w14:val="tx1"/>
                  </w14:solidFill>
                </w14:textFill>
              </w:rPr>
              <w:t>95%</w:t>
            </w:r>
            <w:r>
              <w:rPr>
                <w:rFonts w:hint="eastAsia" w:ascii="宋体" w:hAnsi="宋体"/>
                <w:color w:val="000000" w:themeColor="text1"/>
                <w:szCs w:val="21"/>
                <w:highlight w:val="none"/>
                <w14:textFill>
                  <w14:solidFill>
                    <w14:schemeClr w14:val="tx1"/>
                  </w14:solidFill>
                </w14:textFill>
              </w:rPr>
              <w:t>,过压保护值2</w:t>
            </w:r>
            <w:r>
              <w:rPr>
                <w:rFonts w:ascii="宋体" w:hAnsi="宋体"/>
                <w:color w:val="000000" w:themeColor="text1"/>
                <w:szCs w:val="21"/>
                <w:highlight w:val="none"/>
                <w14:textFill>
                  <w14:solidFill>
                    <w14:schemeClr w14:val="tx1"/>
                  </w14:solidFill>
                </w14:textFill>
              </w:rPr>
              <w:t>46±4</w:t>
            </w:r>
            <w:r>
              <w:rPr>
                <w:rFonts w:hint="eastAsia" w:ascii="宋体" w:hAnsi="宋体"/>
                <w:color w:val="000000" w:themeColor="text1"/>
                <w:szCs w:val="21"/>
                <w:highlight w:val="none"/>
                <w14:textFill>
                  <w14:solidFill>
                    <w14:schemeClr w14:val="tx1"/>
                  </w14:solidFill>
                </w14:textFill>
              </w:rPr>
              <w:t>V,功率≥1</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KVA</w:t>
            </w:r>
          </w:p>
        </w:tc>
        <w:tc>
          <w:tcPr>
            <w:tcW w:w="733" w:type="dxa"/>
            <w:shd w:val="clear" w:color="auto" w:fill="auto"/>
            <w:noWrap/>
            <w:vAlign w:val="center"/>
          </w:tcPr>
          <w:p w14:paraId="5C8A293C">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717" w:type="dxa"/>
            <w:vAlign w:val="center"/>
          </w:tcPr>
          <w:p w14:paraId="3B5CC4FE">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668" w:type="dxa"/>
            <w:shd w:val="clear" w:color="auto" w:fill="auto"/>
            <w:noWrap/>
            <w:vAlign w:val="center"/>
          </w:tcPr>
          <w:p w14:paraId="70FE0C80">
            <w:pPr>
              <w:widowControl/>
              <w:jc w:val="center"/>
              <w:rPr>
                <w:rFonts w:hint="eastAsia" w:ascii="宋体" w:hAnsi="宋体" w:cs="宋体"/>
                <w:color w:val="000000" w:themeColor="text1"/>
                <w:kern w:val="0"/>
                <w:szCs w:val="21"/>
                <w:highlight w:val="none"/>
                <w14:textFill>
                  <w14:solidFill>
                    <w14:schemeClr w14:val="tx1"/>
                  </w14:solidFill>
                </w14:textFill>
              </w:rPr>
            </w:pPr>
          </w:p>
        </w:tc>
      </w:tr>
    </w:tbl>
    <w:p w14:paraId="3986BA63">
      <w:pPr>
        <w:widowControl/>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注：本招标项目必须要实质性满足技术要求和商务要求：</w:t>
      </w:r>
    </w:p>
    <w:p w14:paraId="00A945B4">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1、供应商提供的货物必须是原装全新、高于或等于谈判文件规定技术参数的产品。所投产品不满足或不能完全满足谈判文件规定的技术参数要求的，作无效响应处理。</w:t>
      </w:r>
    </w:p>
    <w:p w14:paraId="78E3C6C8">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54DCFEE">
      <w:pPr>
        <w:spacing w:line="360" w:lineRule="auto"/>
        <w:ind w:firstLine="482" w:firstLineChars="200"/>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3.本项目核心产品：智慧黑板。</w:t>
      </w:r>
    </w:p>
    <w:p w14:paraId="252ECAC9">
      <w:pPr>
        <w:pStyle w:val="2"/>
        <w:spacing w:before="0" w:after="0"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4.本标的所属行业：工业。</w:t>
      </w:r>
    </w:p>
    <w:p w14:paraId="0F263506">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5.成交供应商应在合同签订之前，向采购人免费提供本项目相关产品样品或产品功能演示，用以确认产品是否符合采购要求。如有不能满足技术参数要求的，则取消其中标资格，并依法追究其法律责任，给采购人造成损失的,采购人可要求供应商承担赔偿责任及损失。根据中华人民共和国政府采购法实施条例第七十一条（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7CCDCE7">
      <w:pPr>
        <w:rPr>
          <w:color w:val="000000" w:themeColor="text1"/>
          <w:highlight w:val="none"/>
          <w14:textFill>
            <w14:solidFill>
              <w14:schemeClr w14:val="tx1"/>
            </w14:solidFill>
          </w14:textFill>
        </w:rPr>
      </w:pPr>
    </w:p>
    <w:p w14:paraId="19436CD3">
      <w:pPr>
        <w:rPr>
          <w:color w:val="000000" w:themeColor="text1"/>
          <w:highlight w:val="none"/>
          <w14:textFill>
            <w14:solidFill>
              <w14:schemeClr w14:val="tx1"/>
            </w14:solidFill>
          </w14:textFill>
        </w:rPr>
      </w:pPr>
    </w:p>
    <w:p w14:paraId="4AB2AB80">
      <w:pPr>
        <w:pStyle w:val="20"/>
        <w:rPr>
          <w:color w:val="000000" w:themeColor="text1"/>
          <w:highlight w:val="none"/>
          <w14:textFill>
            <w14:solidFill>
              <w14:schemeClr w14:val="tx1"/>
            </w14:solidFill>
          </w14:textFill>
        </w:rPr>
      </w:pPr>
    </w:p>
    <w:p w14:paraId="2923C9BF">
      <w:pPr>
        <w:rPr>
          <w:color w:val="000000" w:themeColor="text1"/>
          <w:highlight w:val="none"/>
          <w14:textFill>
            <w14:solidFill>
              <w14:schemeClr w14:val="tx1"/>
            </w14:solidFill>
          </w14:textFill>
        </w:rPr>
        <w:sectPr>
          <w:pgSz w:w="16838" w:h="11905" w:orient="landscape"/>
          <w:pgMar w:top="1463" w:right="1440" w:bottom="1463" w:left="1440" w:header="567" w:footer="998" w:gutter="0"/>
          <w:pgNumType w:start="1"/>
          <w:cols w:space="0" w:num="1"/>
          <w:docGrid w:type="lines" w:linePitch="389" w:charSpace="0"/>
        </w:sectPr>
      </w:pPr>
    </w:p>
    <w:p w14:paraId="5A65A6EC">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1" w:name="_Toc27476"/>
      <w:r>
        <w:rPr>
          <w:rFonts w:hint="eastAsia"/>
          <w:color w:val="000000" w:themeColor="text1"/>
          <w:kern w:val="0"/>
          <w:sz w:val="28"/>
          <w:szCs w:val="28"/>
          <w:highlight w:val="none"/>
          <w14:textFill>
            <w14:solidFill>
              <w14:schemeClr w14:val="tx1"/>
            </w14:solidFill>
          </w14:textFill>
        </w:rPr>
        <w:t>第六部分 合同格式及主要条款</w:t>
      </w:r>
      <w:bookmarkEnd w:id="31"/>
    </w:p>
    <w:p w14:paraId="08C199BC">
      <w:pPr>
        <w:rPr>
          <w:color w:val="000000" w:themeColor="text1"/>
          <w:highlight w:val="none"/>
          <w14:textFill>
            <w14:solidFill>
              <w14:schemeClr w14:val="tx1"/>
            </w14:solidFill>
          </w14:textFill>
        </w:rPr>
      </w:pPr>
    </w:p>
    <w:p w14:paraId="0633674A">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甲方：（采购单位）</w:t>
      </w:r>
    </w:p>
    <w:p w14:paraId="7D0E38E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乙方：（供应商 ）</w:t>
      </w:r>
    </w:p>
    <w:p w14:paraId="25A8F604">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甲、乙双方持采购人、采购代理公司签发的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采购项目成交通知书，根据采购文件、响应性文件的内容，并经双方协商一致，达成以下合同条款：</w:t>
      </w:r>
    </w:p>
    <w:p w14:paraId="5DF2CF0B">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FDBFC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二、货物质量要求及乙方对质量负责条件和期限：</w:t>
      </w:r>
    </w:p>
    <w:p w14:paraId="0FB3D70B">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乙方提供的货物是达到乙方响应文件及澄清中的技术标准。（售后服务要求按采购文件及响应性文件相应条款制订）</w:t>
      </w:r>
    </w:p>
    <w:p w14:paraId="014D83F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三、交货时间、地点、方式、验收：</w:t>
      </w:r>
    </w:p>
    <w:p w14:paraId="15CD1CD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乙方应于 2025 年  月  日前按甲方要求在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甲方指定地点）将货物运送达到验收条件。货物运送产生的费用由乙方负责。由乙方提供其供应货物满足招标文件和投标文件所规定技术参数相关证明材料，和使用学校提供的能正常使用相关证明后，由甲方组织相关人员进行验收（通过县级验收后，由第三方质量检测机构验收）。</w:t>
      </w:r>
    </w:p>
    <w:p w14:paraId="78D8F43E">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r>
        <w:rPr>
          <w:rFonts w:hint="eastAsia" w:ascii="宋体" w:cs="宋体"/>
          <w:color w:val="000000" w:themeColor="text1"/>
          <w:sz w:val="24"/>
          <w:highlight w:val="none"/>
          <w14:textFill>
            <w14:solidFill>
              <w14:schemeClr w14:val="tx1"/>
            </w14:solidFill>
          </w14:textFill>
        </w:rPr>
        <w:t>签订合同、供货完毕设备安装完成，该项目经过国家认可的第三方质量检测机构验收和检测合格后，按合同总额的100％支付。</w:t>
      </w:r>
    </w:p>
    <w:p w14:paraId="361EEF7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违约责任：甲方无正当理由拒收货物、拒付货款的，向乙方偿付拒收拒付部分货物款总额的________违约金。</w:t>
      </w:r>
    </w:p>
    <w:p w14:paraId="5BD4762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乙方所交货物的规格型号、技术要求、质量品质等不符合合同规定，甲方有权拒收货物，乙方应负责更换并承担因更换而支付的全部实际费用。因更换而造成逾期交货，则按逾期交货处理。</w:t>
      </w:r>
    </w:p>
    <w:p w14:paraId="00C48CA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乙方不能交付货物的，乙方向甲方支付未交付部分货物款总额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违约金。</w:t>
      </w:r>
    </w:p>
    <w:p w14:paraId="0F55CE0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若因中标人（成交人）原因不能按期按质供货的，将扣除中标人（成交人）2万元的违约金，同时每超过一天另扣除合同金额的千分之一。</w:t>
      </w:r>
    </w:p>
    <w:p w14:paraId="69CC80D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六、因货物的质量问题发生争议，由甲方所在地市级技术监督单位进行质量鉴定。</w:t>
      </w:r>
    </w:p>
    <w:p w14:paraId="6578595D">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七、甲乙双方应严格遵守投标要求和供应商须知，如有违反，按投标要求和供应商须知规定予以处理。</w:t>
      </w:r>
    </w:p>
    <w:p w14:paraId="55093A6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八、采购文件及其修改补充、投标文件及其修改补充澄清均为本合同的组成部分。</w:t>
      </w:r>
    </w:p>
    <w:p w14:paraId="5E1321D1">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14:paraId="1F052DF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十、合同生效及其它：</w:t>
      </w:r>
    </w:p>
    <w:p w14:paraId="24C00FF4">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14:paraId="7730CD38">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甲方：</w:t>
      </w:r>
    </w:p>
    <w:p w14:paraId="263DC56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地址：</w:t>
      </w:r>
    </w:p>
    <w:p w14:paraId="2ACB7F4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5BDD8AD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委托代理人：</w:t>
      </w:r>
    </w:p>
    <w:p w14:paraId="5D2577E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电话：</w:t>
      </w:r>
    </w:p>
    <w:p w14:paraId="0176ED63">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开户银行：</w:t>
      </w:r>
    </w:p>
    <w:p w14:paraId="4A7D8F1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银行账号：</w:t>
      </w:r>
    </w:p>
    <w:p w14:paraId="4DE7FC17">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签约时间：                     签约地点：</w:t>
      </w:r>
    </w:p>
    <w:p w14:paraId="57BED845">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重要提示：</w:t>
      </w:r>
      <w:r>
        <w:rPr>
          <w:rFonts w:hint="eastAsia" w:ascii="宋体" w:hAnsi="宋体" w:cs="宋体"/>
          <w:color w:val="000000" w:themeColor="text1"/>
          <w:sz w:val="24"/>
          <w:highlight w:val="none"/>
          <w14:textFill>
            <w14:solidFill>
              <w14:schemeClr w14:val="tx1"/>
            </w14:solidFill>
          </w14:textFill>
        </w:rPr>
        <w:t>以上合同文本作为签订合同的重要依据，涉及付款方式、供应商名称等实质性内容不得变更。其他部分按照竞争性谈判文件及采购资料增减确定。</w:t>
      </w:r>
    </w:p>
    <w:p w14:paraId="4F7BA7B5">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2" w:name="_Toc27415"/>
      <w:r>
        <w:rPr>
          <w:rFonts w:hint="eastAsia"/>
          <w:color w:val="000000" w:themeColor="text1"/>
          <w:kern w:val="0"/>
          <w:sz w:val="28"/>
          <w:szCs w:val="28"/>
          <w:highlight w:val="none"/>
          <w14:textFill>
            <w14:solidFill>
              <w14:schemeClr w14:val="tx1"/>
            </w14:solidFill>
          </w14:textFill>
        </w:rPr>
        <w:t>第七部分 履约验收</w:t>
      </w:r>
      <w:bookmarkEnd w:id="32"/>
    </w:p>
    <w:p w14:paraId="55DDA005">
      <w:pPr>
        <w:pStyle w:val="27"/>
        <w:rPr>
          <w:color w:val="000000" w:themeColor="text1"/>
          <w:highlight w:val="none"/>
          <w14:textFill>
            <w14:solidFill>
              <w14:schemeClr w14:val="tx1"/>
            </w14:solidFill>
          </w14:textFill>
        </w:rPr>
      </w:pPr>
    </w:p>
    <w:p w14:paraId="3250D4C8">
      <w:pPr>
        <w:pStyle w:val="26"/>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供应商履约完成后，向采购人提出验收建议，采购人自收到验收建议之日起五个工作日内，采购人组织供应商参与，共同完成验收</w:t>
      </w:r>
      <w:r>
        <w:rPr>
          <w:rFonts w:hint="eastAsia" w:ascii="宋体" w:hAnsi="宋体" w:cs="宋体"/>
          <w:color w:val="000000" w:themeColor="text1"/>
          <w:sz w:val="24"/>
          <w:highlight w:val="none"/>
          <w14:textFill>
            <w14:solidFill>
              <w14:schemeClr w14:val="tx1"/>
            </w14:solidFill>
          </w14:textFill>
        </w:rPr>
        <w:t>（通过县级验收后，由第三方质量检测机构验收）。</w:t>
      </w:r>
      <w:r>
        <w:rPr>
          <w:rFonts w:hint="eastAsia"/>
          <w:color w:val="000000" w:themeColor="text1"/>
          <w:sz w:val="24"/>
          <w:highlight w:val="none"/>
          <w14:textFill>
            <w14:solidFill>
              <w14:schemeClr w14:val="tx1"/>
            </w14:solidFill>
          </w14:textFill>
        </w:rPr>
        <w:t>技术复杂、专业性强等项目可适当延长验收时间。验收流程如下：</w:t>
      </w:r>
    </w:p>
    <w:p w14:paraId="61FFC4E3">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2C311634">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722D8548">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575F046E">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7339D1BD">
      <w:pPr>
        <w:pStyle w:val="2"/>
        <w:spacing w:before="0" w:after="0" w:line="360" w:lineRule="auto"/>
        <w:ind w:firstLine="482" w:firstLineChars="200"/>
        <w:jc w:val="center"/>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br w:type="page"/>
      </w:r>
    </w:p>
    <w:p w14:paraId="0C304170">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3" w:name="_Toc30461"/>
      <w:r>
        <w:rPr>
          <w:rFonts w:hint="eastAsia"/>
          <w:color w:val="000000" w:themeColor="text1"/>
          <w:kern w:val="0"/>
          <w:sz w:val="28"/>
          <w:szCs w:val="28"/>
          <w:highlight w:val="none"/>
          <w14:textFill>
            <w14:solidFill>
              <w14:schemeClr w14:val="tx1"/>
            </w14:solidFill>
          </w14:textFill>
        </w:rPr>
        <w:t>第八部分  附件—供应商响应文件格式</w:t>
      </w:r>
      <w:bookmarkEnd w:id="33"/>
    </w:p>
    <w:p w14:paraId="324B303E">
      <w:pPr>
        <w:widowControl/>
        <w:snapToGrid w:val="0"/>
        <w:spacing w:line="360" w:lineRule="auto"/>
        <w:jc w:val="right"/>
        <w:rPr>
          <w:color w:val="000000" w:themeColor="text1"/>
          <w:kern w:val="0"/>
          <w:sz w:val="24"/>
          <w:highlight w:val="none"/>
          <w14:textFill>
            <w14:solidFill>
              <w14:schemeClr w14:val="tx1"/>
            </w14:solidFill>
          </w14:textFill>
        </w:rPr>
      </w:pPr>
      <w:r>
        <w:rPr>
          <w:rFonts w:ascii="华文中宋" w:hAnsi="华文中宋"/>
          <w:b/>
          <w:bCs/>
          <w:color w:val="000000" w:themeColor="text1"/>
          <w:kern w:val="0"/>
          <w:sz w:val="32"/>
          <w:szCs w:val="32"/>
          <w:highlight w:val="none"/>
          <w14:textFill>
            <w14:solidFill>
              <w14:schemeClr w14:val="tx1"/>
            </w14:solidFill>
          </w14:textFill>
        </w:rPr>
        <w:t>（正/副）本</w:t>
      </w:r>
    </w:p>
    <w:p w14:paraId="09868A1A">
      <w:pPr>
        <w:adjustRightInd w:val="0"/>
        <w:snapToGrid w:val="0"/>
        <w:spacing w:line="360" w:lineRule="auto"/>
        <w:jc w:val="center"/>
        <w:rPr>
          <w:rFonts w:hint="eastAsia" w:ascii="宋体" w:hAnsi="宋体"/>
          <w:color w:val="000000" w:themeColor="text1"/>
          <w:sz w:val="32"/>
          <w:szCs w:val="32"/>
          <w:highlight w:val="none"/>
          <w:u w:val="single"/>
          <w14:textFill>
            <w14:solidFill>
              <w14:schemeClr w14:val="tx1"/>
            </w14:solidFill>
          </w14:textFill>
        </w:rPr>
      </w:pPr>
    </w:p>
    <w:p w14:paraId="096CB72E">
      <w:pPr>
        <w:adjustRightInd w:val="0"/>
        <w:snapToGrid w:val="0"/>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t xml:space="preserve">（项目名称 </w:t>
      </w:r>
      <w:r>
        <w:rPr>
          <w:rFonts w:ascii="宋体" w:hAnsi="宋体"/>
          <w:color w:val="000000" w:themeColor="text1"/>
          <w:sz w:val="32"/>
          <w:szCs w:val="32"/>
          <w:highlight w:val="none"/>
          <w:u w:val="single"/>
          <w14:textFill>
            <w14:solidFill>
              <w14:schemeClr w14:val="tx1"/>
            </w14:solidFill>
          </w14:textFill>
        </w:rPr>
        <w:t>）</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项目</w:t>
      </w:r>
    </w:p>
    <w:p w14:paraId="2ABC07E0">
      <w:pPr>
        <w:spacing w:line="360" w:lineRule="auto"/>
        <w:jc w:val="center"/>
        <w:rPr>
          <w:rFonts w:hint="eastAsia" w:ascii="宋体" w:hAnsi="宋体"/>
          <w:b/>
          <w:color w:val="000000" w:themeColor="text1"/>
          <w:sz w:val="96"/>
          <w:szCs w:val="90"/>
          <w:highlight w:val="none"/>
          <w14:textFill>
            <w14:solidFill>
              <w14:schemeClr w14:val="tx1"/>
            </w14:solidFill>
          </w14:textFill>
        </w:rPr>
      </w:pPr>
    </w:p>
    <w:p w14:paraId="0A86DDA4">
      <w:pPr>
        <w:spacing w:line="360" w:lineRule="auto"/>
        <w:jc w:val="center"/>
        <w:rPr>
          <w:rFonts w:hint="eastAsia" w:ascii="宋体" w:hAnsi="宋体"/>
          <w:b/>
          <w:color w:val="000000" w:themeColor="text1"/>
          <w:sz w:val="96"/>
          <w:szCs w:val="90"/>
          <w:highlight w:val="none"/>
          <w14:textFill>
            <w14:solidFill>
              <w14:schemeClr w14:val="tx1"/>
            </w14:solidFill>
          </w14:textFill>
        </w:rPr>
      </w:pPr>
      <w:r>
        <w:rPr>
          <w:rFonts w:hint="eastAsia" w:ascii="宋体" w:hAnsi="宋体"/>
          <w:b/>
          <w:color w:val="000000" w:themeColor="text1"/>
          <w:sz w:val="96"/>
          <w:szCs w:val="90"/>
          <w:highlight w:val="none"/>
          <w14:textFill>
            <w14:solidFill>
              <w14:schemeClr w14:val="tx1"/>
            </w14:solidFill>
          </w14:textFill>
        </w:rPr>
        <w:t>响应文件</w:t>
      </w:r>
    </w:p>
    <w:p w14:paraId="72F19812">
      <w:pPr>
        <w:spacing w:line="360" w:lineRule="auto"/>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（封面格式）</w:t>
      </w:r>
    </w:p>
    <w:p w14:paraId="3963CCEC">
      <w:pPr>
        <w:spacing w:line="360" w:lineRule="auto"/>
        <w:rPr>
          <w:rFonts w:hint="eastAsia" w:ascii="宋体" w:hAnsi="宋体"/>
          <w:color w:val="000000" w:themeColor="text1"/>
          <w:sz w:val="30"/>
          <w:szCs w:val="30"/>
          <w:highlight w:val="none"/>
          <w14:textFill>
            <w14:solidFill>
              <w14:schemeClr w14:val="tx1"/>
            </w14:solidFill>
          </w14:textFill>
        </w:rPr>
      </w:pPr>
    </w:p>
    <w:p w14:paraId="44B9403E">
      <w:pPr>
        <w:spacing w:line="360" w:lineRule="auto"/>
        <w:rPr>
          <w:rFonts w:hint="eastAsia" w:ascii="宋体" w:hAnsi="宋体"/>
          <w:color w:val="000000" w:themeColor="text1"/>
          <w:sz w:val="30"/>
          <w:szCs w:val="30"/>
          <w:highlight w:val="none"/>
          <w14:textFill>
            <w14:solidFill>
              <w14:schemeClr w14:val="tx1"/>
            </w14:solidFill>
          </w14:textFill>
        </w:rPr>
      </w:pPr>
    </w:p>
    <w:p w14:paraId="11E26172">
      <w:pPr>
        <w:spacing w:line="360" w:lineRule="auto"/>
        <w:rPr>
          <w:rFonts w:hint="eastAsia" w:ascii="宋体" w:hAnsi="宋体"/>
          <w:color w:val="000000" w:themeColor="text1"/>
          <w:sz w:val="30"/>
          <w:szCs w:val="30"/>
          <w:highlight w:val="none"/>
          <w14:textFill>
            <w14:solidFill>
              <w14:schemeClr w14:val="tx1"/>
            </w14:solidFill>
          </w14:textFill>
        </w:rPr>
      </w:pPr>
    </w:p>
    <w:p w14:paraId="34C0FA80">
      <w:pPr>
        <w:spacing w:line="360" w:lineRule="auto"/>
        <w:rPr>
          <w:rFonts w:hint="eastAsia" w:ascii="宋体" w:hAnsi="宋体"/>
          <w:color w:val="000000" w:themeColor="text1"/>
          <w:sz w:val="30"/>
          <w:szCs w:val="30"/>
          <w:highlight w:val="none"/>
          <w14:textFill>
            <w14:solidFill>
              <w14:schemeClr w14:val="tx1"/>
            </w14:solidFill>
          </w14:textFill>
        </w:rPr>
      </w:pPr>
    </w:p>
    <w:p w14:paraId="6A56E128">
      <w:pPr>
        <w:spacing w:line="360" w:lineRule="auto"/>
        <w:rPr>
          <w:rFonts w:hint="eastAsia" w:ascii="宋体" w:hAnsi="宋体"/>
          <w:color w:val="000000" w:themeColor="text1"/>
          <w:sz w:val="30"/>
          <w:szCs w:val="30"/>
          <w:highlight w:val="none"/>
          <w14:textFill>
            <w14:solidFill>
              <w14:schemeClr w14:val="tx1"/>
            </w14:solidFill>
          </w14:textFill>
        </w:rPr>
      </w:pPr>
    </w:p>
    <w:p w14:paraId="2208A183">
      <w:pPr>
        <w:spacing w:line="360" w:lineRule="auto"/>
        <w:rPr>
          <w:rFonts w:hint="eastAsia" w:ascii="宋体" w:hAnsi="宋体"/>
          <w:color w:val="000000" w:themeColor="text1"/>
          <w:sz w:val="30"/>
          <w:szCs w:val="30"/>
          <w:highlight w:val="none"/>
          <w14:textFill>
            <w14:solidFill>
              <w14:schemeClr w14:val="tx1"/>
            </w14:solidFill>
          </w14:textFill>
        </w:rPr>
      </w:pPr>
    </w:p>
    <w:p w14:paraId="4028DA3C">
      <w:pPr>
        <w:spacing w:line="360" w:lineRule="auto"/>
        <w:ind w:firstLine="1059" w:firstLineChars="353"/>
        <w:rPr>
          <w:rFonts w:hint="eastAsia" w:ascii="宋体" w:hAnsi="宋体"/>
          <w:color w:val="000000" w:themeColor="text1"/>
          <w:sz w:val="30"/>
          <w:szCs w:val="30"/>
          <w:highlight w:val="none"/>
          <w:u w:val="singl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供 应 商：</w:t>
      </w:r>
      <w:r>
        <w:rPr>
          <w:rFonts w:hint="eastAsia" w:ascii="宋体" w:hAnsi="宋体"/>
          <w:color w:val="000000" w:themeColor="text1"/>
          <w:sz w:val="30"/>
          <w:szCs w:val="30"/>
          <w:highlight w:val="none"/>
          <w:u w:val="single"/>
          <w14:textFill>
            <w14:solidFill>
              <w14:schemeClr w14:val="tx1"/>
            </w14:solidFill>
          </w14:textFill>
        </w:rPr>
        <w:t xml:space="preserve">                                  </w:t>
      </w:r>
    </w:p>
    <w:p w14:paraId="7A48F9BF">
      <w:pPr>
        <w:spacing w:line="360" w:lineRule="auto"/>
        <w:ind w:firstLine="1059" w:firstLineChars="353"/>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法定代表人（授权委托人）：</w:t>
      </w:r>
      <w:r>
        <w:rPr>
          <w:rFonts w:hint="eastAsia" w:ascii="宋体" w:hAnsi="宋体"/>
          <w:color w:val="000000" w:themeColor="text1"/>
          <w:sz w:val="30"/>
          <w:szCs w:val="30"/>
          <w:highlight w:val="none"/>
          <w:u w:val="single"/>
          <w14:textFill>
            <w14:solidFill>
              <w14:schemeClr w14:val="tx1"/>
            </w14:solidFill>
          </w14:textFill>
        </w:rPr>
        <w:t xml:space="preserve">    （签字或盖章）</w:t>
      </w:r>
      <w:r>
        <w:rPr>
          <w:rFonts w:hint="eastAsia" w:ascii="宋体" w:hAnsi="宋体"/>
          <w:color w:val="000000" w:themeColor="text1"/>
          <w:sz w:val="30"/>
          <w:szCs w:val="30"/>
          <w:highlight w:val="none"/>
          <w14:textFill>
            <w14:solidFill>
              <w14:schemeClr w14:val="tx1"/>
            </w14:solidFill>
          </w14:textFill>
        </w:rPr>
        <w:t xml:space="preserve"> </w:t>
      </w:r>
    </w:p>
    <w:p w14:paraId="5CA21F4D">
      <w:pPr>
        <w:spacing w:line="360" w:lineRule="auto"/>
        <w:ind w:firstLine="1059" w:firstLineChars="353"/>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日      期：      年   月   日</w:t>
      </w:r>
    </w:p>
    <w:p w14:paraId="5297C42F">
      <w:pPr>
        <w:widowControl/>
        <w:spacing w:line="360" w:lineRule="auto"/>
        <w:jc w:val="left"/>
        <w:rPr>
          <w:rFonts w:hint="eastAsia" w:ascii="宋体" w:hAnsi="宋体"/>
          <w:b/>
          <w:bCs/>
          <w:color w:val="000000" w:themeColor="text1"/>
          <w:kern w:val="0"/>
          <w:sz w:val="36"/>
          <w:szCs w:val="36"/>
          <w:highlight w:val="none"/>
          <w14:textFill>
            <w14:solidFill>
              <w14:schemeClr w14:val="tx1"/>
            </w14:solidFill>
          </w14:textFill>
        </w:rPr>
      </w:pPr>
      <w:r>
        <w:rPr>
          <w:rFonts w:ascii="宋体" w:hAnsi="宋体"/>
          <w:b/>
          <w:bCs/>
          <w:color w:val="000000" w:themeColor="text1"/>
          <w:kern w:val="0"/>
          <w:sz w:val="36"/>
          <w:szCs w:val="36"/>
          <w:highlight w:val="none"/>
          <w14:textFill>
            <w14:solidFill>
              <w14:schemeClr w14:val="tx1"/>
            </w14:solidFill>
          </w14:textFill>
        </w:rPr>
        <w:br w:type="page"/>
      </w:r>
    </w:p>
    <w:p w14:paraId="234E188A">
      <w:pPr>
        <w:spacing w:line="360" w:lineRule="auto"/>
        <w:ind w:right="-92" w:rightChars="-44"/>
        <w:jc w:val="center"/>
        <w:rPr>
          <w:rFonts w:hint="eastAsia" w:ascii="宋体" w:hAnsi="宋体"/>
          <w:color w:val="000000" w:themeColor="text1"/>
          <w:kern w:val="0"/>
          <w:sz w:val="44"/>
          <w:szCs w:val="44"/>
          <w:highlight w:val="none"/>
          <w14:textFill>
            <w14:solidFill>
              <w14:schemeClr w14:val="tx1"/>
            </w14:solidFill>
          </w14:textFill>
        </w:rPr>
      </w:pPr>
      <w:r>
        <w:rPr>
          <w:rFonts w:hint="eastAsia" w:ascii="宋体" w:hAnsi="宋体"/>
          <w:b/>
          <w:bCs/>
          <w:color w:val="000000" w:themeColor="text1"/>
          <w:kern w:val="0"/>
          <w:sz w:val="44"/>
          <w:szCs w:val="44"/>
          <w:highlight w:val="none"/>
          <w14:textFill>
            <w14:solidFill>
              <w14:schemeClr w14:val="tx1"/>
            </w14:solidFill>
          </w14:textFill>
        </w:rPr>
        <w:t>目  录</w:t>
      </w:r>
    </w:p>
    <w:p w14:paraId="06103B55">
      <w:pPr>
        <w:widowControl/>
        <w:spacing w:line="360" w:lineRule="auto"/>
        <w:jc w:val="cente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（格式自拟）</w:t>
      </w:r>
    </w:p>
    <w:p w14:paraId="37C0CD26">
      <w:pPr>
        <w:pStyle w:val="3"/>
        <w:spacing w:before="0" w:after="0" w:line="360" w:lineRule="auto"/>
        <w:rPr>
          <w:rFonts w:hint="eastAsia" w:ascii="宋体" w:hAnsi="宋体" w:cs="宋体"/>
          <w:color w:val="000000" w:themeColor="text1"/>
          <w:sz w:val="28"/>
          <w:szCs w:val="28"/>
          <w:highlight w:val="none"/>
          <w14:textFill>
            <w14:solidFill>
              <w14:schemeClr w14:val="tx1"/>
            </w14:solidFill>
          </w14:textFill>
        </w:rPr>
      </w:pPr>
      <w:r>
        <w:rPr>
          <w:rFonts w:ascii="宋体" w:hAnsi="宋体"/>
          <w:b w:val="0"/>
          <w:color w:val="000000" w:themeColor="text1"/>
          <w:kern w:val="0"/>
          <w:sz w:val="28"/>
          <w:szCs w:val="28"/>
          <w:highlight w:val="none"/>
          <w14:textFill>
            <w14:solidFill>
              <w14:schemeClr w14:val="tx1"/>
            </w14:solidFill>
          </w14:textFill>
        </w:rPr>
        <w:br w:type="page"/>
      </w:r>
      <w:bookmarkStart w:id="34" w:name="_Toc23083"/>
      <w:r>
        <w:rPr>
          <w:rFonts w:hint="eastAsia" w:ascii="宋体" w:hAnsi="宋体" w:cs="宋体"/>
          <w:color w:val="000000" w:themeColor="text1"/>
          <w:sz w:val="28"/>
          <w:szCs w:val="28"/>
          <w:highlight w:val="none"/>
          <w14:textFill>
            <w14:solidFill>
              <w14:schemeClr w14:val="tx1"/>
            </w14:solidFill>
          </w14:textFill>
        </w:rPr>
        <w:t>附件1：</w:t>
      </w:r>
      <w:bookmarkEnd w:id="34"/>
    </w:p>
    <w:p w14:paraId="7A8AF727">
      <w:pPr>
        <w:widowControl/>
        <w:spacing w:line="360" w:lineRule="auto"/>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投标函</w:t>
      </w:r>
    </w:p>
    <w:p w14:paraId="403896E4">
      <w:pPr>
        <w:pStyle w:val="3"/>
        <w:rPr>
          <w:color w:val="000000" w:themeColor="text1"/>
          <w:highlight w:val="none"/>
          <w14:textFill>
            <w14:solidFill>
              <w14:schemeClr w14:val="tx1"/>
            </w14:solidFill>
          </w14:textFill>
        </w:rPr>
      </w:pPr>
    </w:p>
    <w:p w14:paraId="56018F41">
      <w:pPr>
        <w:widowControl/>
        <w:spacing w:line="360" w:lineRule="auto"/>
        <w:ind w:firstLine="562" w:firstLineChars="200"/>
        <w:rPr>
          <w:rFonts w:hint="eastAsia" w:ascii="宋体" w:hAnsi="宋体"/>
          <w:b/>
          <w:bCs/>
          <w:color w:val="000000" w:themeColor="text1"/>
          <w:kern w:val="0"/>
          <w:sz w:val="28"/>
          <w:szCs w:val="28"/>
          <w:highlight w:val="none"/>
          <w:u w:val="singl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致：</w:t>
      </w:r>
      <w:r>
        <w:rPr>
          <w:rFonts w:hint="eastAsia" w:ascii="宋体" w:hAnsi="宋体"/>
          <w:b/>
          <w:bCs/>
          <w:color w:val="000000" w:themeColor="text1"/>
          <w:kern w:val="0"/>
          <w:sz w:val="28"/>
          <w:szCs w:val="28"/>
          <w:highlight w:val="none"/>
          <w:u w:val="single"/>
          <w14:textFill>
            <w14:solidFill>
              <w14:schemeClr w14:val="tx1"/>
            </w14:solidFill>
          </w14:textFill>
        </w:rPr>
        <w:t xml:space="preserve">      （采购人名称）     </w:t>
      </w:r>
    </w:p>
    <w:p w14:paraId="14E19612">
      <w:pPr>
        <w:pStyle w:val="26"/>
        <w:spacing w:after="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w:t>
      </w:r>
      <w:r>
        <w:rPr>
          <w:rFonts w:hint="eastAsia" w:ascii="宋体" w:hAnsi="宋体" w:cs="宋体"/>
          <w:color w:val="000000" w:themeColor="text1"/>
          <w:sz w:val="24"/>
          <w:highlight w:val="none"/>
          <w14:textFill>
            <w14:solidFill>
              <w14:schemeClr w14:val="tx1"/>
            </w14:solidFill>
          </w14:textFill>
        </w:rPr>
        <w:t xml:space="preserve">已收到的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（采购编号：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采购文件及有关纪要通知，现</w:t>
      </w:r>
      <w:r>
        <w:rPr>
          <w:rFonts w:hint="eastAsia" w:ascii="宋体" w:hAnsi="宋体"/>
          <w:color w:val="000000" w:themeColor="text1"/>
          <w:sz w:val="24"/>
          <w:highlight w:val="none"/>
          <w14:textFill>
            <w14:solidFill>
              <w14:schemeClr w14:val="tx1"/>
            </w14:solidFill>
          </w14:textFill>
        </w:rPr>
        <w:t>对参与投标及成交后工作，做出如下郑重承诺：</w:t>
      </w:r>
    </w:p>
    <w:p w14:paraId="2D46E1C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1、我方愿以总价为人民币（大写）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（小写）￥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olor w:val="000000" w:themeColor="text1"/>
          <w:kern w:val="0"/>
          <w:sz w:val="24"/>
          <w:highlight w:val="none"/>
          <w14:textFill>
            <w14:solidFill>
              <w14:schemeClr w14:val="tx1"/>
            </w14:solidFill>
          </w14:textFill>
        </w:rPr>
        <w:t>供货安装期</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，按合同约定实施和完成本项目。 </w:t>
      </w:r>
    </w:p>
    <w:p w14:paraId="13500302">
      <w:pPr>
        <w:widowControl/>
        <w:spacing w:line="360" w:lineRule="auto"/>
        <w:ind w:firstLine="480" w:firstLineChars="200"/>
        <w:rPr>
          <w:rFonts w:hint="eastAsia"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投标有效期</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，我单位不得要求退出竞标或者修改响应性文件。</w:t>
      </w:r>
    </w:p>
    <w:p w14:paraId="7F901F4A">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3、我方明白采购人不一定接纳最低投标报价的采购，也不需要采购人解释选择或否决任何供应商的原因和理由。</w:t>
      </w:r>
    </w:p>
    <w:p w14:paraId="570D6998">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3898D50B">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5A31E541">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4734DBC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供应商：（盖章）</w:t>
      </w:r>
    </w:p>
    <w:p w14:paraId="51E07A72">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法定代表人或授权委托代理人：（签字或盖章）</w:t>
      </w:r>
    </w:p>
    <w:p w14:paraId="2BC64BBF">
      <w:pPr>
        <w:widowControl/>
        <w:spacing w:line="360" w:lineRule="auto"/>
        <w:ind w:firstLine="480" w:firstLineChars="200"/>
        <w:rPr>
          <w:rFonts w:hint="eastAsia" w:ascii="宋体" w:hAnsi="宋体"/>
          <w:b/>
          <w:bCs/>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年      月      日</w:t>
      </w:r>
    </w:p>
    <w:p w14:paraId="71549A2D">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55ABAE9A">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36562655">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2209634C">
      <w:pPr>
        <w:widowControl/>
        <w:spacing w:line="360" w:lineRule="auto"/>
        <w:jc w:val="center"/>
        <w:rPr>
          <w:color w:val="000000" w:themeColor="text1"/>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w:t>
      </w:r>
      <w:r>
        <w:rPr>
          <w:rFonts w:hint="eastAsia" w:ascii="宋体" w:hAnsi="宋体"/>
          <w:b/>
          <w:bCs/>
          <w:color w:val="000000" w:themeColor="text1"/>
          <w:kern w:val="0"/>
          <w:sz w:val="28"/>
          <w:szCs w:val="28"/>
          <w:highlight w:val="none"/>
          <w:u w:val="single"/>
          <w14:textFill>
            <w14:solidFill>
              <w14:schemeClr w14:val="tx1"/>
            </w14:solidFill>
          </w14:textFill>
        </w:rPr>
        <w:t xml:space="preserve"> 一 </w:t>
      </w:r>
      <w:r>
        <w:rPr>
          <w:rFonts w:hint="eastAsia" w:ascii="宋体" w:hAnsi="宋体"/>
          <w:b/>
          <w:bCs/>
          <w:color w:val="000000" w:themeColor="text1"/>
          <w:kern w:val="0"/>
          <w:sz w:val="28"/>
          <w:szCs w:val="28"/>
          <w:highlight w:val="none"/>
          <w14:textFill>
            <w14:solidFill>
              <w14:schemeClr w14:val="tx1"/>
            </w14:solidFill>
          </w14:textFill>
        </w:rPr>
        <w:t>轮报价表</w:t>
      </w:r>
    </w:p>
    <w:p w14:paraId="5D331AF9">
      <w:pPr>
        <w:pStyle w:val="68"/>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说明：1、供应商单位应将第一轮报价填入下表并按要求签字或盖章，本表要附在响应文件中。</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14:paraId="669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0C9E9D6C">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项目名称</w:t>
            </w:r>
          </w:p>
        </w:tc>
        <w:tc>
          <w:tcPr>
            <w:tcW w:w="6471" w:type="dxa"/>
            <w:vAlign w:val="center"/>
          </w:tcPr>
          <w:p w14:paraId="3C09FF58">
            <w:pPr>
              <w:spacing w:line="360" w:lineRule="auto"/>
              <w:rPr>
                <w:rFonts w:hint="eastAsia" w:ascii="宋体" w:hAnsi="宋体"/>
                <w:color w:val="000000" w:themeColor="text1"/>
                <w:sz w:val="24"/>
                <w:highlight w:val="none"/>
                <w:shd w:val="clear" w:color="auto" w:fill="FFFFFF"/>
                <w14:textFill>
                  <w14:solidFill>
                    <w14:schemeClr w14:val="tx1"/>
                  </w14:solidFill>
                </w14:textFill>
              </w:rPr>
            </w:pPr>
          </w:p>
        </w:tc>
      </w:tr>
      <w:tr w14:paraId="4CA0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137E5C21">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w:t>
            </w:r>
          </w:p>
        </w:tc>
        <w:tc>
          <w:tcPr>
            <w:tcW w:w="6471" w:type="dxa"/>
            <w:vAlign w:val="center"/>
          </w:tcPr>
          <w:p w14:paraId="71A11B47">
            <w:pPr>
              <w:spacing w:line="360" w:lineRule="auto"/>
              <w:rPr>
                <w:rFonts w:hint="eastAsia" w:ascii="宋体" w:hAnsi="宋体"/>
                <w:color w:val="000000" w:themeColor="text1"/>
                <w:sz w:val="24"/>
                <w:highlight w:val="none"/>
                <w:shd w:val="clear" w:color="auto" w:fill="FFFFFF"/>
                <w14:textFill>
                  <w14:solidFill>
                    <w14:schemeClr w14:val="tx1"/>
                  </w14:solidFill>
                </w14:textFill>
              </w:rPr>
            </w:pPr>
          </w:p>
        </w:tc>
      </w:tr>
      <w:tr w14:paraId="7DCF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14:paraId="40014E0F">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投标报价</w:t>
            </w:r>
          </w:p>
        </w:tc>
        <w:tc>
          <w:tcPr>
            <w:tcW w:w="6471" w:type="dxa"/>
            <w:vAlign w:val="center"/>
          </w:tcPr>
          <w:p w14:paraId="0D1C755C">
            <w:pPr>
              <w:spacing w:line="360" w:lineRule="auto"/>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（大写）</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p>
          <w:p w14:paraId="17CF1115">
            <w:pPr>
              <w:spacing w:line="360" w:lineRule="auto"/>
              <w:rPr>
                <w:rFonts w:hint="eastAsia" w:ascii="宋体" w:hAnsi="宋体"/>
                <w:color w:val="000000" w:themeColor="text1"/>
                <w:sz w:val="24"/>
                <w:highlight w:val="none"/>
                <w:u w:val="singl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（小写）</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p>
        </w:tc>
      </w:tr>
      <w:tr w14:paraId="3913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0BD09879">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供货安装期</w:t>
            </w:r>
          </w:p>
        </w:tc>
        <w:tc>
          <w:tcPr>
            <w:tcW w:w="6471" w:type="dxa"/>
            <w:vAlign w:val="center"/>
          </w:tcPr>
          <w:p w14:paraId="5C761513">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0D92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374F3CE0">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质量要求</w:t>
            </w:r>
          </w:p>
        </w:tc>
        <w:tc>
          <w:tcPr>
            <w:tcW w:w="6471" w:type="dxa"/>
            <w:vAlign w:val="center"/>
          </w:tcPr>
          <w:p w14:paraId="75DF2B73">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32C9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51B4914C">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质保期</w:t>
            </w:r>
          </w:p>
        </w:tc>
        <w:tc>
          <w:tcPr>
            <w:tcW w:w="6471" w:type="dxa"/>
            <w:vAlign w:val="center"/>
          </w:tcPr>
          <w:p w14:paraId="1736F7B7">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1192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0485BED1">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投标有效期</w:t>
            </w:r>
          </w:p>
        </w:tc>
        <w:tc>
          <w:tcPr>
            <w:tcW w:w="6471" w:type="dxa"/>
            <w:vAlign w:val="center"/>
          </w:tcPr>
          <w:p w14:paraId="19F61BBD">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3E21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14:paraId="4B3DB7E9">
            <w:pPr>
              <w:spacing w:line="360" w:lineRule="auto"/>
              <w:ind w:firstLine="482" w:firstLineChars="200"/>
              <w:jc w:val="left"/>
              <w:rPr>
                <w:rFonts w:hint="eastAsia" w:ascii="宋体" w:hAnsi="宋体"/>
                <w:b/>
                <w:color w:val="000000" w:themeColor="text1"/>
                <w:sz w:val="24"/>
                <w:highlight w:val="none"/>
                <w:shd w:val="clear" w:color="auto" w:fill="FFFFFF"/>
                <w14:textFill>
                  <w14:solidFill>
                    <w14:schemeClr w14:val="tx1"/>
                  </w14:solidFill>
                </w14:textFill>
              </w:rPr>
            </w:pPr>
            <w:r>
              <w:rPr>
                <w:rFonts w:hint="eastAsia" w:ascii="宋体" w:hAnsi="宋体"/>
                <w:b/>
                <w:color w:val="000000" w:themeColor="text1"/>
                <w:sz w:val="24"/>
                <w:highlight w:val="none"/>
                <w:shd w:val="clear" w:color="auto" w:fill="FFFFFF"/>
                <w14:textFill>
                  <w14:solidFill>
                    <w14:schemeClr w14:val="tx1"/>
                  </w14:solidFill>
                </w14:textFill>
              </w:rPr>
              <w:t>优惠及服务承诺：</w:t>
            </w:r>
          </w:p>
          <w:p w14:paraId="19C538D1">
            <w:pPr>
              <w:spacing w:line="360" w:lineRule="auto"/>
              <w:ind w:firstLine="482" w:firstLineChars="200"/>
              <w:jc w:val="left"/>
              <w:rPr>
                <w:rFonts w:hint="eastAsia" w:ascii="宋体" w:hAnsi="宋体"/>
                <w:b/>
                <w:color w:val="000000" w:themeColor="text1"/>
                <w:sz w:val="24"/>
                <w:highlight w:val="none"/>
                <w:shd w:val="clear" w:color="auto" w:fill="FFFFFF"/>
                <w14:textFill>
                  <w14:solidFill>
                    <w14:schemeClr w14:val="tx1"/>
                  </w14:solidFill>
                </w14:textFill>
              </w:rPr>
            </w:pPr>
            <w:r>
              <w:rPr>
                <w:rFonts w:hint="eastAsia" w:ascii="宋体" w:hAnsi="宋体"/>
                <w:b/>
                <w:color w:val="000000" w:themeColor="text1"/>
                <w:sz w:val="24"/>
                <w:highlight w:val="none"/>
                <w:shd w:val="clear" w:color="auto" w:fill="FFFFFF"/>
                <w14:textFill>
                  <w14:solidFill>
                    <w14:schemeClr w14:val="tx1"/>
                  </w14:solidFill>
                </w14:textFill>
              </w:rPr>
              <w:t>（可另附页）</w:t>
            </w:r>
          </w:p>
        </w:tc>
      </w:tr>
    </w:tbl>
    <w:p w14:paraId="249B20F7">
      <w:pPr>
        <w:spacing w:line="360" w:lineRule="auto"/>
        <w:ind w:firstLine="480" w:firstLineChars="2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供应商（盖章）：                               </w:t>
      </w:r>
    </w:p>
    <w:p w14:paraId="6E4C76F9">
      <w:pPr>
        <w:spacing w:line="360" w:lineRule="auto"/>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法人代表或授权代表（签字或盖章）：                                                </w:t>
      </w:r>
    </w:p>
    <w:p w14:paraId="067D2718">
      <w:pPr>
        <w:spacing w:line="360" w:lineRule="auto"/>
        <w:ind w:firstLine="480" w:firstLineChars="20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   </w:t>
      </w:r>
    </w:p>
    <w:p w14:paraId="0A518848">
      <w:pPr>
        <w:widowControl/>
        <w:spacing w:line="360" w:lineRule="auto"/>
        <w:rPr>
          <w:rFonts w:hint="eastAsia" w:ascii="宋体" w:hAnsi="宋体"/>
          <w:b/>
          <w:bCs/>
          <w:color w:val="000000" w:themeColor="text1"/>
          <w:kern w:val="0"/>
          <w:sz w:val="28"/>
          <w:szCs w:val="28"/>
          <w:highlight w:val="none"/>
          <w14:textFill>
            <w14:solidFill>
              <w14:schemeClr w14:val="tx1"/>
            </w14:solidFill>
          </w14:textFill>
        </w:rPr>
      </w:pPr>
      <w:bookmarkStart w:id="35" w:name="_Toc23799"/>
      <w:bookmarkStart w:id="36" w:name="_Toc12799"/>
    </w:p>
    <w:p w14:paraId="74E5ED59">
      <w:pPr>
        <w:widowControl/>
        <w:spacing w:line="360" w:lineRule="auto"/>
        <w:jc w:val="center"/>
        <w:rPr>
          <w:rFonts w:hint="eastAsia"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投标报价明细表</w:t>
      </w:r>
      <w:bookmarkEnd w:id="35"/>
      <w:bookmarkEnd w:id="36"/>
    </w:p>
    <w:tbl>
      <w:tblPr>
        <w:tblStyle w:val="28"/>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14:paraId="2828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14:paraId="33CF5C34">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14:paraId="35110DE2">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14:paraId="6A4E6C84">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14:paraId="5DA606DA">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14:paraId="4561BF8C">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14:paraId="51FE3C58">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14:paraId="215DD7AF">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211D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14:paraId="24AC96AB">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C1CF5B7">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14:paraId="4E0B2DEB">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14:paraId="1DED724E">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14:paraId="3946DD53">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14:paraId="6EA57B76">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14:paraId="5D7E548D">
            <w:pPr>
              <w:pStyle w:val="23"/>
              <w:widowControl w:val="0"/>
              <w:adjustRightInd w:val="0"/>
              <w:spacing w:before="0" w:beforeAutospacing="0" w:after="0" w:afterAutospacing="0" w:line="460" w:lineRule="exact"/>
              <w:ind w:firstLine="235" w:firstLineChars="98"/>
              <w:jc w:val="center"/>
              <w:rPr>
                <w:rFonts w:hint="eastAsia"/>
                <w:bCs/>
                <w:color w:val="000000" w:themeColor="text1"/>
                <w:highlight w:val="none"/>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14:paraId="527E9AA2">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14:paraId="5DFF2AE4">
            <w:pPr>
              <w:pStyle w:val="23"/>
              <w:widowControl w:val="0"/>
              <w:adjustRightInd w:val="0"/>
              <w:spacing w:before="0" w:beforeAutospacing="0" w:after="0" w:afterAutospacing="0" w:line="460" w:lineRule="exact"/>
              <w:ind w:left="105" w:leftChars="50" w:firstLine="115" w:firstLineChars="48"/>
              <w:jc w:val="center"/>
              <w:rPr>
                <w:rFonts w:hint="eastAsia"/>
                <w:bCs/>
                <w:color w:val="000000" w:themeColor="text1"/>
                <w:highlight w:val="none"/>
                <w14:textFill>
                  <w14:solidFill>
                    <w14:schemeClr w14:val="tx1"/>
                  </w14:solidFill>
                </w14:textFill>
              </w:rPr>
            </w:pPr>
          </w:p>
        </w:tc>
      </w:tr>
      <w:tr w14:paraId="0E46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14:paraId="7DCD8187">
            <w:pPr>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14:paraId="4FEF128D">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21A78477">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2918985">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1455875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3034D34B">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759AA5C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48D7CD91">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9F605BA">
            <w:pPr>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76C4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3CE098E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0F560A1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72CDF516">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624039F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54FB8A3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50F284F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2E41D4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0442DD1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428A815">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37BA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AE7F3E6">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2F84B3F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10F8FCD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B08DCC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5E0BD214">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06874427">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E4E3B7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6A4B75DA">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6BF52C8C">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7C9E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15C28ABE">
            <w:pPr>
              <w:spacing w:line="460" w:lineRule="exact"/>
              <w:jc w:val="center"/>
              <w:rPr>
                <w:rStyle w:val="85"/>
                <w:rFonts w:hint="eastAsia"/>
                <w:color w:val="000000" w:themeColor="text1"/>
                <w:sz w:val="24"/>
                <w:szCs w:val="24"/>
                <w:highlight w:val="none"/>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635169F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455C46B6">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00117D4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39FEBE84">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7CDFA59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2AE199C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2BD653F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8602CA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51F7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54AD390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1470FEE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4DF0DE4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2C8D3B1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4121AD2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43FBFD3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352F1215">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69D5924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415AC301">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6FB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14:paraId="2DD3A2DF">
            <w:pPr>
              <w:spacing w:line="4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14:paraId="2B1C1736">
            <w:pPr>
              <w:spacing w:line="4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7B1A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14:paraId="48478731">
            <w:pPr>
              <w:spacing w:line="4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6E044E9">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供应商：（盖章）</w:t>
      </w:r>
    </w:p>
    <w:p w14:paraId="54C05E68">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法定代表人或授权委托代理人：（签字或盖章）</w:t>
      </w:r>
    </w:p>
    <w:p w14:paraId="72F2ABB9">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年    月     日</w:t>
      </w:r>
    </w:p>
    <w:p w14:paraId="62B2C048">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7E876F88">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2CCEAB65">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0F920641">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7006A6CE">
      <w:pPr>
        <w:widowControl/>
        <w:spacing w:line="360" w:lineRule="auto"/>
        <w:jc w:val="center"/>
        <w:rPr>
          <w:rFonts w:hint="eastAsia"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第二轮报价表</w:t>
      </w:r>
    </w:p>
    <w:tbl>
      <w:tblPr>
        <w:tblStyle w:val="28"/>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14:paraId="3571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14:paraId="4A3A19B5">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31F90BBF">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14:paraId="3A4473CE">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14:paraId="6F1B825F">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14:paraId="0D655CDE">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14:paraId="04A868EC">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14:paraId="4BCDE905">
            <w:pPr>
              <w:pStyle w:val="23"/>
              <w:widowControl w:val="0"/>
              <w:adjustRightInd w:val="0"/>
              <w:spacing w:before="0" w:beforeAutospacing="0" w:after="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73F4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14:paraId="55243D34">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6A4CC470">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14:paraId="1E18E0A5">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14:paraId="3B6ED942">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14:paraId="26917F1C">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14:paraId="36C62F9C">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14:paraId="6C1D56BA">
            <w:pPr>
              <w:pStyle w:val="23"/>
              <w:widowControl w:val="0"/>
              <w:adjustRightInd w:val="0"/>
              <w:spacing w:before="0" w:beforeAutospacing="0" w:after="0" w:afterAutospacing="0" w:line="360" w:lineRule="auto"/>
              <w:ind w:firstLine="235" w:firstLineChars="98"/>
              <w:jc w:val="center"/>
              <w:rPr>
                <w:rFonts w:hint="eastAsia"/>
                <w:bCs/>
                <w:color w:val="000000" w:themeColor="text1"/>
                <w:highlight w:val="none"/>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14:paraId="3C94FC5B">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14:paraId="3AA2005B">
            <w:pPr>
              <w:pStyle w:val="23"/>
              <w:widowControl w:val="0"/>
              <w:adjustRightInd w:val="0"/>
              <w:spacing w:before="0" w:beforeAutospacing="0" w:after="0" w:afterAutospacing="0" w:line="360" w:lineRule="auto"/>
              <w:ind w:left="105" w:leftChars="50" w:firstLine="115" w:firstLineChars="48"/>
              <w:jc w:val="center"/>
              <w:rPr>
                <w:rFonts w:hint="eastAsia"/>
                <w:bCs/>
                <w:color w:val="000000" w:themeColor="text1"/>
                <w:highlight w:val="none"/>
                <w14:textFill>
                  <w14:solidFill>
                    <w14:schemeClr w14:val="tx1"/>
                  </w14:solidFill>
                </w14:textFill>
              </w:rPr>
            </w:pPr>
          </w:p>
        </w:tc>
      </w:tr>
      <w:tr w14:paraId="709E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14:paraId="05DE2FEE">
            <w:pPr>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14:paraId="37E1610D">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5C551446">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46F7B87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286D854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0C9FB869">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66725B06">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C1AEEF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404D4D65">
            <w:pPr>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127A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1E8BA51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6E48B81F">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6CC5E8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1952E577">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C39D548">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71B7F6D5">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398534C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6458ED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585362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7251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7C82C409">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FA78F32">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A2D49CF">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5675391A">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6A1C8F68">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64B6776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470E7B9C">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11A8F26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196928E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660C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485A6B4A">
            <w:pPr>
              <w:spacing w:line="360" w:lineRule="auto"/>
              <w:jc w:val="center"/>
              <w:rPr>
                <w:rStyle w:val="85"/>
                <w:rFonts w:hint="eastAsia"/>
                <w:color w:val="000000" w:themeColor="text1"/>
                <w:sz w:val="24"/>
                <w:szCs w:val="24"/>
                <w:highlight w:val="none"/>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4FD2C4A2">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3CE510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D07024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0F07435">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73A6D11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61B1711F">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6F4D8A9A">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CCB15B5">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4DCD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07A2C3CC">
            <w:pPr>
              <w:spacing w:line="360" w:lineRule="auto"/>
              <w:rPr>
                <w:rFonts w:hint="eastAsia" w:ascii="宋体" w:hAnsi="宋体" w:cs="宋体"/>
                <w:bCs/>
                <w:color w:val="000000" w:themeColor="text1"/>
                <w:sz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0A3E265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0D51275B">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D5F826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541BB4E3">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45F75D47">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3DC24D73">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62221AC1">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5169401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17B9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14:paraId="66C7B588">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14:paraId="168C1978">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0629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14:paraId="503E6EB2">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0382B10B">
      <w:pPr>
        <w:pStyle w:val="15"/>
        <w:adjustRightInd w:val="0"/>
        <w:snapToGrid w:val="0"/>
        <w:spacing w:line="360" w:lineRule="auto"/>
        <w:ind w:firstLine="482" w:firstLineChars="200"/>
        <w:rPr>
          <w:rFonts w:hint="eastAsia" w:hAnsi="宋体" w:cs="宋体"/>
          <w:b/>
          <w:color w:val="000000" w:themeColor="text1"/>
          <w:sz w:val="24"/>
          <w:highlight w:val="none"/>
          <w:lang w:bidi="ar"/>
          <w14:textFill>
            <w14:solidFill>
              <w14:schemeClr w14:val="tx1"/>
            </w14:solidFill>
          </w14:textFill>
        </w:rPr>
      </w:pPr>
      <w:r>
        <w:rPr>
          <w:rFonts w:hint="eastAsia" w:hAnsi="宋体"/>
          <w:b/>
          <w:bCs/>
          <w:color w:val="000000" w:themeColor="text1"/>
          <w:kern w:val="0"/>
          <w:sz w:val="24"/>
          <w:highlight w:val="none"/>
          <w14:textFill>
            <w14:solidFill>
              <w14:schemeClr w14:val="tx1"/>
            </w14:solidFill>
          </w14:textFill>
        </w:rPr>
        <w:t>注：投标供应商在系统进行第二轮报价时，需以附件方式上传第二轮报价表电子版(PDF格式)，未提供第二轮报价表电子版（PDF）的视为无效标处理。</w:t>
      </w:r>
    </w:p>
    <w:p w14:paraId="47CEACD7">
      <w:pPr>
        <w:pStyle w:val="15"/>
        <w:adjustRightInd w:val="0"/>
        <w:snapToGrid w:val="0"/>
        <w:spacing w:line="360" w:lineRule="auto"/>
        <w:rPr>
          <w:rFonts w:hAnsi="Calibri"/>
          <w:color w:val="000000" w:themeColor="text1"/>
          <w:sz w:val="24"/>
          <w:szCs w:val="24"/>
          <w:highlight w:val="none"/>
          <w14:textFill>
            <w14:solidFill>
              <w14:schemeClr w14:val="tx1"/>
            </w14:solidFill>
          </w14:textFill>
        </w:rPr>
      </w:pPr>
    </w:p>
    <w:p w14:paraId="5EC996A2">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供应商：（盖章）</w:t>
      </w:r>
    </w:p>
    <w:p w14:paraId="76A4BF95">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法定代表人或授权委托代理人：（签字或盖章）</w:t>
      </w:r>
    </w:p>
    <w:p w14:paraId="2956A533">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年    月     日</w:t>
      </w:r>
    </w:p>
    <w:p w14:paraId="7C0C68EB">
      <w:pPr>
        <w:pStyle w:val="3"/>
        <w:spacing w:before="0" w:after="0" w:line="360" w:lineRule="auto"/>
        <w:rPr>
          <w:rFonts w:hint="eastAsia" w:ascii="宋体" w:hAnsi="宋体" w:cs="宋体"/>
          <w:color w:val="000000" w:themeColor="text1"/>
          <w:sz w:val="28"/>
          <w:szCs w:val="28"/>
          <w:highlight w:val="none"/>
          <w14:textFill>
            <w14:solidFill>
              <w14:schemeClr w14:val="tx1"/>
            </w14:solidFill>
          </w14:textFill>
        </w:rPr>
      </w:pPr>
      <w:bookmarkStart w:id="37" w:name="_Toc25259"/>
      <w:r>
        <w:rPr>
          <w:rFonts w:hint="eastAsia" w:ascii="宋体" w:hAnsi="宋体" w:cs="宋体"/>
          <w:color w:val="000000" w:themeColor="text1"/>
          <w:sz w:val="28"/>
          <w:szCs w:val="28"/>
          <w:highlight w:val="none"/>
          <w14:textFill>
            <w14:solidFill>
              <w14:schemeClr w14:val="tx1"/>
            </w14:solidFill>
          </w14:textFill>
        </w:rPr>
        <w:t>附件2：</w:t>
      </w:r>
      <w:bookmarkEnd w:id="37"/>
    </w:p>
    <w:p w14:paraId="032205F2">
      <w:pPr>
        <w:rPr>
          <w:color w:val="000000" w:themeColor="text1"/>
          <w:highlight w:val="none"/>
          <w14:textFill>
            <w14:solidFill>
              <w14:schemeClr w14:val="tx1"/>
            </w14:solidFill>
          </w14:textFill>
        </w:rPr>
      </w:pPr>
    </w:p>
    <w:p w14:paraId="4B4AD115">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法定代表人身份证明</w:t>
      </w:r>
    </w:p>
    <w:p w14:paraId="1043E701">
      <w:pPr>
        <w:rPr>
          <w:color w:val="000000" w:themeColor="text1"/>
          <w:highlight w:val="none"/>
          <w14:textFill>
            <w14:solidFill>
              <w14:schemeClr w14:val="tx1"/>
            </w14:solidFill>
          </w14:textFill>
        </w:rPr>
      </w:pPr>
    </w:p>
    <w:p w14:paraId="1801C9B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18"/>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17A4156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0CD4B79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579368F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4D2F323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26A610F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olor w:val="000000" w:themeColor="text1"/>
          <w:sz w:val="24"/>
          <w:highlight w:val="none"/>
          <w:u w:val="single"/>
          <w14:textFill>
            <w14:solidFill>
              <w14:schemeClr w14:val="tx1"/>
            </w14:solidFill>
          </w14:textFill>
        </w:rPr>
        <w:t xml:space="preserve">          </w:t>
      </w:r>
    </w:p>
    <w:p w14:paraId="4BE5BB4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（供应商名称）的法定代表人。</w:t>
      </w:r>
    </w:p>
    <w:p w14:paraId="474E940B">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2C925080">
      <w:pPr>
        <w:pStyle w:val="3"/>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32BED5"/>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1E32BED5"/>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6F7AA7"/>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0A6F7AA7"/>
                  </w:txbxContent>
                </v:textbox>
              </v:shape>
            </w:pict>
          </mc:Fallback>
        </mc:AlternateContent>
      </w:r>
    </w:p>
    <w:p w14:paraId="04270490">
      <w:pPr>
        <w:rPr>
          <w:rFonts w:hint="eastAsia" w:ascii="宋体" w:hAnsi="宋体"/>
          <w:color w:val="000000" w:themeColor="text1"/>
          <w:sz w:val="24"/>
          <w:highlight w:val="none"/>
          <w14:textFill>
            <w14:solidFill>
              <w14:schemeClr w14:val="tx1"/>
            </w14:solidFill>
          </w14:textFill>
        </w:rPr>
      </w:pPr>
    </w:p>
    <w:p w14:paraId="67E6B56B">
      <w:pPr>
        <w:pStyle w:val="3"/>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68C8B1">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1768C8B1">
                      <w:r>
                        <w:rPr>
                          <w:rFonts w:hint="eastAsia" w:ascii="宋体" w:hAnsi="宋体"/>
                          <w:sz w:val="24"/>
                        </w:rPr>
                        <w:t>法定代表人身份证复印件粘贴处（正面）</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CD09F2">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41CD09F2">
                      <w:r>
                        <w:rPr>
                          <w:rFonts w:hint="eastAsia" w:ascii="宋体" w:hAnsi="宋体"/>
                          <w:sz w:val="24"/>
                        </w:rPr>
                        <w:t>法定代表人身份证复印件粘贴处（背面）</w:t>
                      </w:r>
                    </w:p>
                  </w:txbxContent>
                </v:textbox>
              </v:shape>
            </w:pict>
          </mc:Fallback>
        </mc:AlternateContent>
      </w:r>
    </w:p>
    <w:p w14:paraId="18CAB10D">
      <w:pPr>
        <w:rPr>
          <w:rFonts w:hint="eastAsia" w:ascii="宋体" w:hAnsi="宋体"/>
          <w:color w:val="000000" w:themeColor="text1"/>
          <w:sz w:val="24"/>
          <w:highlight w:val="none"/>
          <w14:textFill>
            <w14:solidFill>
              <w14:schemeClr w14:val="tx1"/>
            </w14:solidFill>
          </w14:textFill>
        </w:rPr>
      </w:pPr>
    </w:p>
    <w:p w14:paraId="32F6F7C5">
      <w:pPr>
        <w:spacing w:line="360" w:lineRule="auto"/>
        <w:rPr>
          <w:rFonts w:hint="eastAsia" w:ascii="宋体" w:hAnsi="宋体"/>
          <w:color w:val="000000" w:themeColor="text1"/>
          <w:sz w:val="24"/>
          <w:highlight w:val="none"/>
          <w14:textFill>
            <w14:solidFill>
              <w14:schemeClr w14:val="tx1"/>
            </w14:solidFill>
          </w14:textFill>
        </w:rPr>
      </w:pPr>
    </w:p>
    <w:p w14:paraId="478C154F">
      <w:pPr>
        <w:spacing w:line="360" w:lineRule="auto"/>
        <w:rPr>
          <w:rFonts w:hint="eastAsia" w:ascii="宋体" w:hAnsi="宋体"/>
          <w:color w:val="000000" w:themeColor="text1"/>
          <w:sz w:val="24"/>
          <w:highlight w:val="none"/>
          <w14:textFill>
            <w14:solidFill>
              <w14:schemeClr w14:val="tx1"/>
            </w14:solidFill>
          </w14:textFill>
        </w:rPr>
      </w:pPr>
    </w:p>
    <w:p w14:paraId="641A623F">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 （盖单位章）</w:t>
      </w:r>
    </w:p>
    <w:p w14:paraId="6337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3FDB1D7">
      <w:pPr>
        <w:spacing w:line="360" w:lineRule="auto"/>
        <w:ind w:firstLine="6480" w:firstLineChars="27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669C8083">
      <w:pPr>
        <w:pStyle w:val="3"/>
        <w:spacing w:before="0" w:after="0" w:line="360" w:lineRule="auto"/>
        <w:rPr>
          <w:rFonts w:hint="eastAsia" w:ascii="宋体" w:hAnsi="宋体" w:cs="宋体"/>
          <w:color w:val="000000" w:themeColor="text1"/>
          <w:highlight w:val="none"/>
          <w14:textFill>
            <w14:solidFill>
              <w14:schemeClr w14:val="tx1"/>
            </w14:solidFill>
          </w14:textFill>
        </w:rPr>
      </w:pPr>
      <w:bookmarkStart w:id="38" w:name="_Toc28332"/>
      <w:r>
        <w:rPr>
          <w:rFonts w:hint="eastAsia" w:ascii="宋体" w:hAnsi="宋体" w:cs="宋体"/>
          <w:color w:val="000000" w:themeColor="text1"/>
          <w:highlight w:val="none"/>
          <w14:textFill>
            <w14:solidFill>
              <w14:schemeClr w14:val="tx1"/>
            </w14:solidFill>
          </w14:textFill>
        </w:rPr>
        <w:t>附件3：</w:t>
      </w:r>
      <w:bookmarkEnd w:id="38"/>
    </w:p>
    <w:p w14:paraId="1CFB01BA">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授权委托书</w:t>
      </w:r>
    </w:p>
    <w:p w14:paraId="647DF1C4">
      <w:pPr>
        <w:rPr>
          <w:color w:val="000000" w:themeColor="text1"/>
          <w:highlight w:val="none"/>
          <w14:textFill>
            <w14:solidFill>
              <w14:schemeClr w14:val="tx1"/>
            </w14:solidFill>
          </w14:textFill>
        </w:rPr>
      </w:pPr>
    </w:p>
    <w:p w14:paraId="4EB0EB0E">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（供应商名称）的法定代表人，现委托</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（项目名称）项目响应文件、签订合同和处理有关事宜，其法律后果由我方承担。</w:t>
      </w:r>
    </w:p>
    <w:p w14:paraId="743665C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u w:val="single"/>
          <w14:textFill>
            <w14:solidFill>
              <w14:schemeClr w14:val="tx1"/>
            </w14:solidFill>
          </w14:textFill>
        </w:rPr>
        <w:t xml:space="preserve">                                </w:t>
      </w:r>
    </w:p>
    <w:p w14:paraId="65EB807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代理人无转委托权。</w:t>
      </w:r>
    </w:p>
    <w:p w14:paraId="16AD760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2CE095"/>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062CE095"/>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1796E2D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1288E6DD">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290D6BD3">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386353">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6386353">
                      <w:r>
                        <w:rPr>
                          <w:rFonts w:hint="eastAsia" w:ascii="宋体" w:hAnsi="宋体"/>
                          <w:sz w:val="24"/>
                        </w:rPr>
                        <w:t>委托代理人身份证复印件粘贴处（正面）</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10F73">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52A10F73">
                      <w:r>
                        <w:rPr>
                          <w:rFonts w:hint="eastAsia" w:ascii="宋体" w:hAnsi="宋体"/>
                          <w:sz w:val="24"/>
                        </w:rPr>
                        <w:t>委托代理人身份证复印件粘贴处（背面）</w:t>
                      </w:r>
                    </w:p>
                  </w:txbxContent>
                </v:textbox>
              </v:shape>
            </w:pict>
          </mc:Fallback>
        </mc:AlternateContent>
      </w:r>
    </w:p>
    <w:p w14:paraId="02EE58B2">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0CCD4C61">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3AF7E30F">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52CE7B4C">
      <w:pPr>
        <w:spacing w:line="360" w:lineRule="auto"/>
        <w:jc w:val="left"/>
        <w:rPr>
          <w:rFonts w:hint="eastAsia" w:ascii="宋体" w:hAnsi="宋体"/>
          <w:color w:val="000000" w:themeColor="text1"/>
          <w:sz w:val="24"/>
          <w:highlight w:val="none"/>
          <w14:textFill>
            <w14:solidFill>
              <w14:schemeClr w14:val="tx1"/>
            </w14:solidFill>
          </w14:textFill>
        </w:rPr>
      </w:pPr>
    </w:p>
    <w:p w14:paraId="565D00C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（盖单位公章） </w:t>
      </w:r>
    </w:p>
    <w:p w14:paraId="48F2C667">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（签字或盖章）</w:t>
      </w:r>
    </w:p>
    <w:p w14:paraId="24B2328A">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（签字或盖章）</w:t>
      </w:r>
    </w:p>
    <w:p w14:paraId="634998CB">
      <w:pPr>
        <w:spacing w:line="360" w:lineRule="auto"/>
        <w:ind w:firstLine="5040" w:firstLineChars="2100"/>
        <w:rPr>
          <w:rFonts w:hint="eastAsia" w:ascii="宋体" w:hAnsi="宋体"/>
          <w:color w:val="000000" w:themeColor="text1"/>
          <w:sz w:val="24"/>
          <w:highlight w:val="none"/>
          <w14:textFill>
            <w14:solidFill>
              <w14:schemeClr w14:val="tx1"/>
            </w14:solidFill>
          </w14:textFill>
        </w:rPr>
      </w:pPr>
    </w:p>
    <w:p w14:paraId="19779A96">
      <w:pPr>
        <w:spacing w:line="360" w:lineRule="auto"/>
        <w:ind w:firstLine="5040" w:firstLineChars="2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1C72231E">
      <w:pPr>
        <w:widowControl/>
        <w:spacing w:line="360" w:lineRule="auto"/>
        <w:jc w:val="left"/>
        <w:rPr>
          <w:rFonts w:hint="eastAsia" w:ascii="宋体" w:hAnsi="宋体"/>
          <w:b/>
          <w:color w:val="000000" w:themeColor="text1"/>
          <w:sz w:val="28"/>
          <w:szCs w:val="28"/>
          <w:highlight w:val="none"/>
          <w14:textFill>
            <w14:solidFill>
              <w14:schemeClr w14:val="tx1"/>
            </w14:solidFill>
          </w14:textFill>
        </w:rPr>
      </w:pPr>
    </w:p>
    <w:p w14:paraId="61B9F955">
      <w:pPr>
        <w:widowControl/>
        <w:spacing w:line="360" w:lineRule="auto"/>
        <w:jc w:val="left"/>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附件4：</w:t>
      </w:r>
    </w:p>
    <w:p w14:paraId="369F1E00">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供应商的资格证明承诺函</w:t>
      </w:r>
    </w:p>
    <w:p w14:paraId="114EC3F7">
      <w:pPr>
        <w:rPr>
          <w:color w:val="000000" w:themeColor="text1"/>
          <w:highlight w:val="none"/>
          <w14:textFill>
            <w14:solidFill>
              <w14:schemeClr w14:val="tx1"/>
            </w14:solidFill>
          </w14:textFill>
        </w:rPr>
      </w:pPr>
    </w:p>
    <w:p w14:paraId="15C085AB">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致 (采购人)：_________________________________ </w:t>
      </w:r>
    </w:p>
    <w:p w14:paraId="15D4A7AC">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供应商名称： _________________________________</w:t>
      </w:r>
    </w:p>
    <w:p w14:paraId="1A312DF4">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统一社会信用代码：_________________________________ </w:t>
      </w:r>
    </w:p>
    <w:p w14:paraId="6BBCB385">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供应商地址：_________________________________</w:t>
      </w:r>
    </w:p>
    <w:p w14:paraId="413FD2E7">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488ABCD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一、我单位具有有效的营业执照（三证合一）</w:t>
      </w:r>
    </w:p>
    <w:p w14:paraId="0D7A49B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二、我单位符合《中华人民共和国政府采购法》第二十二条规定的条件： </w:t>
      </w:r>
    </w:p>
    <w:p w14:paraId="27699B6A">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1.我单位具有符合采购文件资格要求的独立承担民事责任的能力。 </w:t>
      </w:r>
    </w:p>
    <w:p w14:paraId="197BE702">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2.我单位具有符合采购文件资格要求的财务状况报告。 </w:t>
      </w:r>
    </w:p>
    <w:p w14:paraId="415A05BA">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3.我单位具有符合采购文件资格要求的依法缴纳税收和社会保障记录的良好记录。 </w:t>
      </w:r>
    </w:p>
    <w:p w14:paraId="359A8DC8">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4.我单位具有符合采购文件资格要求的履行合同所必需的设备和专业技术能力。 </w:t>
      </w:r>
    </w:p>
    <w:p w14:paraId="053E0A0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5.我单位参加政府采购活动前三年内，在经营活动中没有重大违法记录。 </w:t>
      </w:r>
    </w:p>
    <w:p w14:paraId="38125B65">
      <w:pPr>
        <w:rPr>
          <w:color w:val="000000" w:themeColor="text1"/>
          <w:highlight w:val="none"/>
          <w14:textFill>
            <w14:solidFill>
              <w14:schemeClr w14:val="tx1"/>
            </w14:solidFill>
          </w14:textFill>
        </w:rPr>
      </w:pPr>
    </w:p>
    <w:p w14:paraId="334910C7">
      <w:pPr>
        <w:pStyle w:val="3"/>
        <w:spacing w:line="400" w:lineRule="exact"/>
        <w:ind w:firstLine="482" w:firstLineChars="200"/>
        <w:rPr>
          <w:rFonts w:hint="eastAsia" w:ascii="宋体" w:hAnsi="宋体"/>
          <w:color w:val="000000" w:themeColor="text1"/>
          <w:sz w:val="24"/>
          <w:szCs w:val="21"/>
          <w:highlight w:val="none"/>
          <w14:textFill>
            <w14:solidFill>
              <w14:schemeClr w14:val="tx1"/>
            </w14:solidFill>
          </w14:textFill>
        </w:rPr>
      </w:pPr>
      <w:bookmarkStart w:id="39" w:name="_Toc7407"/>
      <w:r>
        <w:rPr>
          <w:rFonts w:hint="eastAsia" w:ascii="宋体" w:hAnsi="宋体"/>
          <w:color w:val="000000" w:themeColor="text1"/>
          <w:sz w:val="24"/>
          <w:szCs w:val="21"/>
          <w:highlight w:val="none"/>
          <w14:textFill>
            <w14:solidFill>
              <w14:schemeClr w14:val="tx1"/>
            </w14:solidFill>
          </w14:textFill>
        </w:rPr>
        <w:t>若我单位承诺不实，自愿承担提供虚假材料谋取中标、成交的法律责任。</w:t>
      </w:r>
      <w:bookmarkEnd w:id="39"/>
      <w:r>
        <w:rPr>
          <w:rFonts w:hint="eastAsia" w:ascii="宋体" w:hAnsi="宋体"/>
          <w:color w:val="000000" w:themeColor="text1"/>
          <w:sz w:val="24"/>
          <w:szCs w:val="21"/>
          <w:highlight w:val="none"/>
          <w14:textFill>
            <w14:solidFill>
              <w14:schemeClr w14:val="tx1"/>
            </w14:solidFill>
          </w14:textFill>
        </w:rPr>
        <w:t xml:space="preserve"> </w:t>
      </w:r>
    </w:p>
    <w:p w14:paraId="15156907">
      <w:pPr>
        <w:rPr>
          <w:color w:val="000000" w:themeColor="text1"/>
          <w:highlight w:val="none"/>
          <w14:textFill>
            <w14:solidFill>
              <w14:schemeClr w14:val="tx1"/>
            </w14:solidFill>
          </w14:textFill>
        </w:rPr>
      </w:pPr>
    </w:p>
    <w:p w14:paraId="716AF700">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承诺供应商（全称并加盖公章）：__________________ </w:t>
      </w:r>
    </w:p>
    <w:p w14:paraId="2F92A374">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法定代表人或授权代表(签字或盖章)：__________________ </w:t>
      </w:r>
    </w:p>
    <w:p w14:paraId="279554B6">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日期：</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日</w:t>
      </w:r>
    </w:p>
    <w:p w14:paraId="26DF8D1B">
      <w:pPr>
        <w:spacing w:line="520" w:lineRule="exact"/>
        <w:ind w:firstLine="480" w:firstLineChars="200"/>
        <w:jc w:val="left"/>
        <w:rPr>
          <w:rFonts w:hint="eastAsia" w:ascii="宋体" w:hAnsi="宋体"/>
          <w:color w:val="000000" w:themeColor="text1"/>
          <w:sz w:val="24"/>
          <w:highlight w:val="none"/>
          <w14:textFill>
            <w14:solidFill>
              <w14:schemeClr w14:val="tx1"/>
            </w14:solidFill>
          </w14:textFill>
        </w:rPr>
      </w:pPr>
    </w:p>
    <w:p w14:paraId="6935071E">
      <w:pPr>
        <w:spacing w:line="360" w:lineRule="auto"/>
        <w:rPr>
          <w:b/>
          <w:color w:val="000000" w:themeColor="text1"/>
          <w:sz w:val="32"/>
          <w:szCs w:val="32"/>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附件5：</w:t>
      </w:r>
    </w:p>
    <w:p w14:paraId="325F0096">
      <w:pPr>
        <w:spacing w:line="360" w:lineRule="auto"/>
        <w:ind w:firstLine="643" w:firstLineChars="200"/>
        <w:jc w:val="center"/>
        <w:rPr>
          <w:b/>
          <w:color w:val="000000" w:themeColor="text1"/>
          <w:sz w:val="32"/>
          <w:szCs w:val="32"/>
          <w:highlight w:val="none"/>
          <w14:textFill>
            <w14:solidFill>
              <w14:schemeClr w14:val="tx1"/>
            </w14:solidFill>
          </w14:textFill>
        </w:rPr>
      </w:pPr>
    </w:p>
    <w:p w14:paraId="01A6498C">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供应商的服务承诺及优惠承诺</w:t>
      </w:r>
    </w:p>
    <w:p w14:paraId="6360252C">
      <w:pPr>
        <w:widowControl/>
        <w:spacing w:line="360" w:lineRule="auto"/>
        <w:jc w:val="left"/>
        <w:rPr>
          <w:rFonts w:hint="eastAsia" w:ascii="宋体" w:hAnsi="宋体"/>
          <w:color w:val="000000" w:themeColor="text1"/>
          <w:kern w:val="0"/>
          <w:sz w:val="24"/>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附件6：</w:t>
      </w:r>
    </w:p>
    <w:p w14:paraId="7A7EF45B">
      <w:pPr>
        <w:spacing w:line="360" w:lineRule="auto"/>
        <w:ind w:firstLine="643" w:firstLineChars="200"/>
        <w:jc w:val="center"/>
        <w:rPr>
          <w:b/>
          <w:color w:val="000000" w:themeColor="text1"/>
          <w:sz w:val="32"/>
          <w:szCs w:val="32"/>
          <w:highlight w:val="none"/>
          <w14:textFill>
            <w14:solidFill>
              <w14:schemeClr w14:val="tx1"/>
            </w14:solidFill>
          </w14:textFill>
        </w:rPr>
      </w:pPr>
    </w:p>
    <w:p w14:paraId="73713786">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供应商所投产品属于政府采购清单规定的节能环保产品的证明材料</w:t>
      </w:r>
    </w:p>
    <w:p w14:paraId="596C023E">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（如有）</w:t>
      </w:r>
    </w:p>
    <w:p w14:paraId="1F9EFA63">
      <w:pPr>
        <w:widowControl/>
        <w:spacing w:line="360" w:lineRule="auto"/>
        <w:jc w:val="left"/>
        <w:rPr>
          <w:b/>
          <w:color w:val="000000" w:themeColor="text1"/>
          <w:sz w:val="44"/>
          <w:szCs w:val="44"/>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附件7：</w:t>
      </w:r>
    </w:p>
    <w:p w14:paraId="30F87717">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投标承诺函</w:t>
      </w:r>
    </w:p>
    <w:p w14:paraId="46FD8000">
      <w:pPr>
        <w:widowControl/>
        <w:tabs>
          <w:tab w:val="left" w:pos="735"/>
        </w:tabs>
        <w:spacing w:line="600" w:lineRule="atLeast"/>
        <w:rPr>
          <w:rFonts w:hint="eastAsia" w:ascii="宋体" w:hAnsi="宋体"/>
          <w:b/>
          <w:color w:val="000000" w:themeColor="text1"/>
          <w:sz w:val="28"/>
          <w:szCs w:val="28"/>
          <w:highlight w:val="none"/>
          <w14:textFill>
            <w14:solidFill>
              <w14:schemeClr w14:val="tx1"/>
            </w14:solidFill>
          </w14:textFill>
        </w:rPr>
      </w:pPr>
    </w:p>
    <w:p w14:paraId="06246741">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项目（采购编号：       ）投标行为做出承诺，保证所提交材料的真实性。</w:t>
      </w:r>
    </w:p>
    <w:p w14:paraId="3D99E7A1">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我单位承诺：</w:t>
      </w:r>
    </w:p>
    <w:p w14:paraId="5457DC1C">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投标有效期</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，我单位不得要求退出竞标或者修改响应性文件且</w:t>
      </w:r>
      <w:r>
        <w:rPr>
          <w:rFonts w:ascii="宋体" w:hAnsi="宋体"/>
          <w:color w:val="000000" w:themeColor="text1"/>
          <w:sz w:val="24"/>
          <w:highlight w:val="none"/>
          <w14:textFill>
            <w14:solidFill>
              <w14:schemeClr w14:val="tx1"/>
            </w14:solidFill>
          </w14:textFill>
        </w:rPr>
        <w:t>对递交的</w:t>
      </w:r>
      <w:r>
        <w:rPr>
          <w:rFonts w:hint="eastAsia" w:ascii="宋体" w:hAnsi="宋体"/>
          <w:color w:val="000000" w:themeColor="text1"/>
          <w:sz w:val="24"/>
          <w:highlight w:val="none"/>
          <w14:textFill>
            <w14:solidFill>
              <w14:schemeClr w14:val="tx1"/>
            </w14:solidFill>
          </w14:textFill>
        </w:rPr>
        <w:t>响应性</w:t>
      </w:r>
      <w:r>
        <w:rPr>
          <w:rFonts w:ascii="宋体" w:hAnsi="宋体"/>
          <w:color w:val="000000" w:themeColor="text1"/>
          <w:sz w:val="24"/>
          <w:highlight w:val="none"/>
          <w14:textFill>
            <w14:solidFill>
              <w14:schemeClr w14:val="tx1"/>
            </w14:solidFill>
          </w14:textFill>
        </w:rPr>
        <w:t>文件负责，受其约束。</w:t>
      </w:r>
    </w:p>
    <w:p w14:paraId="49A40918">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2、若我单位成交，在接到成交通知书后，除不可抗力因素外，及时按</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与采购人</w:t>
      </w:r>
      <w:r>
        <w:rPr>
          <w:rFonts w:ascii="宋体" w:hAnsi="宋体"/>
          <w:color w:val="000000" w:themeColor="text1"/>
          <w:sz w:val="24"/>
          <w:highlight w:val="none"/>
          <w14:textFill>
            <w14:solidFill>
              <w14:schemeClr w14:val="tx1"/>
            </w14:solidFill>
          </w14:textFill>
        </w:rPr>
        <w:t>签订合同</w:t>
      </w:r>
      <w:r>
        <w:rPr>
          <w:rFonts w:hint="eastAsia" w:ascii="宋体" w:hAnsi="宋体"/>
          <w:color w:val="000000" w:themeColor="text1"/>
          <w:sz w:val="24"/>
          <w:highlight w:val="none"/>
          <w14:textFill>
            <w14:solidFill>
              <w14:schemeClr w14:val="tx1"/>
            </w14:solidFill>
          </w14:textFill>
        </w:rPr>
        <w:t>并认真履约。</w:t>
      </w:r>
    </w:p>
    <w:p w14:paraId="34FDBF47">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059FCD4E">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5E93D9E3">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91ACE47">
      <w:pPr>
        <w:spacing w:line="52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6、不存在法律法规规定的其他违法违规行为。</w:t>
      </w:r>
    </w:p>
    <w:p w14:paraId="44685A73">
      <w:pPr>
        <w:rPr>
          <w:color w:val="000000" w:themeColor="text1"/>
          <w:highlight w:val="none"/>
          <w14:textFill>
            <w14:solidFill>
              <w14:schemeClr w14:val="tx1"/>
            </w14:solidFill>
          </w14:textFill>
        </w:rPr>
      </w:pPr>
    </w:p>
    <w:p w14:paraId="7262D3C1">
      <w:pPr>
        <w:pStyle w:val="15"/>
        <w:adjustRightInd w:val="0"/>
        <w:snapToGrid w:val="0"/>
        <w:spacing w:line="360" w:lineRule="auto"/>
        <w:ind w:firstLine="480" w:firstLineChars="200"/>
        <w:jc w:val="righ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供应商（盖章）： </w:t>
      </w:r>
    </w:p>
    <w:p w14:paraId="5462751E">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int="eastAsia" w:hAnsi="Calibri"/>
          <w:color w:val="000000" w:themeColor="text1"/>
          <w:sz w:val="24"/>
          <w:szCs w:val="24"/>
          <w:highlight w:val="none"/>
          <w14:textFill>
            <w14:solidFill>
              <w14:schemeClr w14:val="tx1"/>
            </w14:solidFill>
          </w14:textFill>
        </w:rPr>
        <w:t>年    月     日</w:t>
      </w:r>
    </w:p>
    <w:p w14:paraId="6033F037">
      <w:pPr>
        <w:spacing w:line="520" w:lineRule="exact"/>
        <w:rPr>
          <w:b/>
          <w:color w:val="000000" w:themeColor="text1"/>
          <w:sz w:val="44"/>
          <w:szCs w:val="4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附件8：</w:t>
      </w:r>
      <w:r>
        <w:rPr>
          <w:rFonts w:hint="eastAsia" w:ascii="宋体" w:hAnsi="宋体"/>
          <w:color w:val="000000" w:themeColor="text1"/>
          <w:sz w:val="24"/>
          <w:highlight w:val="none"/>
          <w14:textFill>
            <w14:solidFill>
              <w14:schemeClr w14:val="tx1"/>
            </w14:solidFill>
          </w14:textFill>
        </w:rPr>
        <w:t xml:space="preserve">    </w:t>
      </w:r>
    </w:p>
    <w:p w14:paraId="43935289">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中小企业声明函（如有）</w:t>
      </w:r>
    </w:p>
    <w:p w14:paraId="05D22279">
      <w:pPr>
        <w:jc w:val="center"/>
        <w:rPr>
          <w:rFonts w:hint="eastAsia" w:ascii="宋体" w:hAnsi="宋体" w:cs="宋体"/>
          <w:b/>
          <w:bCs/>
          <w:color w:val="000000" w:themeColor="text1"/>
          <w:sz w:val="28"/>
          <w:szCs w:val="28"/>
          <w:highlight w:val="none"/>
          <w14:textFill>
            <w14:solidFill>
              <w14:schemeClr w14:val="tx1"/>
            </w14:solidFill>
          </w14:textFill>
        </w:rPr>
      </w:pPr>
    </w:p>
    <w:p w14:paraId="6981211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highlight w:val="none"/>
          <w:u w:val="single"/>
          <w14:textFill>
            <w14:solidFill>
              <w14:schemeClr w14:val="tx1"/>
            </w14:solidFill>
          </w14:textFill>
        </w:rPr>
        <w:t>（单位名称）</w:t>
      </w:r>
      <w:r>
        <w:rPr>
          <w:rFonts w:ascii="宋体" w:hAnsi="宋体" w:cs="宋体"/>
          <w:color w:val="000000" w:themeColor="text1"/>
          <w:sz w:val="24"/>
          <w:highlight w:val="none"/>
          <w14:textFill>
            <w14:solidFill>
              <w14:schemeClr w14:val="tx1"/>
            </w14:solidFill>
          </w14:textFill>
        </w:rPr>
        <w:t>的</w:t>
      </w:r>
      <w:r>
        <w:rPr>
          <w:rFonts w:ascii="宋体" w:hAnsi="宋体" w:cs="宋体"/>
          <w:color w:val="000000" w:themeColor="text1"/>
          <w:sz w:val="24"/>
          <w:highlight w:val="none"/>
          <w:u w:val="single"/>
          <w14:textFill>
            <w14:solidFill>
              <w14:schemeClr w14:val="tx1"/>
            </w14:solidFill>
          </w14:textFill>
        </w:rPr>
        <w:t>（项目名称）</w:t>
      </w:r>
      <w:r>
        <w:rPr>
          <w:rFonts w:ascii="宋体" w:hAnsi="宋体" w:cs="宋体"/>
          <w:color w:val="000000" w:themeColor="text1"/>
          <w:sz w:val="24"/>
          <w:highlight w:val="none"/>
          <w14:textFill>
            <w14:solidFill>
              <w14:schemeClr w14:val="tx1"/>
            </w14:solidFill>
          </w14:textFill>
        </w:rPr>
        <w:t>采购活动，提供的货物全部由符合政策要求的中小企业制造。相关企业 （含联合体中的中小企业、签订分包意向协议的中小企业） 的具体情况如下：</w:t>
      </w:r>
    </w:p>
    <w:p w14:paraId="19E07FB3">
      <w:pPr>
        <w:numPr>
          <w:ilvl w:val="0"/>
          <w:numId w:val="8"/>
        </w:numPr>
        <w:spacing w:line="560" w:lineRule="exact"/>
        <w:ind w:left="0" w:firstLine="600" w:firstLine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（标的名称）</w:t>
      </w:r>
      <w:r>
        <w:rPr>
          <w:rFonts w:ascii="宋体" w:hAnsi="宋体" w:cs="宋体"/>
          <w:color w:val="000000" w:themeColor="text1"/>
          <w:sz w:val="24"/>
          <w:highlight w:val="none"/>
          <w14:textFill>
            <w14:solidFill>
              <w14:schemeClr w14:val="tx1"/>
            </w14:solidFill>
          </w14:textFill>
        </w:rPr>
        <w:t xml:space="preserve"> ，属于</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行业；制造商为</w:t>
      </w:r>
      <w:r>
        <w:rPr>
          <w:rFonts w:ascii="宋体" w:hAnsi="宋体" w:cs="宋体"/>
          <w:color w:val="000000" w:themeColor="text1"/>
          <w:sz w:val="24"/>
          <w:highlight w:val="none"/>
          <w:u w:val="single"/>
          <w14:textFill>
            <w14:solidFill>
              <w14:schemeClr w14:val="tx1"/>
            </w14:solidFill>
          </w14:textFill>
        </w:rPr>
        <w:t>（企业名称）</w:t>
      </w:r>
      <w:r>
        <w:rPr>
          <w:rFonts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 ，属于</w:t>
      </w:r>
      <w:r>
        <w:rPr>
          <w:rFonts w:ascii="宋体" w:hAnsi="宋体" w:cs="宋体"/>
          <w:color w:val="000000" w:themeColor="text1"/>
          <w:sz w:val="24"/>
          <w:highlight w:val="none"/>
          <w:u w:val="single"/>
          <w14:textFill>
            <w14:solidFill>
              <w14:schemeClr w14:val="tx1"/>
            </w14:solidFill>
          </w14:textFill>
        </w:rPr>
        <w:t>（中型企业、小型企业、微型企业）</w:t>
      </w:r>
      <w:r>
        <w:rPr>
          <w:rFonts w:ascii="宋体" w:hAnsi="宋体" w:cs="宋体"/>
          <w:color w:val="000000" w:themeColor="text1"/>
          <w:sz w:val="24"/>
          <w:highlight w:val="none"/>
          <w14:textFill>
            <w14:solidFill>
              <w14:schemeClr w14:val="tx1"/>
            </w14:solidFill>
          </w14:textFill>
        </w:rPr>
        <w:t>；</w:t>
      </w:r>
    </w:p>
    <w:p w14:paraId="548FBCE9">
      <w:pPr>
        <w:numPr>
          <w:ilvl w:val="0"/>
          <w:numId w:val="8"/>
        </w:numPr>
        <w:spacing w:line="560" w:lineRule="exact"/>
        <w:ind w:left="0" w:firstLine="600" w:firstLine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 xml:space="preserve">（标的名称） </w:t>
      </w:r>
      <w:r>
        <w:rPr>
          <w:rFonts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行业；制造商为</w:t>
      </w:r>
      <w:r>
        <w:rPr>
          <w:rFonts w:ascii="宋体" w:hAnsi="宋体" w:cs="宋体"/>
          <w:color w:val="000000" w:themeColor="text1"/>
          <w:sz w:val="24"/>
          <w:highlight w:val="none"/>
          <w:u w:val="single"/>
          <w14:textFill>
            <w14:solidFill>
              <w14:schemeClr w14:val="tx1"/>
            </w14:solidFill>
          </w14:textFill>
        </w:rPr>
        <w:t>（企业名称）</w:t>
      </w:r>
      <w:r>
        <w:rPr>
          <w:rFonts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万元，属于</w:t>
      </w:r>
      <w:r>
        <w:rPr>
          <w:rFonts w:ascii="宋体" w:hAnsi="宋体" w:cs="宋体"/>
          <w:color w:val="000000" w:themeColor="text1"/>
          <w:sz w:val="24"/>
          <w:highlight w:val="none"/>
          <w:u w:val="single"/>
          <w14:textFill>
            <w14:solidFill>
              <w14:schemeClr w14:val="tx1"/>
            </w14:solidFill>
          </w14:textFill>
        </w:rPr>
        <w:t>（中型企业、小型企业、微型企业）</w:t>
      </w:r>
      <w:r>
        <w:rPr>
          <w:rFonts w:ascii="宋体" w:hAnsi="宋体" w:cs="宋体"/>
          <w:color w:val="000000" w:themeColor="text1"/>
          <w:sz w:val="24"/>
          <w:highlight w:val="none"/>
          <w14:textFill>
            <w14:solidFill>
              <w14:schemeClr w14:val="tx1"/>
            </w14:solidFill>
          </w14:textFill>
        </w:rPr>
        <w:t>；</w:t>
      </w:r>
    </w:p>
    <w:p w14:paraId="294F0A0B">
      <w:pPr>
        <w:spacing w:line="560" w:lineRule="exact"/>
        <w:ind w:left="525" w:left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 </w:t>
      </w:r>
    </w:p>
    <w:p w14:paraId="584101D7">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以上企业，不属于大企业的分支机构，不存在控股股东 为大企业的情形，也不存在与大企业的负责人为同一人的情形。 </w:t>
      </w:r>
    </w:p>
    <w:p w14:paraId="50F077A3">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本企业对上述声明内容的真实性负责。如有虚假，将依 法承担相应责任。 </w:t>
      </w:r>
    </w:p>
    <w:p w14:paraId="342A7C96">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p>
    <w:p w14:paraId="5CFA4E32">
      <w:pPr>
        <w:spacing w:line="560" w:lineRule="exact"/>
        <w:ind w:left="5" w:firstLine="518" w:firstLineChars="216"/>
        <w:jc w:val="righ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企业名称（盖章）：</w:t>
      </w:r>
    </w:p>
    <w:p w14:paraId="0996CDDA">
      <w:pPr>
        <w:spacing w:line="560" w:lineRule="exact"/>
        <w:ind w:left="5" w:firstLine="518" w:firstLineChars="216"/>
        <w:jc w:val="righ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日 期： </w:t>
      </w:r>
    </w:p>
    <w:p w14:paraId="7963D712">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14:paraId="063EB432">
      <w:pPr>
        <w:pStyle w:val="27"/>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2、供应商提供的声明函将在中标后随中标公告一并公示，若声明函内容不实的，将依照《政府采购法》等国家有关规定追究相应责任。</w:t>
      </w:r>
      <w:bookmarkStart w:id="40" w:name="_Toc309736882"/>
      <w:bookmarkStart w:id="41" w:name="_Toc352061202"/>
      <w:bookmarkStart w:id="42" w:name="_Toc12390"/>
    </w:p>
    <w:bookmarkEnd w:id="40"/>
    <w:bookmarkEnd w:id="41"/>
    <w:bookmarkEnd w:id="42"/>
    <w:p w14:paraId="2E938FF2">
      <w:pPr>
        <w:widowControl/>
        <w:tabs>
          <w:tab w:val="left" w:pos="735"/>
        </w:tabs>
        <w:spacing w:line="360" w:lineRule="auto"/>
        <w:rPr>
          <w:rFonts w:hint="eastAsia" w:ascii="宋体" w:hAnsi="宋体"/>
          <w:b/>
          <w:color w:val="000000" w:themeColor="text1"/>
          <w:sz w:val="28"/>
          <w:szCs w:val="28"/>
          <w:highlight w:val="none"/>
          <w14:textFill>
            <w14:solidFill>
              <w14:schemeClr w14:val="tx1"/>
            </w14:solidFill>
          </w14:textFill>
        </w:rPr>
      </w:pPr>
    </w:p>
    <w:p w14:paraId="6E061014">
      <w:pPr>
        <w:pStyle w:val="45"/>
        <w:framePr w:wrap="around"/>
        <w:rPr>
          <w:rFonts w:hint="eastAsia" w:ascii="宋体" w:hAnsi="宋体"/>
          <w:b/>
          <w:color w:val="000000" w:themeColor="text1"/>
          <w:sz w:val="28"/>
          <w:szCs w:val="28"/>
          <w:highlight w:val="none"/>
          <w14:textFill>
            <w14:solidFill>
              <w14:schemeClr w14:val="tx1"/>
            </w14:solidFill>
          </w14:textFill>
        </w:rPr>
      </w:pPr>
    </w:p>
    <w:p w14:paraId="79A3AEF2">
      <w:pPr>
        <w:pStyle w:val="10"/>
        <w:ind w:firstLine="420"/>
        <w:rPr>
          <w:color w:val="000000" w:themeColor="text1"/>
          <w:highlight w:val="none"/>
          <w14:textFill>
            <w14:solidFill>
              <w14:schemeClr w14:val="tx1"/>
            </w14:solidFill>
          </w14:textFill>
        </w:rPr>
      </w:pPr>
    </w:p>
    <w:p w14:paraId="177B7879">
      <w:pPr>
        <w:widowControl/>
        <w:tabs>
          <w:tab w:val="left" w:pos="735"/>
        </w:tabs>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附件9：</w:t>
      </w:r>
    </w:p>
    <w:p w14:paraId="76C9657D">
      <w:pPr>
        <w:spacing w:line="360" w:lineRule="auto"/>
        <w:ind w:firstLine="562" w:firstLineChars="200"/>
        <w:jc w:val="center"/>
        <w:rPr>
          <w:b/>
          <w:bCs/>
          <w:color w:val="000000" w:themeColor="text1"/>
          <w:sz w:val="28"/>
          <w:szCs w:val="28"/>
          <w:highlight w:val="none"/>
          <w14:textFill>
            <w14:solidFill>
              <w14:schemeClr w14:val="tx1"/>
            </w14:solidFill>
          </w14:textFill>
        </w:rPr>
      </w:pPr>
      <w:bookmarkStart w:id="43" w:name="_Toc30170"/>
      <w:bookmarkStart w:id="44" w:name="_Toc14292"/>
    </w:p>
    <w:p w14:paraId="27475AB5">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残疾人福利性单位声明函（如有）</w:t>
      </w:r>
    </w:p>
    <w:bookmarkEnd w:id="43"/>
    <w:bookmarkEnd w:id="44"/>
    <w:p w14:paraId="776F939D">
      <w:pPr>
        <w:widowControl/>
        <w:tabs>
          <w:tab w:val="left" w:pos="735"/>
        </w:tabs>
        <w:spacing w:line="360" w:lineRule="auto"/>
        <w:rPr>
          <w:b/>
          <w:color w:val="000000" w:themeColor="text1"/>
          <w:sz w:val="32"/>
          <w:szCs w:val="32"/>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附件10：</w:t>
      </w:r>
    </w:p>
    <w:p w14:paraId="0E7EE147">
      <w:pPr>
        <w:spacing w:line="360" w:lineRule="auto"/>
        <w:ind w:firstLine="643" w:firstLineChars="200"/>
        <w:jc w:val="center"/>
        <w:rPr>
          <w:b/>
          <w:color w:val="000000" w:themeColor="text1"/>
          <w:sz w:val="32"/>
          <w:szCs w:val="32"/>
          <w:highlight w:val="none"/>
          <w14:textFill>
            <w14:solidFill>
              <w14:schemeClr w14:val="tx1"/>
            </w14:solidFill>
          </w14:textFill>
        </w:rPr>
      </w:pPr>
    </w:p>
    <w:p w14:paraId="3495225B">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竞争性谈判文件要求的或供应商认为需要加以说明的其他内容</w:t>
      </w:r>
    </w:p>
    <w:p w14:paraId="5853D46C">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23092B7F">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5" w:name="_Toc21790"/>
      <w:r>
        <w:rPr>
          <w:rFonts w:hint="eastAsia" w:ascii="微软雅黑" w:hAnsi="微软雅黑" w:eastAsia="微软雅黑" w:cs="微软雅黑"/>
          <w:b w:val="0"/>
          <w:bCs w:val="0"/>
          <w:color w:val="000000" w:themeColor="text1"/>
          <w:highlight w:val="none"/>
          <w14:textFill>
            <w14:solidFill>
              <w14:schemeClr w14:val="tx1"/>
            </w14:solidFill>
          </w14:textFill>
        </w:rPr>
        <w:t>优化和提升政府采购政策</w:t>
      </w:r>
      <w:bookmarkEnd w:id="45"/>
    </w:p>
    <w:p w14:paraId="31D66F12">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一、全面取消采购文件费用和投标保证金费用。</w:t>
      </w:r>
    </w:p>
    <w:p w14:paraId="0A6FC768">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highlight w:val="none"/>
          <w:u w:val="single"/>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，并按约定的时间和条件退还。</w:t>
      </w:r>
    </w:p>
    <w:p w14:paraId="7D41874A">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三、评标结果确认时限。自评标（评审）结束后应2个工作日内确定中标（成交）供应商，5个工作日内公告结果，同时发送中标（成交）通知书。</w:t>
      </w:r>
    </w:p>
    <w:p w14:paraId="55F03005">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highlight w:val="none"/>
          <w:u w:val="single"/>
          <w14:textFill>
            <w14:solidFill>
              <w14:schemeClr w14:val="tx1"/>
            </w14:solidFill>
          </w14:textFill>
        </w:rPr>
        <w:t>15</w:t>
      </w:r>
      <w:r>
        <w:rPr>
          <w:rFonts w:hint="eastAsia" w:ascii="仿宋_GB2312" w:hAnsi="宋体" w:eastAsia="仿宋_GB2312" w:cs="宋体"/>
          <w:color w:val="000000" w:themeColor="text1"/>
          <w:sz w:val="28"/>
          <w:szCs w:val="28"/>
          <w:highlight w:val="none"/>
          <w14:textFill>
            <w14:solidFill>
              <w14:schemeClr w14:val="tx1"/>
            </w14:solidFill>
          </w14:textFill>
        </w:rPr>
        <w:t xml:space="preserve">日内，按照采购文件和投标（响应性）文件确定的事项签订政府采购合同。 </w:t>
      </w:r>
    </w:p>
    <w:p w14:paraId="7A6F1FAE">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五、合同公告和备案时限。自合同签订之日起2个工作日内。</w:t>
      </w:r>
    </w:p>
    <w:p w14:paraId="141F5DAF">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六、项目验收。自收到供应商项目验收建议之日起5个工作日内组织验收；验收结束后2个工作日内出具《验收报告》，并在焦作市政府采购网公告验收结果。</w:t>
      </w:r>
    </w:p>
    <w:p w14:paraId="1259C5A3">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highlight w:val="none"/>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18FFC77F">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在政府采购活动中，若发现采购人或采购代理机构未按以上政策执行的，可向监督部门举报反映。</w:t>
      </w:r>
    </w:p>
    <w:p w14:paraId="27951F57">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监督单位：博爱县财政局政府采购监督管理办公室</w:t>
      </w:r>
    </w:p>
    <w:p w14:paraId="1EE01C08">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监督电话：0391-8683273</w:t>
      </w:r>
    </w:p>
    <w:p w14:paraId="16A02711">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地址：博爱县发展大道188号机关综合办公楼主楼1213室</w:t>
      </w:r>
    </w:p>
    <w:p w14:paraId="19076795">
      <w:pPr>
        <w:spacing w:line="360" w:lineRule="auto"/>
        <w:ind w:firstLine="883" w:firstLineChars="200"/>
        <w:jc w:val="center"/>
        <w:rPr>
          <w:rFonts w:hint="eastAsia" w:ascii="宋体" w:hAnsi="宋体" w:cs="宋体"/>
          <w:b/>
          <w:color w:val="000000" w:themeColor="text1"/>
          <w:sz w:val="44"/>
          <w:szCs w:val="44"/>
          <w:highlight w:val="none"/>
          <w14:textFill>
            <w14:solidFill>
              <w14:schemeClr w14:val="tx1"/>
            </w14:solidFill>
          </w14:textFill>
        </w:rPr>
      </w:pPr>
    </w:p>
    <w:p w14:paraId="4C1D7FA4">
      <w:pPr>
        <w:pStyle w:val="45"/>
        <w:framePr w:wrap="around"/>
        <w:rPr>
          <w:rFonts w:hint="eastAsia" w:ascii="宋体" w:hAnsi="宋体" w:cs="宋体"/>
          <w:b/>
          <w:color w:val="000000" w:themeColor="text1"/>
          <w:sz w:val="44"/>
          <w:szCs w:val="44"/>
          <w:highlight w:val="none"/>
          <w14:textFill>
            <w14:solidFill>
              <w14:schemeClr w14:val="tx1"/>
            </w14:solidFill>
          </w14:textFill>
        </w:rPr>
      </w:pPr>
    </w:p>
    <w:p w14:paraId="22B69F7B">
      <w:pPr>
        <w:pStyle w:val="10"/>
        <w:ind w:firstLine="420"/>
        <w:rPr>
          <w:color w:val="000000" w:themeColor="text1"/>
          <w:highlight w:val="none"/>
          <w14:textFill>
            <w14:solidFill>
              <w14:schemeClr w14:val="tx1"/>
            </w14:solidFill>
          </w14:textFill>
        </w:rPr>
      </w:pPr>
    </w:p>
    <w:p w14:paraId="5310F08C">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6" w:name="_Toc11991"/>
      <w:r>
        <w:rPr>
          <w:rFonts w:hint="eastAsia" w:ascii="微软雅黑" w:hAnsi="微软雅黑" w:eastAsia="微软雅黑" w:cs="微软雅黑"/>
          <w:b w:val="0"/>
          <w:bCs w:val="0"/>
          <w:color w:val="000000" w:themeColor="text1"/>
          <w:highlight w:val="none"/>
          <w14:textFill>
            <w14:solidFill>
              <w14:schemeClr w14:val="tx1"/>
            </w14:solidFill>
          </w14:textFill>
        </w:rPr>
        <w:t>政府采购合同融资政策</w:t>
      </w:r>
      <w:bookmarkEnd w:id="46"/>
    </w:p>
    <w:p w14:paraId="4BE913E9">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r>
        <w:rPr>
          <w:rFonts w:hint="eastAsia" w:ascii="仿宋_GB2312" w:hAnsi="宋体" w:eastAsia="仿宋_GB2312" w:cs="宋体"/>
          <w:color w:val="000000" w:themeColor="text1"/>
          <w:sz w:val="30"/>
          <w:szCs w:val="30"/>
          <w:highlight w:val="none"/>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highlight w:val="none"/>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highlight w:val="none"/>
          <w14:textFill>
            <w14:solidFill>
              <w14:schemeClr w14:val="tx1"/>
            </w14:solidFill>
          </w14:textFill>
        </w:rPr>
        <w:t>以政府采购</w:t>
      </w:r>
      <w:r>
        <w:rPr>
          <w:rFonts w:hint="eastAsia" w:ascii="仿宋_GB2312" w:eastAsia="仿宋_GB2312"/>
          <w:color w:val="000000" w:themeColor="text1"/>
          <w:sz w:val="30"/>
          <w:szCs w:val="30"/>
          <w:highlight w:val="none"/>
          <w14:textFill>
            <w14:solidFill>
              <w14:schemeClr w14:val="tx1"/>
            </w14:solidFill>
          </w14:textFill>
        </w:rPr>
        <w:t>合同</w:t>
      </w:r>
      <w:r>
        <w:rPr>
          <w:rFonts w:ascii="仿宋_GB2312" w:eastAsia="仿宋_GB2312"/>
          <w:color w:val="000000" w:themeColor="text1"/>
          <w:sz w:val="30"/>
          <w:szCs w:val="30"/>
          <w:highlight w:val="none"/>
          <w14:textFill>
            <w14:solidFill>
              <w14:schemeClr w14:val="tx1"/>
            </w14:solidFill>
          </w14:textFill>
        </w:rPr>
        <w:t>预期支付能力为信用</w:t>
      </w:r>
      <w:r>
        <w:rPr>
          <w:rFonts w:hint="eastAsia" w:ascii="仿宋_GB2312" w:eastAsia="仿宋_GB2312"/>
          <w:color w:val="000000" w:themeColor="text1"/>
          <w:sz w:val="30"/>
          <w:szCs w:val="30"/>
          <w:highlight w:val="none"/>
          <w14:textFill>
            <w14:solidFill>
              <w14:schemeClr w14:val="tx1"/>
            </w14:solidFill>
          </w14:textFill>
        </w:rPr>
        <w:t>的融资政策。</w:t>
      </w:r>
    </w:p>
    <w:p w14:paraId="47AD9E72">
      <w:pPr>
        <w:spacing w:line="360" w:lineRule="auto"/>
        <w:ind w:firstLine="600" w:firstLineChars="200"/>
        <w:rPr>
          <w:rFonts w:hint="eastAsia" w:ascii="仿宋_GB2312" w:hAnsi="宋体" w:eastAsia="仿宋_GB2312" w:cs="宋体"/>
          <w:color w:val="000000" w:themeColor="text1"/>
          <w:sz w:val="30"/>
          <w:szCs w:val="30"/>
          <w:highlight w:val="none"/>
          <w14:textFill>
            <w14:solidFill>
              <w14:schemeClr w14:val="tx1"/>
            </w14:solidFill>
          </w14:textFill>
        </w:rPr>
      </w:pPr>
      <w:r>
        <w:rPr>
          <w:rFonts w:hint="eastAsia" w:ascii="仿宋_GB2312" w:hAnsi="宋体" w:eastAsia="仿宋_GB2312" w:cs="宋体"/>
          <w:color w:val="000000" w:themeColor="text1"/>
          <w:sz w:val="30"/>
          <w:szCs w:val="30"/>
          <w:highlight w:val="none"/>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highlight w:val="none"/>
          <w14:textFill>
            <w14:solidFill>
              <w14:schemeClr w14:val="tx1"/>
            </w14:solidFill>
          </w14:textFill>
        </w:rPr>
        <w:t>无抵押、免担保、低利率的的</w:t>
      </w:r>
      <w:r>
        <w:rPr>
          <w:rFonts w:hint="eastAsia" w:ascii="仿宋_GB2312" w:hAnsi="宋体" w:eastAsia="仿宋_GB2312" w:cs="宋体"/>
          <w:color w:val="000000" w:themeColor="text1"/>
          <w:sz w:val="30"/>
          <w:szCs w:val="30"/>
          <w:highlight w:val="none"/>
          <w14:textFill>
            <w14:solidFill>
              <w14:schemeClr w14:val="tx1"/>
            </w14:solidFill>
          </w14:textFill>
        </w:rPr>
        <w:t>融资产品。</w:t>
      </w:r>
    </w:p>
    <w:p w14:paraId="6AA45C38">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highlight w:val="none"/>
          <w14:textFill>
            <w14:solidFill>
              <w14:schemeClr w14:val="tx1"/>
            </w14:solidFill>
          </w14:textFill>
        </w:rPr>
        <w:t>可登陆“焦作市政府采购网”（网址：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"http://jiaozuo.hngp.gov.cn）de" </w:instrText>
      </w:r>
      <w:r>
        <w:rPr>
          <w:color w:val="000000" w:themeColor="text1"/>
          <w:highlight w:val="none"/>
          <w14:textFill>
            <w14:solidFill>
              <w14:schemeClr w14:val="tx1"/>
            </w14:solidFill>
          </w14:textFill>
        </w:rPr>
        <w:fldChar w:fldCharType="separate"/>
      </w:r>
      <w:r>
        <w:rPr>
          <w:rStyle w:val="38"/>
          <w:rFonts w:ascii="仿宋_GB2312" w:hAnsi="方正仿宋_GBK"/>
          <w:color w:val="000000" w:themeColor="text1"/>
          <w:sz w:val="30"/>
          <w:szCs w:val="30"/>
          <w:highlight w:val="none"/>
          <w14:textFill>
            <w14:solidFill>
              <w14:schemeClr w14:val="tx1"/>
            </w14:solidFill>
          </w14:textFill>
        </w:rPr>
        <w:t>http://jiaozuo.hngp.gov.cn</w:t>
      </w:r>
      <w:r>
        <w:rPr>
          <w:rStyle w:val="38"/>
          <w:rFonts w:hint="eastAsia" w:ascii="仿宋_GB2312" w:hAnsi="方正仿宋_GBK"/>
          <w:color w:val="000000" w:themeColor="text1"/>
          <w:sz w:val="30"/>
          <w:szCs w:val="30"/>
          <w:highlight w:val="none"/>
          <w14:textFill>
            <w14:solidFill>
              <w14:schemeClr w14:val="tx1"/>
            </w14:solidFill>
          </w14:textFill>
        </w:rPr>
        <w:t>）</w:t>
      </w:r>
      <w:r>
        <w:rPr>
          <w:rStyle w:val="38"/>
          <w:rFonts w:hint="eastAsia" w:ascii="仿宋_GB2312" w:hAnsi="方正仿宋_GBK"/>
          <w:color w:val="000000" w:themeColor="text1"/>
          <w:sz w:val="30"/>
          <w:szCs w:val="30"/>
          <w:highlight w:val="none"/>
          <w14:textFill>
            <w14:solidFill>
              <w14:schemeClr w14:val="tx1"/>
            </w14:solidFill>
          </w14:textFill>
        </w:rPr>
        <w:fldChar w:fldCharType="end"/>
      </w:r>
      <w:r>
        <w:rPr>
          <w:rFonts w:hint="eastAsia" w:ascii="仿宋_GB2312" w:hAnsi="方正仿宋_GBK" w:eastAsia="仿宋_GB2312"/>
          <w:color w:val="000000" w:themeColor="text1"/>
          <w:sz w:val="30"/>
          <w:szCs w:val="30"/>
          <w:highlight w:val="none"/>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highlight w:val="none"/>
          <w14:textFill>
            <w14:solidFill>
              <w14:schemeClr w14:val="tx1"/>
            </w14:solidFill>
          </w14:textFill>
        </w:rPr>
        <w:t>向融资服务机构申请贷款，</w:t>
      </w:r>
      <w:r>
        <w:rPr>
          <w:rFonts w:hint="eastAsia" w:ascii="仿宋_GB2312" w:hAnsi="宋体" w:eastAsia="仿宋_GB2312" w:cs="宋体"/>
          <w:color w:val="000000" w:themeColor="text1"/>
          <w:sz w:val="30"/>
          <w:szCs w:val="30"/>
          <w:highlight w:val="none"/>
          <w14:textFill>
            <w14:solidFill>
              <w14:schemeClr w14:val="tx1"/>
            </w14:solidFill>
          </w14:textFill>
        </w:rPr>
        <w:t>融资服务机构</w:t>
      </w:r>
      <w:r>
        <w:rPr>
          <w:rFonts w:hint="eastAsia" w:ascii="仿宋_GB2312" w:eastAsia="仿宋_GB2312"/>
          <w:color w:val="000000" w:themeColor="text1"/>
          <w:sz w:val="30"/>
          <w:szCs w:val="30"/>
          <w:highlight w:val="none"/>
          <w14:textFill>
            <w14:solidFill>
              <w14:schemeClr w14:val="tx1"/>
            </w14:solidFill>
          </w14:textFill>
        </w:rPr>
        <w:t>按照</w:t>
      </w:r>
      <w:r>
        <w:rPr>
          <w:rFonts w:hint="eastAsia" w:ascii="仿宋_GB2312" w:hAnsi="方正仿宋_GBK" w:eastAsia="仿宋_GB2312"/>
          <w:color w:val="000000" w:themeColor="text1"/>
          <w:sz w:val="30"/>
          <w:szCs w:val="30"/>
          <w:highlight w:val="none"/>
          <w14:textFill>
            <w14:solidFill>
              <w14:schemeClr w14:val="tx1"/>
            </w14:solidFill>
          </w14:textFill>
        </w:rPr>
        <w:t>程序</w:t>
      </w:r>
      <w:r>
        <w:rPr>
          <w:rFonts w:hint="eastAsia" w:ascii="仿宋_GB2312" w:eastAsia="仿宋_GB2312"/>
          <w:color w:val="000000" w:themeColor="text1"/>
          <w:sz w:val="30"/>
          <w:szCs w:val="30"/>
          <w:highlight w:val="none"/>
          <w14:textFill>
            <w14:solidFill>
              <w14:schemeClr w14:val="tx1"/>
            </w14:solidFill>
          </w14:textFill>
        </w:rPr>
        <w:t>向您提供便捷、高效、优惠的贷款服务。</w:t>
      </w:r>
    </w:p>
    <w:p w14:paraId="3E72C442">
      <w:pPr>
        <w:rPr>
          <w:color w:val="000000" w:themeColor="text1"/>
          <w:highlight w:val="none"/>
          <w14:textFill>
            <w14:solidFill>
              <w14:schemeClr w14:val="tx1"/>
            </w14:solidFill>
          </w14:textFill>
        </w:rPr>
      </w:pPr>
    </w:p>
    <w:p w14:paraId="53DFF1BD">
      <w:pPr>
        <w:rPr>
          <w:color w:val="000000" w:themeColor="text1"/>
          <w:highlight w:val="none"/>
          <w14:textFill>
            <w14:solidFill>
              <w14:schemeClr w14:val="tx1"/>
            </w14:solidFill>
          </w14:textFill>
        </w:rPr>
      </w:pPr>
    </w:p>
    <w:p w14:paraId="5149D0BA">
      <w:pPr>
        <w:rPr>
          <w:rFonts w:ascii="仿宋_GB2312" w:eastAsia="仿宋_GB2312"/>
          <w:color w:val="000000" w:themeColor="text1"/>
          <w:sz w:val="32"/>
          <w:szCs w:val="32"/>
          <w:highlight w:val="none"/>
          <w14:textFill>
            <w14:solidFill>
              <w14:schemeClr w14:val="tx1"/>
            </w14:solidFill>
          </w14:textFill>
        </w:rPr>
      </w:pPr>
    </w:p>
    <w:p w14:paraId="17D94D15">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7" w:name="_Toc31054"/>
      <w:r>
        <w:rPr>
          <w:rFonts w:hint="eastAsia" w:ascii="微软雅黑" w:hAnsi="微软雅黑" w:eastAsia="微软雅黑" w:cs="微软雅黑"/>
          <w:b w:val="0"/>
          <w:bCs w:val="0"/>
          <w:color w:val="000000" w:themeColor="text1"/>
          <w:highlight w:val="none"/>
          <w14:textFill>
            <w14:solidFill>
              <w14:schemeClr w14:val="tx1"/>
            </w14:solidFill>
          </w14:textFill>
        </w:rPr>
        <w:t>政府采购合同融资操作流</w:t>
      </w:r>
      <w:bookmarkEnd w:id="47"/>
    </w:p>
    <w:p w14:paraId="3C0EE614">
      <w:pPr>
        <w:widowControl/>
        <w:shd w:val="clear" w:color="auto" w:fill="FFFFFF"/>
        <w:tabs>
          <w:tab w:val="left" w:pos="0"/>
        </w:tabs>
        <w:spacing w:line="360" w:lineRule="auto"/>
        <w:ind w:left="-1" w:leftChars="-95" w:hanging="198" w:hangingChars="62"/>
        <w:jc w:val="center"/>
        <w:rPr>
          <w:rFonts w:hint="eastAsia" w:ascii="微软雅黑" w:hAnsi="黑体" w:eastAsia="微软雅黑"/>
          <w:color w:val="000000" w:themeColor="text1"/>
          <w:sz w:val="44"/>
          <w:szCs w:val="44"/>
          <w:highlight w:val="none"/>
          <w14:textFill>
            <w14:solidFill>
              <w14:schemeClr w14:val="tx1"/>
            </w14:solidFill>
          </w14:textFill>
        </w:rPr>
        <w:sectPr>
          <w:pgSz w:w="11905" w:h="16838"/>
          <w:pgMar w:top="1440" w:right="1463" w:bottom="1440" w:left="1463" w:header="567" w:footer="998" w:gutter="0"/>
          <w:pgNumType w:start="1"/>
          <w:cols w:space="0" w:num="1"/>
          <w:docGrid w:type="lines" w:linePitch="389" w:charSpace="0"/>
        </w:sectPr>
      </w:pPr>
      <w:r>
        <w:rPr>
          <w:rFonts w:ascii="仿宋_GB2312" w:hAnsi="宋体" w:eastAsia="仿宋_GB2312" w:cs="宋体"/>
          <w:color w:val="000000" w:themeColor="text1"/>
          <w:sz w:val="32"/>
          <w:szCs w:val="32"/>
          <w:highlight w:val="none"/>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474995">
                              <w:pPr>
                                <w:jc w:val="center"/>
                                <w:rPr>
                                  <w:rFonts w:hint="eastAsia" w:ascii="宋体" w:hAnsi="宋体"/>
                                  <w:sz w:val="24"/>
                                </w:rPr>
                              </w:pPr>
                              <w:r>
                                <w:rPr>
                                  <w:rFonts w:hint="eastAsia" w:ascii="宋体" w:hAnsi="宋体"/>
                                  <w:sz w:val="24"/>
                                </w:rPr>
                                <w:t>中小微企业申请</w:t>
                              </w:r>
                            </w:p>
                            <w:p w14:paraId="11DEC601">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B539D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BE2E3">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6AA9B3">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7E930A">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0E6A1F">
                              <w:pPr>
                                <w:rPr>
                                  <w:rFonts w:hint="eastAsia"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42170D">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9DE5FE">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422A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418C5E">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7446AE">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E90A66">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6F7B23">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2CA563">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8474995">
                        <w:pPr>
                          <w:jc w:val="center"/>
                          <w:rPr>
                            <w:rFonts w:hint="eastAsia" w:ascii="宋体" w:hAnsi="宋体"/>
                            <w:sz w:val="24"/>
                          </w:rPr>
                        </w:pPr>
                        <w:r>
                          <w:rPr>
                            <w:rFonts w:hint="eastAsia" w:ascii="宋体" w:hAnsi="宋体"/>
                            <w:sz w:val="24"/>
                          </w:rPr>
                          <w:t>中小微企业申请</w:t>
                        </w:r>
                      </w:p>
                      <w:p w14:paraId="11DEC601">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0B539D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FBBE2E3">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56AA9B3">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7E930A">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50E6A1F">
                        <w:pPr>
                          <w:rPr>
                            <w:rFonts w:hint="eastAsia"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342170D">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59DE5FE">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08422A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3418C5E">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67446AE">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5E90A66">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76F7B23">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12CA563">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872F9F5">
      <w:pPr>
        <w:pStyle w:val="2"/>
        <w:spacing w:before="100" w:after="90" w:line="579" w:lineRule="auto"/>
        <w:jc w:val="center"/>
        <w:rPr>
          <w:rFonts w:hint="eastAsia" w:ascii="微软雅黑" w:hAnsi="微软雅黑" w:eastAsia="微软雅黑" w:cs="微软雅黑"/>
          <w:b w:val="0"/>
          <w:bCs w:val="0"/>
          <w:color w:val="000000" w:themeColor="text1"/>
          <w:sz w:val="40"/>
          <w:szCs w:val="40"/>
          <w:highlight w:val="none"/>
          <w14:textFill>
            <w14:solidFill>
              <w14:schemeClr w14:val="tx1"/>
            </w14:solidFill>
          </w14:textFill>
        </w:rPr>
      </w:pPr>
      <w:bookmarkStart w:id="48" w:name="_Toc14260"/>
      <w:r>
        <w:rPr>
          <w:rFonts w:hint="eastAsia" w:ascii="微软雅黑" w:hAnsi="微软雅黑" w:eastAsia="微软雅黑" w:cs="微软雅黑"/>
          <w:b w:val="0"/>
          <w:bCs w:val="0"/>
          <w:color w:val="000000" w:themeColor="text1"/>
          <w:sz w:val="40"/>
          <w:szCs w:val="40"/>
          <w:highlight w:val="none"/>
          <w14:textFill>
            <w14:solidFill>
              <w14:schemeClr w14:val="tx1"/>
            </w14:solidFill>
          </w14:textFill>
        </w:rPr>
        <w:t>融资服务机构名单</w:t>
      </w:r>
      <w:bookmarkEnd w:id="48"/>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3FEA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14:paraId="1DEC0C97">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名称</w:t>
            </w:r>
          </w:p>
        </w:tc>
        <w:tc>
          <w:tcPr>
            <w:tcW w:w="1230" w:type="dxa"/>
            <w:vAlign w:val="center"/>
          </w:tcPr>
          <w:p w14:paraId="03ABB581">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联系人</w:t>
            </w:r>
          </w:p>
        </w:tc>
        <w:tc>
          <w:tcPr>
            <w:tcW w:w="1876" w:type="dxa"/>
            <w:vAlign w:val="center"/>
          </w:tcPr>
          <w:p w14:paraId="6D5ED5A0">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联系电话</w:t>
            </w:r>
          </w:p>
        </w:tc>
        <w:tc>
          <w:tcPr>
            <w:tcW w:w="2325" w:type="dxa"/>
            <w:vAlign w:val="center"/>
          </w:tcPr>
          <w:p w14:paraId="6A364B11">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地址</w:t>
            </w:r>
          </w:p>
        </w:tc>
      </w:tr>
      <w:tr w14:paraId="542F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9F1434C">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中国农业银行股份有限公司焦作分行</w:t>
            </w:r>
          </w:p>
        </w:tc>
        <w:tc>
          <w:tcPr>
            <w:tcW w:w="1230" w:type="dxa"/>
            <w:shd w:val="solid" w:color="FFFFFF" w:fill="auto"/>
            <w:vAlign w:val="center"/>
          </w:tcPr>
          <w:p w14:paraId="27AF7C06">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薛国战</w:t>
            </w:r>
          </w:p>
        </w:tc>
        <w:tc>
          <w:tcPr>
            <w:tcW w:w="1876" w:type="dxa"/>
            <w:shd w:val="solid" w:color="FFFFFF" w:fill="auto"/>
            <w:vAlign w:val="center"/>
          </w:tcPr>
          <w:p w14:paraId="1235BB9D">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0391-2878039       13839109026</w:t>
            </w:r>
          </w:p>
        </w:tc>
        <w:tc>
          <w:tcPr>
            <w:tcW w:w="2325" w:type="dxa"/>
            <w:shd w:val="solid" w:color="FFFFFF" w:fill="auto"/>
            <w:vAlign w:val="center"/>
          </w:tcPr>
          <w:p w14:paraId="326B29D0">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焦作市民主南路88号</w:t>
            </w:r>
          </w:p>
        </w:tc>
      </w:tr>
      <w:tr w14:paraId="0B69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A74834B">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中国银行股份有限公司焦作分行</w:t>
            </w:r>
          </w:p>
        </w:tc>
        <w:tc>
          <w:tcPr>
            <w:tcW w:w="1230" w:type="dxa"/>
            <w:shd w:val="solid" w:color="FFFFFF" w:fill="auto"/>
            <w:vAlign w:val="center"/>
          </w:tcPr>
          <w:p w14:paraId="72DDA3F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曹阳</w:t>
            </w:r>
          </w:p>
        </w:tc>
        <w:tc>
          <w:tcPr>
            <w:tcW w:w="1876" w:type="dxa"/>
            <w:shd w:val="solid" w:color="FFFFFF" w:fill="auto"/>
            <w:vAlign w:val="center"/>
          </w:tcPr>
          <w:p w14:paraId="3BE84520">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0391-8825171  13839118160</w:t>
            </w:r>
          </w:p>
        </w:tc>
        <w:tc>
          <w:tcPr>
            <w:tcW w:w="2325" w:type="dxa"/>
            <w:shd w:val="solid" w:color="FFFFFF" w:fill="auto"/>
            <w:vAlign w:val="center"/>
          </w:tcPr>
          <w:p w14:paraId="58B0A2FB">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焦作市丰收路159号</w:t>
            </w:r>
          </w:p>
        </w:tc>
      </w:tr>
      <w:tr w14:paraId="0815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58F1FBC">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中国建设银行股份有限公司焦作分行</w:t>
            </w:r>
          </w:p>
        </w:tc>
        <w:tc>
          <w:tcPr>
            <w:tcW w:w="1230" w:type="dxa"/>
            <w:shd w:val="clear" w:color="auto" w:fill="auto"/>
            <w:vAlign w:val="center"/>
          </w:tcPr>
          <w:p w14:paraId="3EC14F35">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李华莹</w:t>
            </w:r>
          </w:p>
        </w:tc>
        <w:tc>
          <w:tcPr>
            <w:tcW w:w="1876" w:type="dxa"/>
            <w:shd w:val="clear" w:color="auto" w:fill="auto"/>
            <w:vAlign w:val="center"/>
          </w:tcPr>
          <w:p w14:paraId="19086AEA">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0391-3918471</w:t>
            </w:r>
          </w:p>
        </w:tc>
        <w:tc>
          <w:tcPr>
            <w:tcW w:w="2325" w:type="dxa"/>
            <w:shd w:val="solid" w:color="FFFFFF" w:fill="auto"/>
            <w:vAlign w:val="center"/>
          </w:tcPr>
          <w:p w14:paraId="72FA517F">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焦作市建设东路152号</w:t>
            </w:r>
          </w:p>
        </w:tc>
      </w:tr>
      <w:tr w14:paraId="617F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7523E3D">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中国邮政储蓄银行股份有限公司焦作市分行</w:t>
            </w:r>
          </w:p>
        </w:tc>
        <w:tc>
          <w:tcPr>
            <w:tcW w:w="1230" w:type="dxa"/>
            <w:shd w:val="solid" w:color="FFFFFF" w:fill="auto"/>
            <w:vAlign w:val="center"/>
          </w:tcPr>
          <w:p w14:paraId="692A69B2">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李天祥</w:t>
            </w:r>
          </w:p>
        </w:tc>
        <w:tc>
          <w:tcPr>
            <w:tcW w:w="1876" w:type="dxa"/>
            <w:shd w:val="solid" w:color="FFFFFF" w:fill="auto"/>
            <w:vAlign w:val="center"/>
          </w:tcPr>
          <w:p w14:paraId="1B25D31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0391-2981968 13523359082</w:t>
            </w:r>
          </w:p>
        </w:tc>
        <w:tc>
          <w:tcPr>
            <w:tcW w:w="2325" w:type="dxa"/>
            <w:shd w:val="solid" w:color="FFFFFF" w:fill="auto"/>
            <w:vAlign w:val="center"/>
          </w:tcPr>
          <w:p w14:paraId="151F014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焦作市丰收中路2233号</w:t>
            </w:r>
          </w:p>
        </w:tc>
      </w:tr>
      <w:tr w14:paraId="6F8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09EC82F">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焦作中旅银行股份有限公司</w:t>
            </w:r>
          </w:p>
        </w:tc>
        <w:tc>
          <w:tcPr>
            <w:tcW w:w="1230" w:type="dxa"/>
            <w:shd w:val="solid" w:color="FFFFFF" w:fill="auto"/>
            <w:vAlign w:val="center"/>
          </w:tcPr>
          <w:p w14:paraId="66726CD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周建林</w:t>
            </w:r>
          </w:p>
        </w:tc>
        <w:tc>
          <w:tcPr>
            <w:tcW w:w="1876" w:type="dxa"/>
            <w:shd w:val="solid" w:color="FFFFFF" w:fill="auto"/>
            <w:vAlign w:val="center"/>
          </w:tcPr>
          <w:p w14:paraId="4EC6760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 xml:space="preserve">0391-2116963 15893053027 </w:t>
            </w:r>
          </w:p>
        </w:tc>
        <w:tc>
          <w:tcPr>
            <w:tcW w:w="2325" w:type="dxa"/>
            <w:shd w:val="solid" w:color="FFFFFF" w:fill="auto"/>
            <w:vAlign w:val="center"/>
          </w:tcPr>
          <w:p w14:paraId="2EAAF4DD">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焦作市山阳区迎宾路1号</w:t>
            </w:r>
          </w:p>
        </w:tc>
      </w:tr>
      <w:tr w14:paraId="2A71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FF8B714">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中信银行股份有限公司焦作分行</w:t>
            </w:r>
          </w:p>
        </w:tc>
        <w:tc>
          <w:tcPr>
            <w:tcW w:w="1230" w:type="dxa"/>
            <w:shd w:val="clear" w:color="auto" w:fill="auto"/>
            <w:vAlign w:val="center"/>
          </w:tcPr>
          <w:p w14:paraId="739454B4">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周江江</w:t>
            </w:r>
          </w:p>
        </w:tc>
        <w:tc>
          <w:tcPr>
            <w:tcW w:w="1876" w:type="dxa"/>
            <w:shd w:val="clear" w:color="auto" w:fill="auto"/>
            <w:vAlign w:val="center"/>
          </w:tcPr>
          <w:p w14:paraId="1C826073">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17639185001</w:t>
            </w:r>
          </w:p>
        </w:tc>
        <w:tc>
          <w:tcPr>
            <w:tcW w:w="2325" w:type="dxa"/>
            <w:shd w:val="solid" w:color="FFFFFF" w:fill="auto"/>
            <w:vAlign w:val="center"/>
          </w:tcPr>
          <w:p w14:paraId="50BAD459">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焦作市塔南路1736号嘉隆国际中心</w:t>
            </w:r>
          </w:p>
        </w:tc>
      </w:tr>
      <w:tr w14:paraId="00BE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54B76479">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中国光大银行股份有限公司焦作分行</w:t>
            </w:r>
          </w:p>
        </w:tc>
        <w:tc>
          <w:tcPr>
            <w:tcW w:w="1230" w:type="dxa"/>
            <w:shd w:val="solid" w:color="FFFFFF" w:fill="auto"/>
            <w:vAlign w:val="center"/>
          </w:tcPr>
          <w:p w14:paraId="1A965DA9">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王海宾</w:t>
            </w:r>
          </w:p>
        </w:tc>
        <w:tc>
          <w:tcPr>
            <w:tcW w:w="1876" w:type="dxa"/>
            <w:shd w:val="solid" w:color="FFFFFF" w:fill="auto"/>
            <w:vAlign w:val="center"/>
          </w:tcPr>
          <w:p w14:paraId="1593DEDC">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0391-8787996 13598534626</w:t>
            </w:r>
          </w:p>
        </w:tc>
        <w:tc>
          <w:tcPr>
            <w:tcW w:w="2325" w:type="dxa"/>
            <w:shd w:val="solid" w:color="FFFFFF" w:fill="auto"/>
            <w:vAlign w:val="center"/>
          </w:tcPr>
          <w:p w14:paraId="64D955D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焦作市塔南路1736号</w:t>
            </w:r>
          </w:p>
        </w:tc>
      </w:tr>
      <w:tr w14:paraId="262C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8E22B83">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中原银行股份有限公司焦作分行</w:t>
            </w:r>
          </w:p>
        </w:tc>
        <w:tc>
          <w:tcPr>
            <w:tcW w:w="1230" w:type="dxa"/>
            <w:shd w:val="solid" w:color="FFFFFF" w:fill="auto"/>
            <w:vAlign w:val="center"/>
          </w:tcPr>
          <w:p w14:paraId="37ABFE8F">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赵伟</w:t>
            </w:r>
          </w:p>
        </w:tc>
        <w:tc>
          <w:tcPr>
            <w:tcW w:w="1876" w:type="dxa"/>
            <w:shd w:val="solid" w:color="FFFFFF" w:fill="auto"/>
            <w:vAlign w:val="center"/>
          </w:tcPr>
          <w:p w14:paraId="5C517B3E">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0391-8796520 15738533033</w:t>
            </w:r>
          </w:p>
        </w:tc>
        <w:tc>
          <w:tcPr>
            <w:tcW w:w="2325" w:type="dxa"/>
            <w:shd w:val="solid" w:color="FFFFFF" w:fill="auto"/>
            <w:vAlign w:val="center"/>
          </w:tcPr>
          <w:p w14:paraId="3CF1E007">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焦作市解放区人民路479号</w:t>
            </w:r>
          </w:p>
        </w:tc>
      </w:tr>
      <w:tr w14:paraId="4730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89E116B">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广发银行股份有限公司焦作分行</w:t>
            </w:r>
          </w:p>
        </w:tc>
        <w:tc>
          <w:tcPr>
            <w:tcW w:w="1230" w:type="dxa"/>
            <w:shd w:val="solid" w:color="FFFFFF" w:fill="auto"/>
            <w:vAlign w:val="center"/>
          </w:tcPr>
          <w:p w14:paraId="330EF6AF">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张嘉强</w:t>
            </w:r>
          </w:p>
        </w:tc>
        <w:tc>
          <w:tcPr>
            <w:tcW w:w="1876" w:type="dxa"/>
            <w:shd w:val="solid" w:color="FFFFFF" w:fill="auto"/>
            <w:vAlign w:val="center"/>
          </w:tcPr>
          <w:p w14:paraId="601A75FB">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0391-653785 13203910032</w:t>
            </w:r>
          </w:p>
        </w:tc>
        <w:tc>
          <w:tcPr>
            <w:tcW w:w="2325" w:type="dxa"/>
            <w:shd w:val="solid" w:color="FFFFFF" w:fill="auto"/>
            <w:vAlign w:val="center"/>
          </w:tcPr>
          <w:p w14:paraId="722D194A">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焦作市塔南路1736号嘉隆金融中心</w:t>
            </w:r>
          </w:p>
        </w:tc>
      </w:tr>
    </w:tbl>
    <w:p w14:paraId="1AD95F31">
      <w:pPr>
        <w:widowControl/>
        <w:tabs>
          <w:tab w:val="left" w:pos="0"/>
        </w:tabs>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备注：融资服务机构名单和人员联系方式会随时变化。具体情况可登录“焦作市政府采购网”政府采购合同融资平台查询。</w:t>
      </w:r>
    </w:p>
    <w:p w14:paraId="20259D7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3A1FCA-0B01-4361-88D9-04DF1A11A0CF}"/>
  </w:font>
  <w:font w:name="黑体">
    <w:panose1 w:val="02010609060101010101"/>
    <w:charset w:val="86"/>
    <w:family w:val="auto"/>
    <w:pitch w:val="default"/>
    <w:sig w:usb0="800002BF" w:usb1="38CF7CFA" w:usb2="00000016" w:usb3="00000000" w:csb0="00040001" w:csb1="00000000"/>
    <w:embedRegular r:id="rId2" w:fontKey="{37DC5897-A4C5-42E3-B12A-63161BD151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5AF44EA-D84E-4EEB-AF59-D90F428C6D8B}"/>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A148596-AFD2-44D7-9A51-0FC54447C2AA}"/>
  </w:font>
  <w:font w:name="微软雅黑">
    <w:panose1 w:val="020B0503020204020204"/>
    <w:charset w:val="86"/>
    <w:family w:val="swiss"/>
    <w:pitch w:val="default"/>
    <w:sig w:usb0="80000287" w:usb1="2ACF3C50" w:usb2="00000016" w:usb3="00000000" w:csb0="0004001F" w:csb1="00000000"/>
    <w:embedRegular r:id="rId5" w:fontKey="{7A5523E9-727D-4497-B9A4-114308B50B80}"/>
  </w:font>
  <w:font w:name="华文中宋">
    <w:panose1 w:val="02010600040101010101"/>
    <w:charset w:val="86"/>
    <w:family w:val="auto"/>
    <w:pitch w:val="default"/>
    <w:sig w:usb0="00000287" w:usb1="080F0000" w:usb2="00000000" w:usb3="00000000" w:csb0="0004009F" w:csb1="DFD70000"/>
    <w:embedRegular r:id="rId6" w:fontKey="{E7B03272-58ED-4E3D-923C-09B273F56547}"/>
  </w:font>
  <w:font w:name="方正仿宋_GBK">
    <w:altName w:val="微软雅黑"/>
    <w:panose1 w:val="03000509000000000000"/>
    <w:charset w:val="86"/>
    <w:family w:val="script"/>
    <w:pitch w:val="default"/>
    <w:sig w:usb0="00000000" w:usb1="00000000" w:usb2="00000010" w:usb3="00000000" w:csb0="00040000" w:csb1="00000000"/>
    <w:embedRegular r:id="rId7" w:fontKey="{049A8D71-63F8-45EF-A35E-5469C35E25B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C70D">
    <w:pPr>
      <w:pStyle w:val="19"/>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7644">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9904">
                          <w:pPr>
                            <w:pStyle w:val="18"/>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14:paraId="136C9904">
                    <w:pPr>
                      <w:pStyle w:val="18"/>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3AF54">
                          <w:pPr>
                            <w:pStyle w:val="18"/>
                          </w:pPr>
                        </w:p>
                        <w:p w14:paraId="342A2BE4">
                          <w:pPr>
                            <w:pStyle w:val="18"/>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14:paraId="7EC3AF54">
                    <w:pPr>
                      <w:pStyle w:val="18"/>
                    </w:pPr>
                  </w:p>
                  <w:p w14:paraId="342A2BE4">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D7DE">
    <w:pPr>
      <w:pStyle w:val="18"/>
      <w:jc w:val="both"/>
      <w:rPr>
        <w:rFonts w:hint="eastAsia" w:ascii="宋体" w:hAnsi="宋体"/>
        <w:sz w:val="24"/>
        <w:szCs w:val="24"/>
      </w:rPr>
    </w:pPr>
  </w:p>
  <w:p w14:paraId="78B015AB">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4149">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E252D">
                          <w:pPr>
                            <w:pStyle w:val="18"/>
                          </w:pPr>
                        </w:p>
                        <w:p w14:paraId="2DE4E213">
                          <w:pPr>
                            <w:pStyle w:val="18"/>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14:paraId="21FE252D">
                    <w:pPr>
                      <w:pStyle w:val="18"/>
                    </w:pPr>
                  </w:p>
                  <w:p w14:paraId="2DE4E213">
                    <w:pPr>
                      <w:pStyle w:val="1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2665E">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AD48A2">
                          <w:pPr>
                            <w:pStyle w:val="18"/>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65AD48A2">
                    <w:pPr>
                      <w:pStyle w:val="18"/>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14:paraId="23BE0C87">
    <w:pPr>
      <w:pStyle w:val="18"/>
      <w:jc w:val="center"/>
    </w:pPr>
    <w:r>
      <w:rPr>
        <w:rFonts w:hint="eastAsia"/>
      </w:rPr>
      <w:t xml:space="preserve">                                                         </w:t>
    </w:r>
  </w:p>
  <w:p w14:paraId="4CF34B7E">
    <w:pPr>
      <w:pStyle w:val="18"/>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A0E1">
    <w:pPr>
      <w:pStyle w:val="18"/>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0BF844">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14:paraId="790BF844">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1DDF">
    <w:pPr>
      <w:pStyle w:val="19"/>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6261BF8E"/>
    <w:multiLevelType w:val="singleLevel"/>
    <w:tmpl w:val="6261BF8E"/>
    <w:lvl w:ilvl="0" w:tentative="0">
      <w:start w:val="7"/>
      <w:numFmt w:val="decimal"/>
      <w:suff w:val="space"/>
      <w:lvlText w:val="%1."/>
      <w:lvlJc w:val="left"/>
    </w:lvl>
  </w:abstractNum>
  <w:abstractNum w:abstractNumId="7">
    <w:nsid w:val="7695790B"/>
    <w:multiLevelType w:val="multilevel"/>
    <w:tmpl w:val="7695790B"/>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4"/>
  </w:num>
  <w:num w:numId="4">
    <w:abstractNumId w:val="6"/>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HorizontalSpacing w:val="210"/>
  <w:drawingGridVerticalSpacing w:val="195"/>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962401"/>
    <w:rsid w:val="000015BE"/>
    <w:rsid w:val="00002910"/>
    <w:rsid w:val="00002CCB"/>
    <w:rsid w:val="00003EE4"/>
    <w:rsid w:val="00004800"/>
    <w:rsid w:val="00005811"/>
    <w:rsid w:val="00005E52"/>
    <w:rsid w:val="00012E57"/>
    <w:rsid w:val="000140D8"/>
    <w:rsid w:val="00014365"/>
    <w:rsid w:val="00014748"/>
    <w:rsid w:val="00016EE9"/>
    <w:rsid w:val="000271A8"/>
    <w:rsid w:val="00027F07"/>
    <w:rsid w:val="0003047E"/>
    <w:rsid w:val="000306FA"/>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0EA"/>
    <w:rsid w:val="000C76C1"/>
    <w:rsid w:val="000C7AD2"/>
    <w:rsid w:val="000D0768"/>
    <w:rsid w:val="000D5A3A"/>
    <w:rsid w:val="000D5C5A"/>
    <w:rsid w:val="000D5F90"/>
    <w:rsid w:val="000D7967"/>
    <w:rsid w:val="000E2B9C"/>
    <w:rsid w:val="000E2FAC"/>
    <w:rsid w:val="000E38D9"/>
    <w:rsid w:val="000E5421"/>
    <w:rsid w:val="000E72D4"/>
    <w:rsid w:val="000F0CEF"/>
    <w:rsid w:val="000F1A1B"/>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76D90"/>
    <w:rsid w:val="001824D4"/>
    <w:rsid w:val="00185F08"/>
    <w:rsid w:val="00191B01"/>
    <w:rsid w:val="00193F9B"/>
    <w:rsid w:val="00195636"/>
    <w:rsid w:val="001A0219"/>
    <w:rsid w:val="001A1C2D"/>
    <w:rsid w:val="001A1CC0"/>
    <w:rsid w:val="001A360B"/>
    <w:rsid w:val="001B287E"/>
    <w:rsid w:val="001B40C9"/>
    <w:rsid w:val="001B421C"/>
    <w:rsid w:val="001B461C"/>
    <w:rsid w:val="001B7BE6"/>
    <w:rsid w:val="001C0D5E"/>
    <w:rsid w:val="001C3045"/>
    <w:rsid w:val="001C483A"/>
    <w:rsid w:val="001C579B"/>
    <w:rsid w:val="001D327A"/>
    <w:rsid w:val="001D35DD"/>
    <w:rsid w:val="001D73FC"/>
    <w:rsid w:val="001D7A66"/>
    <w:rsid w:val="001E3B0B"/>
    <w:rsid w:val="001E65DF"/>
    <w:rsid w:val="001E6659"/>
    <w:rsid w:val="001E684B"/>
    <w:rsid w:val="001F33A6"/>
    <w:rsid w:val="001F5CAB"/>
    <w:rsid w:val="001F63F9"/>
    <w:rsid w:val="001F6615"/>
    <w:rsid w:val="002025B9"/>
    <w:rsid w:val="002047FC"/>
    <w:rsid w:val="00206581"/>
    <w:rsid w:val="002112AA"/>
    <w:rsid w:val="00214891"/>
    <w:rsid w:val="002229B5"/>
    <w:rsid w:val="00224CB7"/>
    <w:rsid w:val="0023037D"/>
    <w:rsid w:val="00231C2F"/>
    <w:rsid w:val="00236EA1"/>
    <w:rsid w:val="00241E31"/>
    <w:rsid w:val="00242B18"/>
    <w:rsid w:val="00245F60"/>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A41B8"/>
    <w:rsid w:val="002A4DA6"/>
    <w:rsid w:val="002B316F"/>
    <w:rsid w:val="002B3D5B"/>
    <w:rsid w:val="002B4C83"/>
    <w:rsid w:val="002B4DFA"/>
    <w:rsid w:val="002B5805"/>
    <w:rsid w:val="002B72BA"/>
    <w:rsid w:val="002C23EA"/>
    <w:rsid w:val="002C2860"/>
    <w:rsid w:val="002C40B6"/>
    <w:rsid w:val="002C4851"/>
    <w:rsid w:val="002D5E00"/>
    <w:rsid w:val="002D74D2"/>
    <w:rsid w:val="002E118D"/>
    <w:rsid w:val="002E154B"/>
    <w:rsid w:val="002E677D"/>
    <w:rsid w:val="002E7406"/>
    <w:rsid w:val="002F176C"/>
    <w:rsid w:val="002F5686"/>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2EAD"/>
    <w:rsid w:val="003452FC"/>
    <w:rsid w:val="00347660"/>
    <w:rsid w:val="00356C1F"/>
    <w:rsid w:val="00363A8F"/>
    <w:rsid w:val="003706CF"/>
    <w:rsid w:val="0037249B"/>
    <w:rsid w:val="0037711A"/>
    <w:rsid w:val="0038229E"/>
    <w:rsid w:val="003834D7"/>
    <w:rsid w:val="00384A16"/>
    <w:rsid w:val="003A23EE"/>
    <w:rsid w:val="003A38E2"/>
    <w:rsid w:val="003A3A87"/>
    <w:rsid w:val="003A7EDF"/>
    <w:rsid w:val="003B0D78"/>
    <w:rsid w:val="003B7C0D"/>
    <w:rsid w:val="003C432B"/>
    <w:rsid w:val="003C4C4E"/>
    <w:rsid w:val="003D109F"/>
    <w:rsid w:val="003D3D71"/>
    <w:rsid w:val="003D4809"/>
    <w:rsid w:val="003E0B8B"/>
    <w:rsid w:val="003E1F4D"/>
    <w:rsid w:val="003E4F95"/>
    <w:rsid w:val="003E7AF0"/>
    <w:rsid w:val="003F14B5"/>
    <w:rsid w:val="003F300E"/>
    <w:rsid w:val="003F6250"/>
    <w:rsid w:val="003F6626"/>
    <w:rsid w:val="003F7889"/>
    <w:rsid w:val="00403BE5"/>
    <w:rsid w:val="004123C8"/>
    <w:rsid w:val="004152C5"/>
    <w:rsid w:val="00416C4B"/>
    <w:rsid w:val="00416FDA"/>
    <w:rsid w:val="004172E7"/>
    <w:rsid w:val="0041796F"/>
    <w:rsid w:val="004211F4"/>
    <w:rsid w:val="004252FC"/>
    <w:rsid w:val="00426DE4"/>
    <w:rsid w:val="00433863"/>
    <w:rsid w:val="00435D42"/>
    <w:rsid w:val="00437BF2"/>
    <w:rsid w:val="004435DF"/>
    <w:rsid w:val="00443D97"/>
    <w:rsid w:val="00445035"/>
    <w:rsid w:val="00447636"/>
    <w:rsid w:val="004477CD"/>
    <w:rsid w:val="004507D3"/>
    <w:rsid w:val="004509CA"/>
    <w:rsid w:val="0045185D"/>
    <w:rsid w:val="00452B29"/>
    <w:rsid w:val="0045441C"/>
    <w:rsid w:val="00456162"/>
    <w:rsid w:val="00456CAB"/>
    <w:rsid w:val="00460DD9"/>
    <w:rsid w:val="00462877"/>
    <w:rsid w:val="00464920"/>
    <w:rsid w:val="00467623"/>
    <w:rsid w:val="00470C98"/>
    <w:rsid w:val="00475AFC"/>
    <w:rsid w:val="004801BA"/>
    <w:rsid w:val="0048036E"/>
    <w:rsid w:val="00482FE1"/>
    <w:rsid w:val="00486331"/>
    <w:rsid w:val="004918FA"/>
    <w:rsid w:val="0049273C"/>
    <w:rsid w:val="00495B2A"/>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624"/>
    <w:rsid w:val="004F3AE2"/>
    <w:rsid w:val="004F60E3"/>
    <w:rsid w:val="00500644"/>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C7018"/>
    <w:rsid w:val="005D5818"/>
    <w:rsid w:val="005E0F55"/>
    <w:rsid w:val="005E1E42"/>
    <w:rsid w:val="005E2BC8"/>
    <w:rsid w:val="005E5015"/>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3EB5"/>
    <w:rsid w:val="00634E79"/>
    <w:rsid w:val="00636066"/>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3E68"/>
    <w:rsid w:val="00666853"/>
    <w:rsid w:val="006722C9"/>
    <w:rsid w:val="00676DA8"/>
    <w:rsid w:val="00686AE1"/>
    <w:rsid w:val="0069028D"/>
    <w:rsid w:val="006964EB"/>
    <w:rsid w:val="00696601"/>
    <w:rsid w:val="006A1077"/>
    <w:rsid w:val="006A212E"/>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3304"/>
    <w:rsid w:val="006E4439"/>
    <w:rsid w:val="006E4EEC"/>
    <w:rsid w:val="006E63A4"/>
    <w:rsid w:val="006F1173"/>
    <w:rsid w:val="006F3174"/>
    <w:rsid w:val="006F5F11"/>
    <w:rsid w:val="006F6716"/>
    <w:rsid w:val="006F682D"/>
    <w:rsid w:val="00700BB3"/>
    <w:rsid w:val="007013A8"/>
    <w:rsid w:val="00701977"/>
    <w:rsid w:val="00702777"/>
    <w:rsid w:val="007056AC"/>
    <w:rsid w:val="00707FC9"/>
    <w:rsid w:val="00710578"/>
    <w:rsid w:val="007144C0"/>
    <w:rsid w:val="007163C4"/>
    <w:rsid w:val="00720389"/>
    <w:rsid w:val="007228F0"/>
    <w:rsid w:val="00722A72"/>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3E69"/>
    <w:rsid w:val="0077592C"/>
    <w:rsid w:val="0078328F"/>
    <w:rsid w:val="00784AAA"/>
    <w:rsid w:val="00786A12"/>
    <w:rsid w:val="007951C0"/>
    <w:rsid w:val="00797BF4"/>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653F"/>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17F29"/>
    <w:rsid w:val="00824F0F"/>
    <w:rsid w:val="00825853"/>
    <w:rsid w:val="00826B11"/>
    <w:rsid w:val="00835F44"/>
    <w:rsid w:val="0083638D"/>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1E45"/>
    <w:rsid w:val="00882D3C"/>
    <w:rsid w:val="00882F82"/>
    <w:rsid w:val="008849FC"/>
    <w:rsid w:val="008854F2"/>
    <w:rsid w:val="00886BA8"/>
    <w:rsid w:val="00887460"/>
    <w:rsid w:val="008915C6"/>
    <w:rsid w:val="00891D54"/>
    <w:rsid w:val="0089205E"/>
    <w:rsid w:val="00897021"/>
    <w:rsid w:val="0089787D"/>
    <w:rsid w:val="008A1772"/>
    <w:rsid w:val="008A393D"/>
    <w:rsid w:val="008A3CB1"/>
    <w:rsid w:val="008A4A89"/>
    <w:rsid w:val="008A7EFB"/>
    <w:rsid w:val="008B2889"/>
    <w:rsid w:val="008B610A"/>
    <w:rsid w:val="008C14E0"/>
    <w:rsid w:val="008C3F35"/>
    <w:rsid w:val="008C60C7"/>
    <w:rsid w:val="008C6B68"/>
    <w:rsid w:val="008D0667"/>
    <w:rsid w:val="008D06BA"/>
    <w:rsid w:val="008D0831"/>
    <w:rsid w:val="008D28DB"/>
    <w:rsid w:val="008D4206"/>
    <w:rsid w:val="008D6804"/>
    <w:rsid w:val="008D688E"/>
    <w:rsid w:val="008E184B"/>
    <w:rsid w:val="008E3382"/>
    <w:rsid w:val="008F213E"/>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5907"/>
    <w:rsid w:val="00957134"/>
    <w:rsid w:val="00962401"/>
    <w:rsid w:val="00964439"/>
    <w:rsid w:val="00965FA1"/>
    <w:rsid w:val="00966E33"/>
    <w:rsid w:val="009671C6"/>
    <w:rsid w:val="009676C8"/>
    <w:rsid w:val="00967E90"/>
    <w:rsid w:val="00971F76"/>
    <w:rsid w:val="009732D6"/>
    <w:rsid w:val="0097382F"/>
    <w:rsid w:val="00975565"/>
    <w:rsid w:val="00976F17"/>
    <w:rsid w:val="0098129E"/>
    <w:rsid w:val="00981F48"/>
    <w:rsid w:val="00983FCE"/>
    <w:rsid w:val="009842BD"/>
    <w:rsid w:val="00985916"/>
    <w:rsid w:val="00986E8F"/>
    <w:rsid w:val="00991791"/>
    <w:rsid w:val="009A12FC"/>
    <w:rsid w:val="009A2230"/>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0ECF"/>
    <w:rsid w:val="00A4415D"/>
    <w:rsid w:val="00A50B2D"/>
    <w:rsid w:val="00A5213B"/>
    <w:rsid w:val="00A57639"/>
    <w:rsid w:val="00A6183A"/>
    <w:rsid w:val="00A6318F"/>
    <w:rsid w:val="00A65F0C"/>
    <w:rsid w:val="00A71A1C"/>
    <w:rsid w:val="00A730FD"/>
    <w:rsid w:val="00A755E1"/>
    <w:rsid w:val="00A81167"/>
    <w:rsid w:val="00A81285"/>
    <w:rsid w:val="00A8273F"/>
    <w:rsid w:val="00A84001"/>
    <w:rsid w:val="00A86EBF"/>
    <w:rsid w:val="00A900B4"/>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21D2"/>
    <w:rsid w:val="00AD43E1"/>
    <w:rsid w:val="00AD5F7D"/>
    <w:rsid w:val="00AD733A"/>
    <w:rsid w:val="00AE5379"/>
    <w:rsid w:val="00AE58CD"/>
    <w:rsid w:val="00AE5C43"/>
    <w:rsid w:val="00AF1188"/>
    <w:rsid w:val="00AF309C"/>
    <w:rsid w:val="00AF3164"/>
    <w:rsid w:val="00AF55D3"/>
    <w:rsid w:val="00AF742A"/>
    <w:rsid w:val="00B0053F"/>
    <w:rsid w:val="00B00F1D"/>
    <w:rsid w:val="00B01A93"/>
    <w:rsid w:val="00B11CBA"/>
    <w:rsid w:val="00B222F1"/>
    <w:rsid w:val="00B24228"/>
    <w:rsid w:val="00B33434"/>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96BB8"/>
    <w:rsid w:val="00BA089F"/>
    <w:rsid w:val="00BA2EAB"/>
    <w:rsid w:val="00BA33AB"/>
    <w:rsid w:val="00BA6F3C"/>
    <w:rsid w:val="00BA7D38"/>
    <w:rsid w:val="00BB0662"/>
    <w:rsid w:val="00BB10DB"/>
    <w:rsid w:val="00BB1521"/>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768"/>
    <w:rsid w:val="00C509CB"/>
    <w:rsid w:val="00C50A66"/>
    <w:rsid w:val="00C5203F"/>
    <w:rsid w:val="00C53BEA"/>
    <w:rsid w:val="00C53C4C"/>
    <w:rsid w:val="00C574F4"/>
    <w:rsid w:val="00C57EF8"/>
    <w:rsid w:val="00C76515"/>
    <w:rsid w:val="00C774E7"/>
    <w:rsid w:val="00C8266C"/>
    <w:rsid w:val="00C8419E"/>
    <w:rsid w:val="00C8697F"/>
    <w:rsid w:val="00C873CF"/>
    <w:rsid w:val="00C91BBB"/>
    <w:rsid w:val="00C92CDE"/>
    <w:rsid w:val="00C93F10"/>
    <w:rsid w:val="00C94D61"/>
    <w:rsid w:val="00C94E29"/>
    <w:rsid w:val="00C9777C"/>
    <w:rsid w:val="00CA1147"/>
    <w:rsid w:val="00CA29BA"/>
    <w:rsid w:val="00CA2F6F"/>
    <w:rsid w:val="00CA3221"/>
    <w:rsid w:val="00CA399B"/>
    <w:rsid w:val="00CA39DC"/>
    <w:rsid w:val="00CA3AC0"/>
    <w:rsid w:val="00CA48E6"/>
    <w:rsid w:val="00CA530B"/>
    <w:rsid w:val="00CA7846"/>
    <w:rsid w:val="00CB04F1"/>
    <w:rsid w:val="00CB06DC"/>
    <w:rsid w:val="00CB1145"/>
    <w:rsid w:val="00CB422A"/>
    <w:rsid w:val="00CB7024"/>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15FE3"/>
    <w:rsid w:val="00D21FC1"/>
    <w:rsid w:val="00D21FEB"/>
    <w:rsid w:val="00D25052"/>
    <w:rsid w:val="00D252B7"/>
    <w:rsid w:val="00D26326"/>
    <w:rsid w:val="00D32FC5"/>
    <w:rsid w:val="00D33001"/>
    <w:rsid w:val="00D35312"/>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21F"/>
    <w:rsid w:val="00D8662E"/>
    <w:rsid w:val="00D901F3"/>
    <w:rsid w:val="00D92305"/>
    <w:rsid w:val="00D92752"/>
    <w:rsid w:val="00D927F1"/>
    <w:rsid w:val="00D9332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A2C"/>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382"/>
    <w:rsid w:val="00E53FAC"/>
    <w:rsid w:val="00E55920"/>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3C0"/>
    <w:rsid w:val="00F057D5"/>
    <w:rsid w:val="00F0601A"/>
    <w:rsid w:val="00F06D91"/>
    <w:rsid w:val="00F12BF3"/>
    <w:rsid w:val="00F137CA"/>
    <w:rsid w:val="00F20093"/>
    <w:rsid w:val="00F23D16"/>
    <w:rsid w:val="00F24E02"/>
    <w:rsid w:val="00F35431"/>
    <w:rsid w:val="00F40AC5"/>
    <w:rsid w:val="00F41819"/>
    <w:rsid w:val="00F47DB3"/>
    <w:rsid w:val="00F505D7"/>
    <w:rsid w:val="00F50CDF"/>
    <w:rsid w:val="00F51448"/>
    <w:rsid w:val="00F56750"/>
    <w:rsid w:val="00F56E18"/>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084C"/>
    <w:rsid w:val="00FD152B"/>
    <w:rsid w:val="00FD52D3"/>
    <w:rsid w:val="00FD61F6"/>
    <w:rsid w:val="00FD71A7"/>
    <w:rsid w:val="00FE34A6"/>
    <w:rsid w:val="00FE3EE4"/>
    <w:rsid w:val="00FE49E3"/>
    <w:rsid w:val="00FE5A2D"/>
    <w:rsid w:val="00FE67F7"/>
    <w:rsid w:val="00FF024C"/>
    <w:rsid w:val="00FF275E"/>
    <w:rsid w:val="00FF4CEA"/>
    <w:rsid w:val="010677FD"/>
    <w:rsid w:val="010D7DD7"/>
    <w:rsid w:val="0150744A"/>
    <w:rsid w:val="01B21A18"/>
    <w:rsid w:val="01CA5C47"/>
    <w:rsid w:val="01D34B7C"/>
    <w:rsid w:val="01E0427F"/>
    <w:rsid w:val="01E45AB8"/>
    <w:rsid w:val="02130E8E"/>
    <w:rsid w:val="024C6CE4"/>
    <w:rsid w:val="025A0021"/>
    <w:rsid w:val="026914D6"/>
    <w:rsid w:val="026E3E85"/>
    <w:rsid w:val="02775E4F"/>
    <w:rsid w:val="028842F3"/>
    <w:rsid w:val="02A97FD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40268E"/>
    <w:rsid w:val="044135D4"/>
    <w:rsid w:val="04581CB1"/>
    <w:rsid w:val="04625E5C"/>
    <w:rsid w:val="046643CE"/>
    <w:rsid w:val="04665F00"/>
    <w:rsid w:val="04A143F5"/>
    <w:rsid w:val="04AD0340"/>
    <w:rsid w:val="04CD398A"/>
    <w:rsid w:val="04D74983"/>
    <w:rsid w:val="04DC4690"/>
    <w:rsid w:val="04F05A45"/>
    <w:rsid w:val="05010AE8"/>
    <w:rsid w:val="05080FE1"/>
    <w:rsid w:val="0521539E"/>
    <w:rsid w:val="052A5638"/>
    <w:rsid w:val="054E6624"/>
    <w:rsid w:val="05611EC8"/>
    <w:rsid w:val="057167A1"/>
    <w:rsid w:val="0575231F"/>
    <w:rsid w:val="057E5747"/>
    <w:rsid w:val="05832150"/>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2E5CA0"/>
    <w:rsid w:val="06484896"/>
    <w:rsid w:val="067F1777"/>
    <w:rsid w:val="06897EFF"/>
    <w:rsid w:val="06985B68"/>
    <w:rsid w:val="06B963C3"/>
    <w:rsid w:val="06BB4699"/>
    <w:rsid w:val="06BF6017"/>
    <w:rsid w:val="06D426C9"/>
    <w:rsid w:val="06DE6B97"/>
    <w:rsid w:val="06E11AE9"/>
    <w:rsid w:val="06F54F23"/>
    <w:rsid w:val="072916E2"/>
    <w:rsid w:val="072C2F43"/>
    <w:rsid w:val="073A094A"/>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5409E1"/>
    <w:rsid w:val="08584823"/>
    <w:rsid w:val="087D2DFB"/>
    <w:rsid w:val="087D71AA"/>
    <w:rsid w:val="087F116D"/>
    <w:rsid w:val="08816E02"/>
    <w:rsid w:val="08892439"/>
    <w:rsid w:val="0891753F"/>
    <w:rsid w:val="08B6440D"/>
    <w:rsid w:val="09187C60"/>
    <w:rsid w:val="09212671"/>
    <w:rsid w:val="094952AB"/>
    <w:rsid w:val="094F3A7D"/>
    <w:rsid w:val="09672297"/>
    <w:rsid w:val="09842A94"/>
    <w:rsid w:val="09980064"/>
    <w:rsid w:val="09AD6DA0"/>
    <w:rsid w:val="09B733CF"/>
    <w:rsid w:val="09FC3DED"/>
    <w:rsid w:val="0A017CA5"/>
    <w:rsid w:val="0A177FBB"/>
    <w:rsid w:val="0A2C751F"/>
    <w:rsid w:val="0A32516E"/>
    <w:rsid w:val="0A3B5E4F"/>
    <w:rsid w:val="0A534A68"/>
    <w:rsid w:val="0A5D129E"/>
    <w:rsid w:val="0A6F73CD"/>
    <w:rsid w:val="0A7316DF"/>
    <w:rsid w:val="0A7E3E50"/>
    <w:rsid w:val="0A8A4B5C"/>
    <w:rsid w:val="0A915C28"/>
    <w:rsid w:val="0A9645B6"/>
    <w:rsid w:val="0A9E7CF1"/>
    <w:rsid w:val="0ACB1529"/>
    <w:rsid w:val="0AE840F1"/>
    <w:rsid w:val="0AFE58D7"/>
    <w:rsid w:val="0B3E0B27"/>
    <w:rsid w:val="0B8E7D66"/>
    <w:rsid w:val="0B900166"/>
    <w:rsid w:val="0B996E37"/>
    <w:rsid w:val="0B9B6F08"/>
    <w:rsid w:val="0BB84DE3"/>
    <w:rsid w:val="0BBF6A1F"/>
    <w:rsid w:val="0BC16775"/>
    <w:rsid w:val="0BCC0102"/>
    <w:rsid w:val="0C055C11"/>
    <w:rsid w:val="0C261DCE"/>
    <w:rsid w:val="0C2A095B"/>
    <w:rsid w:val="0C403756"/>
    <w:rsid w:val="0C5B2C36"/>
    <w:rsid w:val="0C612EBC"/>
    <w:rsid w:val="0C9D0F3D"/>
    <w:rsid w:val="0C9D5046"/>
    <w:rsid w:val="0CA30DC4"/>
    <w:rsid w:val="0CA53682"/>
    <w:rsid w:val="0CC62E79"/>
    <w:rsid w:val="0CEC743A"/>
    <w:rsid w:val="0CFD5169"/>
    <w:rsid w:val="0D246BD4"/>
    <w:rsid w:val="0D265FB9"/>
    <w:rsid w:val="0D2A2C87"/>
    <w:rsid w:val="0D2F4585"/>
    <w:rsid w:val="0D6D04FB"/>
    <w:rsid w:val="0D7F0FF2"/>
    <w:rsid w:val="0DAB373F"/>
    <w:rsid w:val="0DB10B15"/>
    <w:rsid w:val="0DEC5606"/>
    <w:rsid w:val="0DF6340F"/>
    <w:rsid w:val="0DF759EC"/>
    <w:rsid w:val="0E0003F5"/>
    <w:rsid w:val="0E131438"/>
    <w:rsid w:val="0E2A021A"/>
    <w:rsid w:val="0E300CCB"/>
    <w:rsid w:val="0E34332C"/>
    <w:rsid w:val="0E484539"/>
    <w:rsid w:val="0E4E6F98"/>
    <w:rsid w:val="0E59465B"/>
    <w:rsid w:val="0E6F1FEA"/>
    <w:rsid w:val="0E8E4A9A"/>
    <w:rsid w:val="0E8F346F"/>
    <w:rsid w:val="0EA76728"/>
    <w:rsid w:val="0EAB39BC"/>
    <w:rsid w:val="0EAE0E4B"/>
    <w:rsid w:val="0EAF060F"/>
    <w:rsid w:val="0EBB5316"/>
    <w:rsid w:val="0EBD5AF0"/>
    <w:rsid w:val="0EC44874"/>
    <w:rsid w:val="0ECB06E8"/>
    <w:rsid w:val="0EE867D6"/>
    <w:rsid w:val="0EF24AB8"/>
    <w:rsid w:val="0EF83E74"/>
    <w:rsid w:val="0F112BA2"/>
    <w:rsid w:val="0F2E646B"/>
    <w:rsid w:val="0F4B5E20"/>
    <w:rsid w:val="0F5E215B"/>
    <w:rsid w:val="0F5E7024"/>
    <w:rsid w:val="0F6253CB"/>
    <w:rsid w:val="0F7306C4"/>
    <w:rsid w:val="0F73174D"/>
    <w:rsid w:val="0F7416D3"/>
    <w:rsid w:val="0F755356"/>
    <w:rsid w:val="0F995CE4"/>
    <w:rsid w:val="0FCA4128"/>
    <w:rsid w:val="0FD056DD"/>
    <w:rsid w:val="0FE10B54"/>
    <w:rsid w:val="0FF521C8"/>
    <w:rsid w:val="10094E47"/>
    <w:rsid w:val="100E76C7"/>
    <w:rsid w:val="101A2DB8"/>
    <w:rsid w:val="1021389E"/>
    <w:rsid w:val="103855F9"/>
    <w:rsid w:val="104B3684"/>
    <w:rsid w:val="10686DD7"/>
    <w:rsid w:val="106D2640"/>
    <w:rsid w:val="10741A50"/>
    <w:rsid w:val="107A55F0"/>
    <w:rsid w:val="108C6F6A"/>
    <w:rsid w:val="10981E8E"/>
    <w:rsid w:val="10A63D2D"/>
    <w:rsid w:val="10B464C1"/>
    <w:rsid w:val="10BB513E"/>
    <w:rsid w:val="10BC0A12"/>
    <w:rsid w:val="10BC59EE"/>
    <w:rsid w:val="10C009C2"/>
    <w:rsid w:val="10CC2784"/>
    <w:rsid w:val="10E037A1"/>
    <w:rsid w:val="10F20A88"/>
    <w:rsid w:val="1109680C"/>
    <w:rsid w:val="112E2143"/>
    <w:rsid w:val="116A0647"/>
    <w:rsid w:val="117240CA"/>
    <w:rsid w:val="119E68F1"/>
    <w:rsid w:val="11C3441F"/>
    <w:rsid w:val="11D4470B"/>
    <w:rsid w:val="11E72AA0"/>
    <w:rsid w:val="11ED5817"/>
    <w:rsid w:val="11F27300"/>
    <w:rsid w:val="11FF770F"/>
    <w:rsid w:val="12236EB5"/>
    <w:rsid w:val="12533B52"/>
    <w:rsid w:val="12614426"/>
    <w:rsid w:val="12DA1A1B"/>
    <w:rsid w:val="12DC1601"/>
    <w:rsid w:val="12DC4263"/>
    <w:rsid w:val="12DE553C"/>
    <w:rsid w:val="12E31AB3"/>
    <w:rsid w:val="1303087B"/>
    <w:rsid w:val="131453C8"/>
    <w:rsid w:val="131D6EAC"/>
    <w:rsid w:val="133D09EF"/>
    <w:rsid w:val="133F1385"/>
    <w:rsid w:val="13895FA5"/>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1E03AD"/>
    <w:rsid w:val="15460579"/>
    <w:rsid w:val="154D0D4C"/>
    <w:rsid w:val="156F1C62"/>
    <w:rsid w:val="15930FBB"/>
    <w:rsid w:val="15C54CCC"/>
    <w:rsid w:val="16184A55"/>
    <w:rsid w:val="164E138E"/>
    <w:rsid w:val="166F6902"/>
    <w:rsid w:val="16837CAD"/>
    <w:rsid w:val="168D5635"/>
    <w:rsid w:val="16912973"/>
    <w:rsid w:val="169620A3"/>
    <w:rsid w:val="1699418F"/>
    <w:rsid w:val="16B72867"/>
    <w:rsid w:val="16D57191"/>
    <w:rsid w:val="16F413C5"/>
    <w:rsid w:val="16FB5268"/>
    <w:rsid w:val="17224323"/>
    <w:rsid w:val="172F5DE0"/>
    <w:rsid w:val="176B468F"/>
    <w:rsid w:val="1772678E"/>
    <w:rsid w:val="17964BDD"/>
    <w:rsid w:val="179B2D8B"/>
    <w:rsid w:val="17B8460B"/>
    <w:rsid w:val="17C214C3"/>
    <w:rsid w:val="17D631C0"/>
    <w:rsid w:val="17E627B5"/>
    <w:rsid w:val="181D0DEF"/>
    <w:rsid w:val="185715DB"/>
    <w:rsid w:val="185A451F"/>
    <w:rsid w:val="185A5893"/>
    <w:rsid w:val="1864257A"/>
    <w:rsid w:val="186C7681"/>
    <w:rsid w:val="186D1665"/>
    <w:rsid w:val="188035F4"/>
    <w:rsid w:val="189D5C7A"/>
    <w:rsid w:val="18AE37F5"/>
    <w:rsid w:val="18B07EC0"/>
    <w:rsid w:val="18B369CF"/>
    <w:rsid w:val="18D30994"/>
    <w:rsid w:val="18F27B86"/>
    <w:rsid w:val="18FA1684"/>
    <w:rsid w:val="18FC4F15"/>
    <w:rsid w:val="19085AB4"/>
    <w:rsid w:val="190A13FE"/>
    <w:rsid w:val="191A7EEA"/>
    <w:rsid w:val="1941466A"/>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32FC3"/>
    <w:rsid w:val="1C0F2461"/>
    <w:rsid w:val="1C197B20"/>
    <w:rsid w:val="1C2A75D2"/>
    <w:rsid w:val="1C417161"/>
    <w:rsid w:val="1C4E1ED3"/>
    <w:rsid w:val="1C6036B0"/>
    <w:rsid w:val="1C60574F"/>
    <w:rsid w:val="1C640447"/>
    <w:rsid w:val="1C9E2440"/>
    <w:rsid w:val="1CCD74BF"/>
    <w:rsid w:val="1CD02E5A"/>
    <w:rsid w:val="1D07790C"/>
    <w:rsid w:val="1D1A7519"/>
    <w:rsid w:val="1D1D2483"/>
    <w:rsid w:val="1D220E65"/>
    <w:rsid w:val="1D473B0F"/>
    <w:rsid w:val="1D567A2F"/>
    <w:rsid w:val="1D7C2114"/>
    <w:rsid w:val="1D884BDD"/>
    <w:rsid w:val="1D893DF7"/>
    <w:rsid w:val="1D991F3E"/>
    <w:rsid w:val="1D9D1A60"/>
    <w:rsid w:val="1DB23D88"/>
    <w:rsid w:val="1DD66083"/>
    <w:rsid w:val="1DE07B88"/>
    <w:rsid w:val="1DE71A2D"/>
    <w:rsid w:val="1DEA5065"/>
    <w:rsid w:val="1DFC3255"/>
    <w:rsid w:val="1E264941"/>
    <w:rsid w:val="1E3454F5"/>
    <w:rsid w:val="1E505F69"/>
    <w:rsid w:val="1E636E30"/>
    <w:rsid w:val="1E696296"/>
    <w:rsid w:val="1E6C086A"/>
    <w:rsid w:val="1E7728DA"/>
    <w:rsid w:val="1E8470EA"/>
    <w:rsid w:val="1E886B1A"/>
    <w:rsid w:val="1E8C29CF"/>
    <w:rsid w:val="1EA26BD8"/>
    <w:rsid w:val="1EA71413"/>
    <w:rsid w:val="1EB86D6B"/>
    <w:rsid w:val="1ECA6C91"/>
    <w:rsid w:val="1ECA6EAF"/>
    <w:rsid w:val="1EE31C63"/>
    <w:rsid w:val="1EFA0674"/>
    <w:rsid w:val="1F0214F7"/>
    <w:rsid w:val="1F0C172C"/>
    <w:rsid w:val="1F114B7A"/>
    <w:rsid w:val="1F243576"/>
    <w:rsid w:val="1F2F61E7"/>
    <w:rsid w:val="1F4B39E8"/>
    <w:rsid w:val="1F546AF6"/>
    <w:rsid w:val="1F670BF5"/>
    <w:rsid w:val="1F784E52"/>
    <w:rsid w:val="1F7A08D5"/>
    <w:rsid w:val="1F8C3BF6"/>
    <w:rsid w:val="1F941997"/>
    <w:rsid w:val="1F9C084C"/>
    <w:rsid w:val="1FA535FA"/>
    <w:rsid w:val="1FBC3D21"/>
    <w:rsid w:val="1FE655FE"/>
    <w:rsid w:val="1FF7742C"/>
    <w:rsid w:val="200D561F"/>
    <w:rsid w:val="20121817"/>
    <w:rsid w:val="20141E71"/>
    <w:rsid w:val="202820DF"/>
    <w:rsid w:val="202E593D"/>
    <w:rsid w:val="20336652"/>
    <w:rsid w:val="20517888"/>
    <w:rsid w:val="20527A49"/>
    <w:rsid w:val="20764172"/>
    <w:rsid w:val="209205DC"/>
    <w:rsid w:val="20B83463"/>
    <w:rsid w:val="20C25887"/>
    <w:rsid w:val="20DE6727"/>
    <w:rsid w:val="20E976FD"/>
    <w:rsid w:val="20EA4A26"/>
    <w:rsid w:val="210E7D76"/>
    <w:rsid w:val="212B5917"/>
    <w:rsid w:val="21675F5E"/>
    <w:rsid w:val="21B856E5"/>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213E8D"/>
    <w:rsid w:val="23241EA1"/>
    <w:rsid w:val="234731C4"/>
    <w:rsid w:val="234858E1"/>
    <w:rsid w:val="238F5C88"/>
    <w:rsid w:val="239D2DE4"/>
    <w:rsid w:val="23B91008"/>
    <w:rsid w:val="23CC4744"/>
    <w:rsid w:val="23D609DA"/>
    <w:rsid w:val="23DA4684"/>
    <w:rsid w:val="23FB704A"/>
    <w:rsid w:val="242467CA"/>
    <w:rsid w:val="24306110"/>
    <w:rsid w:val="243D1502"/>
    <w:rsid w:val="244D480A"/>
    <w:rsid w:val="245345D6"/>
    <w:rsid w:val="24743FEC"/>
    <w:rsid w:val="24771887"/>
    <w:rsid w:val="24805F8B"/>
    <w:rsid w:val="24835E3B"/>
    <w:rsid w:val="24864CD7"/>
    <w:rsid w:val="248E5E54"/>
    <w:rsid w:val="24A563F4"/>
    <w:rsid w:val="24C068BD"/>
    <w:rsid w:val="24C61DD0"/>
    <w:rsid w:val="24D42AC1"/>
    <w:rsid w:val="24D52C27"/>
    <w:rsid w:val="250273A3"/>
    <w:rsid w:val="250B28E1"/>
    <w:rsid w:val="251F05DB"/>
    <w:rsid w:val="25292B82"/>
    <w:rsid w:val="253908EB"/>
    <w:rsid w:val="253B24B9"/>
    <w:rsid w:val="253D228D"/>
    <w:rsid w:val="254A0D4A"/>
    <w:rsid w:val="25504EBA"/>
    <w:rsid w:val="255C0913"/>
    <w:rsid w:val="255F65A3"/>
    <w:rsid w:val="2567597A"/>
    <w:rsid w:val="25A53AC6"/>
    <w:rsid w:val="25DA6DFA"/>
    <w:rsid w:val="25E14C7A"/>
    <w:rsid w:val="26052839"/>
    <w:rsid w:val="26351F9D"/>
    <w:rsid w:val="26471627"/>
    <w:rsid w:val="265F1CA4"/>
    <w:rsid w:val="266F71F8"/>
    <w:rsid w:val="267B1C6F"/>
    <w:rsid w:val="267F64D1"/>
    <w:rsid w:val="26957867"/>
    <w:rsid w:val="269B185D"/>
    <w:rsid w:val="26BF1478"/>
    <w:rsid w:val="26D00FBC"/>
    <w:rsid w:val="26D646C5"/>
    <w:rsid w:val="26E51798"/>
    <w:rsid w:val="26FB67A0"/>
    <w:rsid w:val="27035654"/>
    <w:rsid w:val="271679AE"/>
    <w:rsid w:val="272C0707"/>
    <w:rsid w:val="27324837"/>
    <w:rsid w:val="27390274"/>
    <w:rsid w:val="27663E6F"/>
    <w:rsid w:val="276E37A0"/>
    <w:rsid w:val="27704878"/>
    <w:rsid w:val="27990440"/>
    <w:rsid w:val="279F537D"/>
    <w:rsid w:val="27AD01DA"/>
    <w:rsid w:val="27CB18D8"/>
    <w:rsid w:val="27FE1C8A"/>
    <w:rsid w:val="27FE59FB"/>
    <w:rsid w:val="27FF6FE3"/>
    <w:rsid w:val="28013C34"/>
    <w:rsid w:val="280B3FF0"/>
    <w:rsid w:val="28284160"/>
    <w:rsid w:val="28543910"/>
    <w:rsid w:val="285507FD"/>
    <w:rsid w:val="288130EC"/>
    <w:rsid w:val="288E0E9B"/>
    <w:rsid w:val="289F1006"/>
    <w:rsid w:val="28C6759A"/>
    <w:rsid w:val="28CB7113"/>
    <w:rsid w:val="28CE4FA0"/>
    <w:rsid w:val="28D27848"/>
    <w:rsid w:val="28E15521"/>
    <w:rsid w:val="28E84B02"/>
    <w:rsid w:val="290F5406"/>
    <w:rsid w:val="291F1C70"/>
    <w:rsid w:val="294A3E4E"/>
    <w:rsid w:val="29600B3C"/>
    <w:rsid w:val="2974498E"/>
    <w:rsid w:val="297B3BC8"/>
    <w:rsid w:val="297E2551"/>
    <w:rsid w:val="29A77E13"/>
    <w:rsid w:val="29A8575D"/>
    <w:rsid w:val="29B74108"/>
    <w:rsid w:val="29BA5BEE"/>
    <w:rsid w:val="29BD24A2"/>
    <w:rsid w:val="29C01785"/>
    <w:rsid w:val="29C448AF"/>
    <w:rsid w:val="2A147269"/>
    <w:rsid w:val="2A202079"/>
    <w:rsid w:val="2A2038A1"/>
    <w:rsid w:val="2A2B1576"/>
    <w:rsid w:val="2A2C46A4"/>
    <w:rsid w:val="2A537017"/>
    <w:rsid w:val="2A99523B"/>
    <w:rsid w:val="2AA415D3"/>
    <w:rsid w:val="2AA7677F"/>
    <w:rsid w:val="2AC450FA"/>
    <w:rsid w:val="2ACF1C5D"/>
    <w:rsid w:val="2ADB2B70"/>
    <w:rsid w:val="2ADF3F67"/>
    <w:rsid w:val="2B0F4FC5"/>
    <w:rsid w:val="2B155185"/>
    <w:rsid w:val="2B8F5708"/>
    <w:rsid w:val="2BCC4267"/>
    <w:rsid w:val="2BF1433B"/>
    <w:rsid w:val="2BF51A0F"/>
    <w:rsid w:val="2C0C1256"/>
    <w:rsid w:val="2C2A5978"/>
    <w:rsid w:val="2C381E79"/>
    <w:rsid w:val="2C3A5674"/>
    <w:rsid w:val="2C444745"/>
    <w:rsid w:val="2C453C96"/>
    <w:rsid w:val="2C511FF4"/>
    <w:rsid w:val="2C532BDA"/>
    <w:rsid w:val="2C690496"/>
    <w:rsid w:val="2C7E3ECE"/>
    <w:rsid w:val="2C8277A3"/>
    <w:rsid w:val="2CA40325"/>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E47B19"/>
    <w:rsid w:val="2EFE110B"/>
    <w:rsid w:val="2F0116F1"/>
    <w:rsid w:val="2F316EF3"/>
    <w:rsid w:val="2F3B5956"/>
    <w:rsid w:val="2F436F36"/>
    <w:rsid w:val="2F4D56BE"/>
    <w:rsid w:val="2F5A77EF"/>
    <w:rsid w:val="2F5C3B54"/>
    <w:rsid w:val="2F6517C3"/>
    <w:rsid w:val="2FA30AC3"/>
    <w:rsid w:val="2FB76FDC"/>
    <w:rsid w:val="2FDA6B1F"/>
    <w:rsid w:val="2FEA7D5E"/>
    <w:rsid w:val="2FF53476"/>
    <w:rsid w:val="300761B5"/>
    <w:rsid w:val="301950F9"/>
    <w:rsid w:val="30451BBC"/>
    <w:rsid w:val="30570AC2"/>
    <w:rsid w:val="30631264"/>
    <w:rsid w:val="30775B89"/>
    <w:rsid w:val="30AE2FF6"/>
    <w:rsid w:val="30B36B3A"/>
    <w:rsid w:val="30C94365"/>
    <w:rsid w:val="30EF0E8C"/>
    <w:rsid w:val="30F0668B"/>
    <w:rsid w:val="31001087"/>
    <w:rsid w:val="31012C04"/>
    <w:rsid w:val="31043CA0"/>
    <w:rsid w:val="310D3165"/>
    <w:rsid w:val="311B7A32"/>
    <w:rsid w:val="311C359A"/>
    <w:rsid w:val="31243FAD"/>
    <w:rsid w:val="3138414C"/>
    <w:rsid w:val="31625612"/>
    <w:rsid w:val="31812082"/>
    <w:rsid w:val="31A85121"/>
    <w:rsid w:val="31B5579D"/>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8D3EE9"/>
    <w:rsid w:val="328F4699"/>
    <w:rsid w:val="32BF0EDD"/>
    <w:rsid w:val="3301622E"/>
    <w:rsid w:val="3307027A"/>
    <w:rsid w:val="330813AC"/>
    <w:rsid w:val="33197425"/>
    <w:rsid w:val="33490893"/>
    <w:rsid w:val="33751688"/>
    <w:rsid w:val="33B05B99"/>
    <w:rsid w:val="33B54F5B"/>
    <w:rsid w:val="33BB5540"/>
    <w:rsid w:val="33C10429"/>
    <w:rsid w:val="33CF2B46"/>
    <w:rsid w:val="33D66175"/>
    <w:rsid w:val="33DF23F2"/>
    <w:rsid w:val="34342C2C"/>
    <w:rsid w:val="34386061"/>
    <w:rsid w:val="34711F31"/>
    <w:rsid w:val="34964F8E"/>
    <w:rsid w:val="34B01925"/>
    <w:rsid w:val="34C15096"/>
    <w:rsid w:val="34C51D78"/>
    <w:rsid w:val="34D41A76"/>
    <w:rsid w:val="34DA28BD"/>
    <w:rsid w:val="34EE16F2"/>
    <w:rsid w:val="34F12952"/>
    <w:rsid w:val="3518676F"/>
    <w:rsid w:val="354B05E0"/>
    <w:rsid w:val="355C12DE"/>
    <w:rsid w:val="355F7EFA"/>
    <w:rsid w:val="35613C72"/>
    <w:rsid w:val="3563244F"/>
    <w:rsid w:val="356527EF"/>
    <w:rsid w:val="35753BC1"/>
    <w:rsid w:val="359027A9"/>
    <w:rsid w:val="35A76B10"/>
    <w:rsid w:val="35AE1209"/>
    <w:rsid w:val="35C77203"/>
    <w:rsid w:val="35D16AE6"/>
    <w:rsid w:val="35D72AD1"/>
    <w:rsid w:val="35E93C67"/>
    <w:rsid w:val="35FB58C9"/>
    <w:rsid w:val="36010856"/>
    <w:rsid w:val="36140EBC"/>
    <w:rsid w:val="36215F59"/>
    <w:rsid w:val="362D05B8"/>
    <w:rsid w:val="365D444A"/>
    <w:rsid w:val="36823FFB"/>
    <w:rsid w:val="36841031"/>
    <w:rsid w:val="36954B86"/>
    <w:rsid w:val="36957B0E"/>
    <w:rsid w:val="36A27736"/>
    <w:rsid w:val="36B5066C"/>
    <w:rsid w:val="36C97CBE"/>
    <w:rsid w:val="370178A6"/>
    <w:rsid w:val="371D006C"/>
    <w:rsid w:val="371D5E6B"/>
    <w:rsid w:val="375909AC"/>
    <w:rsid w:val="376D2A25"/>
    <w:rsid w:val="3779106C"/>
    <w:rsid w:val="3780579E"/>
    <w:rsid w:val="379E634E"/>
    <w:rsid w:val="37A86C53"/>
    <w:rsid w:val="37C17498"/>
    <w:rsid w:val="37D85EC2"/>
    <w:rsid w:val="37F65E30"/>
    <w:rsid w:val="37F66F6A"/>
    <w:rsid w:val="38136DF0"/>
    <w:rsid w:val="381C69BD"/>
    <w:rsid w:val="3822621E"/>
    <w:rsid w:val="3825589D"/>
    <w:rsid w:val="382D0783"/>
    <w:rsid w:val="38321BD3"/>
    <w:rsid w:val="383731AD"/>
    <w:rsid w:val="383D1463"/>
    <w:rsid w:val="384B05C1"/>
    <w:rsid w:val="38511599"/>
    <w:rsid w:val="38984C96"/>
    <w:rsid w:val="389C497F"/>
    <w:rsid w:val="38A6226A"/>
    <w:rsid w:val="38CD30C2"/>
    <w:rsid w:val="38E64352"/>
    <w:rsid w:val="38EC419A"/>
    <w:rsid w:val="39217E6B"/>
    <w:rsid w:val="39420AD9"/>
    <w:rsid w:val="396177B0"/>
    <w:rsid w:val="39665F8E"/>
    <w:rsid w:val="396B12CF"/>
    <w:rsid w:val="3979197F"/>
    <w:rsid w:val="397A6F78"/>
    <w:rsid w:val="39882B79"/>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54287"/>
    <w:rsid w:val="3B0C28D2"/>
    <w:rsid w:val="3B0E36DA"/>
    <w:rsid w:val="3B194FEF"/>
    <w:rsid w:val="3B381322"/>
    <w:rsid w:val="3B437223"/>
    <w:rsid w:val="3B483EC7"/>
    <w:rsid w:val="3B585B17"/>
    <w:rsid w:val="3B713E68"/>
    <w:rsid w:val="3B8E0680"/>
    <w:rsid w:val="3BAA7334"/>
    <w:rsid w:val="3BCB2815"/>
    <w:rsid w:val="3BCB60EB"/>
    <w:rsid w:val="3BD553B9"/>
    <w:rsid w:val="3BDF30D1"/>
    <w:rsid w:val="3BE15B0C"/>
    <w:rsid w:val="3BF43C71"/>
    <w:rsid w:val="3BF515B8"/>
    <w:rsid w:val="3C095063"/>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D000214"/>
    <w:rsid w:val="3D0B7719"/>
    <w:rsid w:val="3D302759"/>
    <w:rsid w:val="3D3D0E5A"/>
    <w:rsid w:val="3D557E03"/>
    <w:rsid w:val="3D6675E2"/>
    <w:rsid w:val="3D6802F9"/>
    <w:rsid w:val="3D685E7C"/>
    <w:rsid w:val="3D6E2C59"/>
    <w:rsid w:val="3D790984"/>
    <w:rsid w:val="3DC15167"/>
    <w:rsid w:val="3DC34CD5"/>
    <w:rsid w:val="3DCC459A"/>
    <w:rsid w:val="3DEA59D2"/>
    <w:rsid w:val="3E001EA9"/>
    <w:rsid w:val="3E0155AD"/>
    <w:rsid w:val="3E1F6C4B"/>
    <w:rsid w:val="3E2C65BF"/>
    <w:rsid w:val="3E3715E6"/>
    <w:rsid w:val="3E5A5506"/>
    <w:rsid w:val="3E652E9C"/>
    <w:rsid w:val="3E66679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B377D"/>
    <w:rsid w:val="3F6D7DF3"/>
    <w:rsid w:val="3FB32B32"/>
    <w:rsid w:val="3FF40A03"/>
    <w:rsid w:val="3FF63EE3"/>
    <w:rsid w:val="40156940"/>
    <w:rsid w:val="401B4E4B"/>
    <w:rsid w:val="40322DDA"/>
    <w:rsid w:val="40354679"/>
    <w:rsid w:val="403A1C8F"/>
    <w:rsid w:val="404E573A"/>
    <w:rsid w:val="40754A75"/>
    <w:rsid w:val="408B4867"/>
    <w:rsid w:val="40B02662"/>
    <w:rsid w:val="40DF3FA9"/>
    <w:rsid w:val="40DF5D28"/>
    <w:rsid w:val="40E13184"/>
    <w:rsid w:val="40F938F8"/>
    <w:rsid w:val="410B5BA8"/>
    <w:rsid w:val="412D25B6"/>
    <w:rsid w:val="414A326C"/>
    <w:rsid w:val="414E603F"/>
    <w:rsid w:val="416777AB"/>
    <w:rsid w:val="416D6BC8"/>
    <w:rsid w:val="416F4571"/>
    <w:rsid w:val="41735459"/>
    <w:rsid w:val="417B7512"/>
    <w:rsid w:val="41C55588"/>
    <w:rsid w:val="41D2487F"/>
    <w:rsid w:val="42055B33"/>
    <w:rsid w:val="421A0B83"/>
    <w:rsid w:val="42332E3A"/>
    <w:rsid w:val="426260DC"/>
    <w:rsid w:val="42822C6D"/>
    <w:rsid w:val="4283791D"/>
    <w:rsid w:val="428B7458"/>
    <w:rsid w:val="42957651"/>
    <w:rsid w:val="42C4328B"/>
    <w:rsid w:val="42D31F27"/>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0C3942"/>
    <w:rsid w:val="442545B7"/>
    <w:rsid w:val="44284413"/>
    <w:rsid w:val="443E0535"/>
    <w:rsid w:val="443F32FA"/>
    <w:rsid w:val="44704B0A"/>
    <w:rsid w:val="447E022A"/>
    <w:rsid w:val="44817267"/>
    <w:rsid w:val="44D40060"/>
    <w:rsid w:val="44E26451"/>
    <w:rsid w:val="45013506"/>
    <w:rsid w:val="45127C03"/>
    <w:rsid w:val="45246A6A"/>
    <w:rsid w:val="454C400F"/>
    <w:rsid w:val="454D0082"/>
    <w:rsid w:val="455B0133"/>
    <w:rsid w:val="455C6204"/>
    <w:rsid w:val="45621D5B"/>
    <w:rsid w:val="45717CEA"/>
    <w:rsid w:val="458962E8"/>
    <w:rsid w:val="45A409ED"/>
    <w:rsid w:val="45A961E4"/>
    <w:rsid w:val="45B521CA"/>
    <w:rsid w:val="45C94DCF"/>
    <w:rsid w:val="45F14B9E"/>
    <w:rsid w:val="45F4263A"/>
    <w:rsid w:val="45F428E0"/>
    <w:rsid w:val="461D1E37"/>
    <w:rsid w:val="465E6349"/>
    <w:rsid w:val="468561CA"/>
    <w:rsid w:val="46900D01"/>
    <w:rsid w:val="46995F99"/>
    <w:rsid w:val="46A952BF"/>
    <w:rsid w:val="46B21728"/>
    <w:rsid w:val="46C10A14"/>
    <w:rsid w:val="46CE19F8"/>
    <w:rsid w:val="46DE08D6"/>
    <w:rsid w:val="46E32B60"/>
    <w:rsid w:val="46F00A38"/>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8164C1B"/>
    <w:rsid w:val="481975E0"/>
    <w:rsid w:val="48276F9D"/>
    <w:rsid w:val="483D40CA"/>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77AB0"/>
    <w:rsid w:val="497913CB"/>
    <w:rsid w:val="49816239"/>
    <w:rsid w:val="49845C45"/>
    <w:rsid w:val="498B3956"/>
    <w:rsid w:val="49965AEC"/>
    <w:rsid w:val="49D07890"/>
    <w:rsid w:val="49E00517"/>
    <w:rsid w:val="49F50147"/>
    <w:rsid w:val="49F50FEC"/>
    <w:rsid w:val="49FC7FB5"/>
    <w:rsid w:val="4A007AA5"/>
    <w:rsid w:val="4A1B51B3"/>
    <w:rsid w:val="4A4554B8"/>
    <w:rsid w:val="4A5976A6"/>
    <w:rsid w:val="4A5E3966"/>
    <w:rsid w:val="4A6F0F17"/>
    <w:rsid w:val="4A7B0C83"/>
    <w:rsid w:val="4A942A2E"/>
    <w:rsid w:val="4A963F66"/>
    <w:rsid w:val="4AA059D7"/>
    <w:rsid w:val="4AB91D68"/>
    <w:rsid w:val="4AF34F14"/>
    <w:rsid w:val="4B2C3E78"/>
    <w:rsid w:val="4B5A179F"/>
    <w:rsid w:val="4B7A5635"/>
    <w:rsid w:val="4B9366F7"/>
    <w:rsid w:val="4BA07E7F"/>
    <w:rsid w:val="4BA27C1C"/>
    <w:rsid w:val="4BC464BA"/>
    <w:rsid w:val="4BF13331"/>
    <w:rsid w:val="4BF5032D"/>
    <w:rsid w:val="4C013661"/>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740170"/>
    <w:rsid w:val="4DA1378E"/>
    <w:rsid w:val="4DBC60D7"/>
    <w:rsid w:val="4DCB68F7"/>
    <w:rsid w:val="4DCE6352"/>
    <w:rsid w:val="4DF95127"/>
    <w:rsid w:val="4DFF4C65"/>
    <w:rsid w:val="4E0E5AF7"/>
    <w:rsid w:val="4E2F6BAB"/>
    <w:rsid w:val="4E3D564E"/>
    <w:rsid w:val="4E93713A"/>
    <w:rsid w:val="4E9A0D30"/>
    <w:rsid w:val="4EBF2070"/>
    <w:rsid w:val="4EC72940"/>
    <w:rsid w:val="4ED67B50"/>
    <w:rsid w:val="4ED96BA4"/>
    <w:rsid w:val="4EDE412D"/>
    <w:rsid w:val="4EE03B24"/>
    <w:rsid w:val="4F043B94"/>
    <w:rsid w:val="4F195E60"/>
    <w:rsid w:val="4F6E3703"/>
    <w:rsid w:val="4FA638E6"/>
    <w:rsid w:val="4FA91930"/>
    <w:rsid w:val="4FFF6109"/>
    <w:rsid w:val="500A222F"/>
    <w:rsid w:val="50306C0B"/>
    <w:rsid w:val="503E1C80"/>
    <w:rsid w:val="50485192"/>
    <w:rsid w:val="504F5199"/>
    <w:rsid w:val="5059653D"/>
    <w:rsid w:val="506A12AA"/>
    <w:rsid w:val="506B379F"/>
    <w:rsid w:val="508A631B"/>
    <w:rsid w:val="508B59EE"/>
    <w:rsid w:val="509F5BB5"/>
    <w:rsid w:val="50E517A3"/>
    <w:rsid w:val="50E747F3"/>
    <w:rsid w:val="50EE10DE"/>
    <w:rsid w:val="50F43882"/>
    <w:rsid w:val="50F86314"/>
    <w:rsid w:val="510776AF"/>
    <w:rsid w:val="511A58F1"/>
    <w:rsid w:val="511D256C"/>
    <w:rsid w:val="514106BE"/>
    <w:rsid w:val="51443F69"/>
    <w:rsid w:val="51944027"/>
    <w:rsid w:val="51E1640E"/>
    <w:rsid w:val="52057F80"/>
    <w:rsid w:val="52650DED"/>
    <w:rsid w:val="526E7576"/>
    <w:rsid w:val="52715B58"/>
    <w:rsid w:val="5276017A"/>
    <w:rsid w:val="5287795E"/>
    <w:rsid w:val="528A7530"/>
    <w:rsid w:val="52AD1515"/>
    <w:rsid w:val="52D63A99"/>
    <w:rsid w:val="52E066C6"/>
    <w:rsid w:val="52E1212C"/>
    <w:rsid w:val="52E410BC"/>
    <w:rsid w:val="52E9096C"/>
    <w:rsid w:val="531567D7"/>
    <w:rsid w:val="53220A8C"/>
    <w:rsid w:val="533B52F7"/>
    <w:rsid w:val="5349426B"/>
    <w:rsid w:val="53503320"/>
    <w:rsid w:val="535C0E74"/>
    <w:rsid w:val="535D2E60"/>
    <w:rsid w:val="535E561C"/>
    <w:rsid w:val="53835026"/>
    <w:rsid w:val="5386726D"/>
    <w:rsid w:val="53CF21C3"/>
    <w:rsid w:val="53E43F94"/>
    <w:rsid w:val="542813F0"/>
    <w:rsid w:val="542D40CD"/>
    <w:rsid w:val="5439265D"/>
    <w:rsid w:val="543F3434"/>
    <w:rsid w:val="543F566E"/>
    <w:rsid w:val="544229A0"/>
    <w:rsid w:val="54525319"/>
    <w:rsid w:val="545C3B2A"/>
    <w:rsid w:val="5475243A"/>
    <w:rsid w:val="548521D1"/>
    <w:rsid w:val="54880DC3"/>
    <w:rsid w:val="548F31AF"/>
    <w:rsid w:val="5495762B"/>
    <w:rsid w:val="54BE6593"/>
    <w:rsid w:val="54CB0CB0"/>
    <w:rsid w:val="54D5147C"/>
    <w:rsid w:val="54E70C00"/>
    <w:rsid w:val="54FC530D"/>
    <w:rsid w:val="5503044A"/>
    <w:rsid w:val="553272E3"/>
    <w:rsid w:val="55466485"/>
    <w:rsid w:val="555E784F"/>
    <w:rsid w:val="55713A97"/>
    <w:rsid w:val="55876190"/>
    <w:rsid w:val="559C3432"/>
    <w:rsid w:val="55D80B1F"/>
    <w:rsid w:val="55DC70F4"/>
    <w:rsid w:val="560A591A"/>
    <w:rsid w:val="561D1627"/>
    <w:rsid w:val="56317B21"/>
    <w:rsid w:val="56351736"/>
    <w:rsid w:val="564000A1"/>
    <w:rsid w:val="564C7024"/>
    <w:rsid w:val="56710CDC"/>
    <w:rsid w:val="56764C4B"/>
    <w:rsid w:val="56A62B21"/>
    <w:rsid w:val="56CC6E9E"/>
    <w:rsid w:val="56E51E92"/>
    <w:rsid w:val="56E570C5"/>
    <w:rsid w:val="56FE672C"/>
    <w:rsid w:val="57275D5E"/>
    <w:rsid w:val="572C48E8"/>
    <w:rsid w:val="572D5C52"/>
    <w:rsid w:val="573E7343"/>
    <w:rsid w:val="57454D4A"/>
    <w:rsid w:val="57514029"/>
    <w:rsid w:val="57595348"/>
    <w:rsid w:val="575E3F98"/>
    <w:rsid w:val="57833440"/>
    <w:rsid w:val="57874208"/>
    <w:rsid w:val="57882019"/>
    <w:rsid w:val="578D2120"/>
    <w:rsid w:val="579D4947"/>
    <w:rsid w:val="57B23877"/>
    <w:rsid w:val="57B36157"/>
    <w:rsid w:val="57B93A8A"/>
    <w:rsid w:val="57EC0EEF"/>
    <w:rsid w:val="57F93398"/>
    <w:rsid w:val="580A14C1"/>
    <w:rsid w:val="5837339B"/>
    <w:rsid w:val="583C31B4"/>
    <w:rsid w:val="584C4556"/>
    <w:rsid w:val="58586CFE"/>
    <w:rsid w:val="587633F2"/>
    <w:rsid w:val="58AC2BA6"/>
    <w:rsid w:val="58AD5CF4"/>
    <w:rsid w:val="58CD1431"/>
    <w:rsid w:val="59342755"/>
    <w:rsid w:val="59380DF6"/>
    <w:rsid w:val="593C3F2A"/>
    <w:rsid w:val="595C141C"/>
    <w:rsid w:val="59635DF5"/>
    <w:rsid w:val="59663EAA"/>
    <w:rsid w:val="596D0588"/>
    <w:rsid w:val="597F12EA"/>
    <w:rsid w:val="59853CC1"/>
    <w:rsid w:val="59A45FA0"/>
    <w:rsid w:val="59A541C5"/>
    <w:rsid w:val="59AD05EC"/>
    <w:rsid w:val="59BD666F"/>
    <w:rsid w:val="59CF532A"/>
    <w:rsid w:val="59D506A7"/>
    <w:rsid w:val="59F207FC"/>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4F4B"/>
    <w:rsid w:val="5AC76E41"/>
    <w:rsid w:val="5AD654D0"/>
    <w:rsid w:val="5AE71E5C"/>
    <w:rsid w:val="5AFA6407"/>
    <w:rsid w:val="5B057795"/>
    <w:rsid w:val="5B123195"/>
    <w:rsid w:val="5B1769FD"/>
    <w:rsid w:val="5B215ACE"/>
    <w:rsid w:val="5B4517BC"/>
    <w:rsid w:val="5B453FE5"/>
    <w:rsid w:val="5B915AB8"/>
    <w:rsid w:val="5BAD57B7"/>
    <w:rsid w:val="5BB029AE"/>
    <w:rsid w:val="5BBA55DA"/>
    <w:rsid w:val="5BBB690A"/>
    <w:rsid w:val="5BBE0EDC"/>
    <w:rsid w:val="5BF31966"/>
    <w:rsid w:val="5C174686"/>
    <w:rsid w:val="5C225CD5"/>
    <w:rsid w:val="5C3057F6"/>
    <w:rsid w:val="5C3D3477"/>
    <w:rsid w:val="5C491EA8"/>
    <w:rsid w:val="5C5D4917"/>
    <w:rsid w:val="5C6E6DAF"/>
    <w:rsid w:val="5C76087C"/>
    <w:rsid w:val="5C78796F"/>
    <w:rsid w:val="5C7C1D43"/>
    <w:rsid w:val="5C903D98"/>
    <w:rsid w:val="5C9C495A"/>
    <w:rsid w:val="5CB07109"/>
    <w:rsid w:val="5CB23A9A"/>
    <w:rsid w:val="5CCE41E1"/>
    <w:rsid w:val="5CE97C39"/>
    <w:rsid w:val="5D104090"/>
    <w:rsid w:val="5D121F6A"/>
    <w:rsid w:val="5D297F84"/>
    <w:rsid w:val="5D3A69D3"/>
    <w:rsid w:val="5D4B54DD"/>
    <w:rsid w:val="5D537A94"/>
    <w:rsid w:val="5D5A1F51"/>
    <w:rsid w:val="5D9D12F5"/>
    <w:rsid w:val="5DBC4D87"/>
    <w:rsid w:val="5DD862B5"/>
    <w:rsid w:val="5DDB1F64"/>
    <w:rsid w:val="5DDD455F"/>
    <w:rsid w:val="5DE96998"/>
    <w:rsid w:val="5E0F7E5F"/>
    <w:rsid w:val="5E1B5087"/>
    <w:rsid w:val="5E6E102A"/>
    <w:rsid w:val="5EA734E4"/>
    <w:rsid w:val="5EC677DA"/>
    <w:rsid w:val="5ED25D32"/>
    <w:rsid w:val="5EDF089E"/>
    <w:rsid w:val="5EEC63F2"/>
    <w:rsid w:val="5EF534F9"/>
    <w:rsid w:val="5F0C67C2"/>
    <w:rsid w:val="5F42431A"/>
    <w:rsid w:val="5F5547AB"/>
    <w:rsid w:val="5F571475"/>
    <w:rsid w:val="5F6C347F"/>
    <w:rsid w:val="5F7B42E3"/>
    <w:rsid w:val="5F7C072B"/>
    <w:rsid w:val="5F954394"/>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B312E"/>
    <w:rsid w:val="60E554D5"/>
    <w:rsid w:val="60FA4CF8"/>
    <w:rsid w:val="60FE1827"/>
    <w:rsid w:val="6106379C"/>
    <w:rsid w:val="611E6C3B"/>
    <w:rsid w:val="612D5EC3"/>
    <w:rsid w:val="613E1E53"/>
    <w:rsid w:val="614222A6"/>
    <w:rsid w:val="6162299C"/>
    <w:rsid w:val="618A7AAC"/>
    <w:rsid w:val="61A31DFF"/>
    <w:rsid w:val="61B054B5"/>
    <w:rsid w:val="61BC3E5A"/>
    <w:rsid w:val="61DC68BA"/>
    <w:rsid w:val="61E237BA"/>
    <w:rsid w:val="61EF2482"/>
    <w:rsid w:val="61F04BA2"/>
    <w:rsid w:val="61F651DA"/>
    <w:rsid w:val="6201317C"/>
    <w:rsid w:val="62145393"/>
    <w:rsid w:val="622539B8"/>
    <w:rsid w:val="62282D18"/>
    <w:rsid w:val="62314848"/>
    <w:rsid w:val="62570027"/>
    <w:rsid w:val="62732569"/>
    <w:rsid w:val="62896F64"/>
    <w:rsid w:val="628B41FB"/>
    <w:rsid w:val="62A07565"/>
    <w:rsid w:val="62A91FE3"/>
    <w:rsid w:val="62B10B65"/>
    <w:rsid w:val="62BF1942"/>
    <w:rsid w:val="62BF65FF"/>
    <w:rsid w:val="62C7680A"/>
    <w:rsid w:val="62CD4B88"/>
    <w:rsid w:val="62CF0EC4"/>
    <w:rsid w:val="62D624B7"/>
    <w:rsid w:val="62E05C2A"/>
    <w:rsid w:val="62EC01DA"/>
    <w:rsid w:val="62FD1F6E"/>
    <w:rsid w:val="632B2E03"/>
    <w:rsid w:val="633210E0"/>
    <w:rsid w:val="63384056"/>
    <w:rsid w:val="635A3B41"/>
    <w:rsid w:val="636D0083"/>
    <w:rsid w:val="63723C6C"/>
    <w:rsid w:val="6373422E"/>
    <w:rsid w:val="63895E98"/>
    <w:rsid w:val="638D69A9"/>
    <w:rsid w:val="638E47A4"/>
    <w:rsid w:val="63934D50"/>
    <w:rsid w:val="63981CEA"/>
    <w:rsid w:val="639A10B9"/>
    <w:rsid w:val="63AA1959"/>
    <w:rsid w:val="63F975E8"/>
    <w:rsid w:val="643C28AA"/>
    <w:rsid w:val="643C6545"/>
    <w:rsid w:val="647C34E7"/>
    <w:rsid w:val="649716A0"/>
    <w:rsid w:val="64A77044"/>
    <w:rsid w:val="652414F0"/>
    <w:rsid w:val="653308D7"/>
    <w:rsid w:val="653A493C"/>
    <w:rsid w:val="653F1EFC"/>
    <w:rsid w:val="65426D6C"/>
    <w:rsid w:val="65742DBF"/>
    <w:rsid w:val="657A6506"/>
    <w:rsid w:val="65816E9E"/>
    <w:rsid w:val="65995477"/>
    <w:rsid w:val="659C34FD"/>
    <w:rsid w:val="659F3FC6"/>
    <w:rsid w:val="65A9491F"/>
    <w:rsid w:val="65BD4645"/>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E707D"/>
    <w:rsid w:val="66A72624"/>
    <w:rsid w:val="66D76F8A"/>
    <w:rsid w:val="66E81BE1"/>
    <w:rsid w:val="66E845EE"/>
    <w:rsid w:val="66F06CD8"/>
    <w:rsid w:val="6711019E"/>
    <w:rsid w:val="67530DBD"/>
    <w:rsid w:val="677553E5"/>
    <w:rsid w:val="67900263"/>
    <w:rsid w:val="67A61834"/>
    <w:rsid w:val="67B374C4"/>
    <w:rsid w:val="67B52764"/>
    <w:rsid w:val="67EB36EB"/>
    <w:rsid w:val="67F26828"/>
    <w:rsid w:val="680A0F7E"/>
    <w:rsid w:val="680F32C3"/>
    <w:rsid w:val="682E35D8"/>
    <w:rsid w:val="68310B99"/>
    <w:rsid w:val="68342BAE"/>
    <w:rsid w:val="68564350"/>
    <w:rsid w:val="68570DF0"/>
    <w:rsid w:val="688F7E36"/>
    <w:rsid w:val="68950390"/>
    <w:rsid w:val="689E1D43"/>
    <w:rsid w:val="689E6CEC"/>
    <w:rsid w:val="68AE30C5"/>
    <w:rsid w:val="68BA4C16"/>
    <w:rsid w:val="68C006D4"/>
    <w:rsid w:val="68DD0195"/>
    <w:rsid w:val="68F80B7D"/>
    <w:rsid w:val="69063CCD"/>
    <w:rsid w:val="69107F50"/>
    <w:rsid w:val="6922313D"/>
    <w:rsid w:val="6941584C"/>
    <w:rsid w:val="694B1C98"/>
    <w:rsid w:val="694F2F3C"/>
    <w:rsid w:val="695263D9"/>
    <w:rsid w:val="697A596B"/>
    <w:rsid w:val="69B024A2"/>
    <w:rsid w:val="69D937B9"/>
    <w:rsid w:val="6A3248AB"/>
    <w:rsid w:val="6A3F7157"/>
    <w:rsid w:val="6A69722F"/>
    <w:rsid w:val="6A8868F6"/>
    <w:rsid w:val="6A9A0B2D"/>
    <w:rsid w:val="6AEF0356"/>
    <w:rsid w:val="6B0C1CA8"/>
    <w:rsid w:val="6B210408"/>
    <w:rsid w:val="6B226F5C"/>
    <w:rsid w:val="6B240CC8"/>
    <w:rsid w:val="6B364574"/>
    <w:rsid w:val="6B4300E3"/>
    <w:rsid w:val="6B4B448B"/>
    <w:rsid w:val="6B4D0D73"/>
    <w:rsid w:val="6B6C4B4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895D3F"/>
    <w:rsid w:val="6C997F3B"/>
    <w:rsid w:val="6CB51517"/>
    <w:rsid w:val="6CBB1728"/>
    <w:rsid w:val="6CC256BB"/>
    <w:rsid w:val="6CF41B71"/>
    <w:rsid w:val="6D0204A6"/>
    <w:rsid w:val="6D056FFD"/>
    <w:rsid w:val="6D0F1C2A"/>
    <w:rsid w:val="6D173957"/>
    <w:rsid w:val="6D4757D2"/>
    <w:rsid w:val="6D6A6564"/>
    <w:rsid w:val="6D9738B6"/>
    <w:rsid w:val="6D9B170F"/>
    <w:rsid w:val="6DB96462"/>
    <w:rsid w:val="6DC70D7F"/>
    <w:rsid w:val="6DC87AD4"/>
    <w:rsid w:val="6DD36DC0"/>
    <w:rsid w:val="6DDB5FB0"/>
    <w:rsid w:val="6DF006BA"/>
    <w:rsid w:val="6DF45256"/>
    <w:rsid w:val="6DF73BB2"/>
    <w:rsid w:val="6E0A02E2"/>
    <w:rsid w:val="6E2C1870"/>
    <w:rsid w:val="6E6E7D28"/>
    <w:rsid w:val="6E716A5C"/>
    <w:rsid w:val="6E772B09"/>
    <w:rsid w:val="6E7A1325"/>
    <w:rsid w:val="6E7E632C"/>
    <w:rsid w:val="6EC505B9"/>
    <w:rsid w:val="6F180A6D"/>
    <w:rsid w:val="6F400AF2"/>
    <w:rsid w:val="6F5D0A07"/>
    <w:rsid w:val="6F6222D5"/>
    <w:rsid w:val="6F865AA7"/>
    <w:rsid w:val="6F9E54E7"/>
    <w:rsid w:val="6FD35007"/>
    <w:rsid w:val="6FE52F43"/>
    <w:rsid w:val="6FEA072C"/>
    <w:rsid w:val="6FEF31EE"/>
    <w:rsid w:val="6FFF138A"/>
    <w:rsid w:val="7042644D"/>
    <w:rsid w:val="70673B2B"/>
    <w:rsid w:val="70796867"/>
    <w:rsid w:val="708C7F32"/>
    <w:rsid w:val="708F162B"/>
    <w:rsid w:val="70A53BED"/>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66C71"/>
    <w:rsid w:val="71F87130"/>
    <w:rsid w:val="71F908D7"/>
    <w:rsid w:val="7228200C"/>
    <w:rsid w:val="723931EE"/>
    <w:rsid w:val="72587BCF"/>
    <w:rsid w:val="725A3FB0"/>
    <w:rsid w:val="726E3383"/>
    <w:rsid w:val="72734BFB"/>
    <w:rsid w:val="72735EA6"/>
    <w:rsid w:val="727C711D"/>
    <w:rsid w:val="7293369D"/>
    <w:rsid w:val="72952BD1"/>
    <w:rsid w:val="72CE1C3F"/>
    <w:rsid w:val="72DE3629"/>
    <w:rsid w:val="72F8601E"/>
    <w:rsid w:val="732B52E4"/>
    <w:rsid w:val="733817AF"/>
    <w:rsid w:val="7358775D"/>
    <w:rsid w:val="735917FD"/>
    <w:rsid w:val="73602932"/>
    <w:rsid w:val="73702CF6"/>
    <w:rsid w:val="737A3B75"/>
    <w:rsid w:val="73830C7C"/>
    <w:rsid w:val="73974727"/>
    <w:rsid w:val="739A3FDF"/>
    <w:rsid w:val="739A4A96"/>
    <w:rsid w:val="73B52DFF"/>
    <w:rsid w:val="73DB4B30"/>
    <w:rsid w:val="7406374F"/>
    <w:rsid w:val="74092E99"/>
    <w:rsid w:val="740A7AB9"/>
    <w:rsid w:val="741B0EB4"/>
    <w:rsid w:val="74367A9C"/>
    <w:rsid w:val="7450478C"/>
    <w:rsid w:val="7452015B"/>
    <w:rsid w:val="74624F8B"/>
    <w:rsid w:val="74774D75"/>
    <w:rsid w:val="747D5827"/>
    <w:rsid w:val="74820676"/>
    <w:rsid w:val="74861483"/>
    <w:rsid w:val="749401EE"/>
    <w:rsid w:val="7505626D"/>
    <w:rsid w:val="751D4E5F"/>
    <w:rsid w:val="75211DE3"/>
    <w:rsid w:val="7531347A"/>
    <w:rsid w:val="7544683B"/>
    <w:rsid w:val="754E422D"/>
    <w:rsid w:val="756A1062"/>
    <w:rsid w:val="75D30DA5"/>
    <w:rsid w:val="75D57A43"/>
    <w:rsid w:val="75ED313E"/>
    <w:rsid w:val="75F2079C"/>
    <w:rsid w:val="75FD6C16"/>
    <w:rsid w:val="760342F6"/>
    <w:rsid w:val="7624324F"/>
    <w:rsid w:val="76AF5139"/>
    <w:rsid w:val="76E03FFD"/>
    <w:rsid w:val="76ED5AD9"/>
    <w:rsid w:val="77161E07"/>
    <w:rsid w:val="7732522C"/>
    <w:rsid w:val="773708DC"/>
    <w:rsid w:val="77536991"/>
    <w:rsid w:val="775748F9"/>
    <w:rsid w:val="776721AA"/>
    <w:rsid w:val="77731007"/>
    <w:rsid w:val="77737259"/>
    <w:rsid w:val="778130E9"/>
    <w:rsid w:val="77A66FA4"/>
    <w:rsid w:val="77AC715F"/>
    <w:rsid w:val="77C655DB"/>
    <w:rsid w:val="77D05F62"/>
    <w:rsid w:val="77D67B46"/>
    <w:rsid w:val="77E230FE"/>
    <w:rsid w:val="78161684"/>
    <w:rsid w:val="783E26E3"/>
    <w:rsid w:val="78436AC1"/>
    <w:rsid w:val="7847671C"/>
    <w:rsid w:val="78476810"/>
    <w:rsid w:val="787061F4"/>
    <w:rsid w:val="787540FA"/>
    <w:rsid w:val="78A96B01"/>
    <w:rsid w:val="78AD0B5A"/>
    <w:rsid w:val="78B07870"/>
    <w:rsid w:val="78C7160B"/>
    <w:rsid w:val="78C97879"/>
    <w:rsid w:val="78D40B87"/>
    <w:rsid w:val="78DB6E64"/>
    <w:rsid w:val="79156AA7"/>
    <w:rsid w:val="79164340"/>
    <w:rsid w:val="792A5301"/>
    <w:rsid w:val="793A002E"/>
    <w:rsid w:val="79416420"/>
    <w:rsid w:val="79501600"/>
    <w:rsid w:val="7956493E"/>
    <w:rsid w:val="797D4121"/>
    <w:rsid w:val="797E11A6"/>
    <w:rsid w:val="799C4845"/>
    <w:rsid w:val="79A33E26"/>
    <w:rsid w:val="79AE5A88"/>
    <w:rsid w:val="79B50780"/>
    <w:rsid w:val="7A07062C"/>
    <w:rsid w:val="7A1C7585"/>
    <w:rsid w:val="7A1F2F69"/>
    <w:rsid w:val="7A2E43AE"/>
    <w:rsid w:val="7A2E7E37"/>
    <w:rsid w:val="7A471799"/>
    <w:rsid w:val="7A4A4443"/>
    <w:rsid w:val="7A5275FA"/>
    <w:rsid w:val="7A57268E"/>
    <w:rsid w:val="7A6F5AB6"/>
    <w:rsid w:val="7ACC4F5F"/>
    <w:rsid w:val="7ADB0CA1"/>
    <w:rsid w:val="7AEB5683"/>
    <w:rsid w:val="7AF5556B"/>
    <w:rsid w:val="7B1B3C2F"/>
    <w:rsid w:val="7B5D4985"/>
    <w:rsid w:val="7B6707E2"/>
    <w:rsid w:val="7B74267B"/>
    <w:rsid w:val="7B7D7754"/>
    <w:rsid w:val="7B8B7FD7"/>
    <w:rsid w:val="7B9E207A"/>
    <w:rsid w:val="7BA357BB"/>
    <w:rsid w:val="7BAA1EAE"/>
    <w:rsid w:val="7BE97AEA"/>
    <w:rsid w:val="7BFA0295"/>
    <w:rsid w:val="7C41666A"/>
    <w:rsid w:val="7C505D05"/>
    <w:rsid w:val="7C5843B5"/>
    <w:rsid w:val="7C8056BE"/>
    <w:rsid w:val="7C8D2B6B"/>
    <w:rsid w:val="7CD12D75"/>
    <w:rsid w:val="7CEF7382"/>
    <w:rsid w:val="7D017396"/>
    <w:rsid w:val="7D041015"/>
    <w:rsid w:val="7D20753B"/>
    <w:rsid w:val="7D5B0001"/>
    <w:rsid w:val="7D6733BC"/>
    <w:rsid w:val="7D81183E"/>
    <w:rsid w:val="7D813913"/>
    <w:rsid w:val="7D902B14"/>
    <w:rsid w:val="7D9B7734"/>
    <w:rsid w:val="7D9F6F88"/>
    <w:rsid w:val="7DAE04B8"/>
    <w:rsid w:val="7DAF13CC"/>
    <w:rsid w:val="7DBC274F"/>
    <w:rsid w:val="7DDA3B8E"/>
    <w:rsid w:val="7DE40003"/>
    <w:rsid w:val="7DE411D8"/>
    <w:rsid w:val="7DFD2061"/>
    <w:rsid w:val="7E135BDF"/>
    <w:rsid w:val="7E374B3D"/>
    <w:rsid w:val="7EA15A77"/>
    <w:rsid w:val="7EAD0642"/>
    <w:rsid w:val="7EB01C87"/>
    <w:rsid w:val="7EB91A60"/>
    <w:rsid w:val="7ECF2A49"/>
    <w:rsid w:val="7EF01855"/>
    <w:rsid w:val="7F0B26EB"/>
    <w:rsid w:val="7F0C42CC"/>
    <w:rsid w:val="7F2350C1"/>
    <w:rsid w:val="7F556BCB"/>
    <w:rsid w:val="7F5F3A42"/>
    <w:rsid w:val="7F6227C1"/>
    <w:rsid w:val="7F875A17"/>
    <w:rsid w:val="7F8B6C20"/>
    <w:rsid w:val="7F986425"/>
    <w:rsid w:val="7FAA0986"/>
    <w:rsid w:val="7FB87EFF"/>
    <w:rsid w:val="7FBF303C"/>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47"/>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8"/>
    <w:autoRedefine/>
    <w:qFormat/>
    <w:uiPriority w:val="99"/>
    <w:pPr>
      <w:keepNext/>
      <w:keepLines/>
      <w:spacing w:line="360" w:lineRule="auto"/>
      <w:outlineLvl w:val="2"/>
    </w:pPr>
    <w:rPr>
      <w:b/>
      <w:bCs/>
      <w:kern w:val="0"/>
      <w:sz w:val="32"/>
      <w:szCs w:val="32"/>
    </w:rPr>
  </w:style>
  <w:style w:type="paragraph" w:styleId="5">
    <w:name w:val="heading 4"/>
    <w:basedOn w:val="1"/>
    <w:next w:val="1"/>
    <w:link w:val="49"/>
    <w:autoRedefine/>
    <w:qFormat/>
    <w:locked/>
    <w:uiPriority w:val="99"/>
    <w:pPr>
      <w:keepNext/>
      <w:keepLines/>
      <w:spacing w:before="280" w:after="290" w:line="376" w:lineRule="auto"/>
      <w:outlineLvl w:val="3"/>
    </w:pPr>
    <w:rPr>
      <w:rFonts w:ascii="Cambria" w:hAnsi="Cambria"/>
      <w:b/>
      <w:bCs/>
      <w:sz w:val="28"/>
      <w:szCs w:val="28"/>
    </w:rPr>
  </w:style>
  <w:style w:type="paragraph" w:styleId="6">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autoRedefine/>
    <w:semiHidden/>
    <w:qFormat/>
    <w:uiPriority w:val="0"/>
    <w:pPr>
      <w:jc w:val="left"/>
    </w:pPr>
  </w:style>
  <w:style w:type="paragraph" w:styleId="10">
    <w:name w:val="Body Text"/>
    <w:basedOn w:val="1"/>
    <w:next w:val="11"/>
    <w:autoRedefine/>
    <w:qFormat/>
    <w:uiPriority w:val="0"/>
    <w:pPr>
      <w:spacing w:after="120" w:line="440" w:lineRule="atLeast"/>
      <w:ind w:firstLine="200" w:firstLineChars="200"/>
    </w:pPr>
    <w:rPr>
      <w:rFonts w:ascii="Times New Roman" w:hAnsi="Times New Roman"/>
    </w:rPr>
  </w:style>
  <w:style w:type="paragraph" w:customStyle="1" w:styleId="11">
    <w:name w:val="正文文本 21"/>
    <w:basedOn w:val="1"/>
    <w:autoRedefine/>
    <w:qFormat/>
    <w:uiPriority w:val="0"/>
    <w:pPr>
      <w:spacing w:after="120" w:line="480" w:lineRule="auto"/>
    </w:pPr>
  </w:style>
  <w:style w:type="paragraph" w:styleId="12">
    <w:name w:val="Body Text Indent"/>
    <w:basedOn w:val="1"/>
    <w:next w:val="13"/>
    <w:link w:val="51"/>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locked/>
    <w:uiPriority w:val="39"/>
    <w:pPr>
      <w:ind w:left="840" w:leftChars="400"/>
    </w:pPr>
  </w:style>
  <w:style w:type="paragraph" w:styleId="15">
    <w:name w:val="Plain Text"/>
    <w:basedOn w:val="1"/>
    <w:link w:val="52"/>
    <w:autoRedefine/>
    <w:qFormat/>
    <w:uiPriority w:val="99"/>
    <w:rPr>
      <w:rFonts w:ascii="宋体" w:hAnsi="Courier New"/>
      <w:szCs w:val="21"/>
    </w:rPr>
  </w:style>
  <w:style w:type="paragraph" w:styleId="16">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7">
    <w:name w:val="Balloon Text"/>
    <w:basedOn w:val="1"/>
    <w:link w:val="53"/>
    <w:autoRedefine/>
    <w:unhideWhenUsed/>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9">
    <w:name w:val="header"/>
    <w:basedOn w:val="1"/>
    <w:link w:val="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0">
    <w:name w:val="toc 1"/>
    <w:basedOn w:val="1"/>
    <w:next w:val="1"/>
    <w:autoRedefine/>
    <w:qFormat/>
    <w:uiPriority w:val="39"/>
  </w:style>
  <w:style w:type="paragraph" w:styleId="21">
    <w:name w:val="toc 2"/>
    <w:basedOn w:val="1"/>
    <w:next w:val="1"/>
    <w:autoRedefine/>
    <w:qFormat/>
    <w:locked/>
    <w:uiPriority w:val="39"/>
    <w:pPr>
      <w:ind w:left="420" w:leftChars="200"/>
    </w:pPr>
  </w:style>
  <w:style w:type="paragraph" w:styleId="22">
    <w:name w:val="Body Text 2"/>
    <w:basedOn w:val="1"/>
    <w:link w:val="50"/>
    <w:autoRedefine/>
    <w:qFormat/>
    <w:uiPriority w:val="99"/>
    <w:pPr>
      <w:spacing w:after="120" w:line="480" w:lineRule="auto"/>
    </w:pPr>
    <w:rPr>
      <w:rFonts w:ascii="Times New Roman" w:hAnsi="Times New Roman"/>
      <w:kern w:val="0"/>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5">
    <w:name w:val="annotation subject"/>
    <w:basedOn w:val="9"/>
    <w:next w:val="1"/>
    <w:autoRedefine/>
    <w:qFormat/>
    <w:uiPriority w:val="0"/>
    <w:rPr>
      <w:b/>
      <w:bCs/>
    </w:rPr>
  </w:style>
  <w:style w:type="paragraph" w:styleId="26">
    <w:name w:val="Body Text First Indent"/>
    <w:basedOn w:val="10"/>
    <w:autoRedefine/>
    <w:qFormat/>
    <w:uiPriority w:val="0"/>
    <w:pPr>
      <w:ind w:firstLine="420" w:firstLineChars="100"/>
    </w:pPr>
  </w:style>
  <w:style w:type="paragraph" w:styleId="27">
    <w:name w:val="Body Text First Indent 2"/>
    <w:basedOn w:val="12"/>
    <w:next w:val="1"/>
    <w:autoRedefine/>
    <w:qFormat/>
    <w:uiPriority w:val="0"/>
    <w:pPr>
      <w:ind w:firstLine="420" w:firstLineChars="200"/>
    </w:pPr>
  </w:style>
  <w:style w:type="table" w:styleId="29">
    <w:name w:val="Table Grid"/>
    <w:basedOn w:val="28"/>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locked/>
    <w:uiPriority w:val="0"/>
  </w:style>
  <w:style w:type="character" w:styleId="32">
    <w:name w:val="FollowedHyperlink"/>
    <w:autoRedefine/>
    <w:unhideWhenUsed/>
    <w:qFormat/>
    <w:uiPriority w:val="99"/>
    <w:rPr>
      <w:color w:val="333333"/>
      <w:u w:val="none"/>
    </w:rPr>
  </w:style>
  <w:style w:type="character" w:styleId="33">
    <w:name w:val="Emphasis"/>
    <w:basedOn w:val="30"/>
    <w:autoRedefine/>
    <w:qFormat/>
    <w:locked/>
    <w:uiPriority w:val="0"/>
  </w:style>
  <w:style w:type="character" w:styleId="34">
    <w:name w:val="HTML Definition"/>
    <w:basedOn w:val="30"/>
    <w:autoRedefine/>
    <w:unhideWhenUsed/>
    <w:qFormat/>
    <w:uiPriority w:val="99"/>
  </w:style>
  <w:style w:type="character" w:styleId="35">
    <w:name w:val="HTML Typewriter"/>
    <w:autoRedefine/>
    <w:unhideWhenUsed/>
    <w:qFormat/>
    <w:uiPriority w:val="99"/>
    <w:rPr>
      <w:rFonts w:hint="default" w:ascii="monospace" w:hAnsi="monospace" w:eastAsia="monospace" w:cs="monospace"/>
      <w:sz w:val="20"/>
    </w:rPr>
  </w:style>
  <w:style w:type="character" w:styleId="36">
    <w:name w:val="HTML Acronym"/>
    <w:basedOn w:val="30"/>
    <w:autoRedefine/>
    <w:unhideWhenUsed/>
    <w:qFormat/>
    <w:uiPriority w:val="99"/>
  </w:style>
  <w:style w:type="character" w:styleId="37">
    <w:name w:val="HTML Variable"/>
    <w:basedOn w:val="30"/>
    <w:autoRedefine/>
    <w:unhideWhenUsed/>
    <w:qFormat/>
    <w:uiPriority w:val="99"/>
  </w:style>
  <w:style w:type="character" w:styleId="38">
    <w:name w:val="Hyperlink"/>
    <w:autoRedefine/>
    <w:qFormat/>
    <w:uiPriority w:val="99"/>
    <w:rPr>
      <w:rFonts w:cs="Times New Roman"/>
      <w:color w:val="0000FF"/>
      <w:u w:val="single"/>
    </w:rPr>
  </w:style>
  <w:style w:type="character" w:styleId="39">
    <w:name w:val="HTML Code"/>
    <w:autoRedefine/>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autoRedefine/>
    <w:unhideWhenUsed/>
    <w:qFormat/>
    <w:uiPriority w:val="99"/>
  </w:style>
  <w:style w:type="character" w:styleId="42">
    <w:name w:val="HTML Keyboard"/>
    <w:autoRedefine/>
    <w:unhideWhenUsed/>
    <w:qFormat/>
    <w:uiPriority w:val="99"/>
    <w:rPr>
      <w:rFonts w:ascii="monospace" w:hAnsi="monospace" w:eastAsia="monospace" w:cs="monospace"/>
      <w:sz w:val="20"/>
    </w:rPr>
  </w:style>
  <w:style w:type="character" w:styleId="43">
    <w:name w:val="HTML Sample"/>
    <w:autoRedefine/>
    <w:unhideWhenUsed/>
    <w:qFormat/>
    <w:uiPriority w:val="99"/>
    <w:rPr>
      <w:rFonts w:hint="default" w:ascii="monospace" w:hAnsi="monospace" w:eastAsia="monospace" w:cs="monospace"/>
    </w:rPr>
  </w:style>
  <w:style w:type="paragraph" w:customStyle="1" w:styleId="44">
    <w:name w:val="列出段落1"/>
    <w:basedOn w:val="1"/>
    <w:autoRedefine/>
    <w:qFormat/>
    <w:uiPriority w:val="34"/>
    <w:rPr>
      <w:rFonts w:ascii="宋体" w:hAnsi="宋体"/>
      <w:color w:val="0070C0"/>
      <w:szCs w:val="21"/>
    </w:rPr>
  </w:style>
  <w:style w:type="paragraph" w:customStyle="1" w:styleId="45">
    <w:name w:val="表格文字"/>
    <w:basedOn w:val="1"/>
    <w:next w:val="10"/>
    <w:autoRedefine/>
    <w:qFormat/>
    <w:uiPriority w:val="0"/>
    <w:pPr>
      <w:framePr w:hSpace="180" w:wrap="around" w:vAnchor="text" w:hAnchor="page" w:xAlign="center" w:y="25"/>
      <w:suppressOverlap/>
      <w:spacing w:line="420" w:lineRule="atLeast"/>
    </w:pPr>
    <w:rPr>
      <w:sz w:val="18"/>
      <w:szCs w:val="18"/>
    </w:rPr>
  </w:style>
  <w:style w:type="paragraph" w:customStyle="1" w:styleId="46">
    <w:name w:val="无间隔1"/>
    <w:basedOn w:val="1"/>
    <w:autoRedefine/>
    <w:qFormat/>
    <w:uiPriority w:val="0"/>
    <w:pPr>
      <w:spacing w:line="400" w:lineRule="exact"/>
    </w:pPr>
    <w:rPr>
      <w:sz w:val="24"/>
    </w:rPr>
  </w:style>
  <w:style w:type="character" w:customStyle="1" w:styleId="47">
    <w:name w:val="标题 1 字符"/>
    <w:link w:val="2"/>
    <w:autoRedefine/>
    <w:qFormat/>
    <w:uiPriority w:val="0"/>
    <w:rPr>
      <w:rFonts w:ascii="Book Antiqua" w:hAnsi="Book Antiqua"/>
      <w:b/>
      <w:bCs/>
      <w:kern w:val="44"/>
      <w:sz w:val="44"/>
      <w:szCs w:val="44"/>
    </w:rPr>
  </w:style>
  <w:style w:type="character" w:customStyle="1" w:styleId="48">
    <w:name w:val="标题 3 字符"/>
    <w:link w:val="4"/>
    <w:autoRedefine/>
    <w:qFormat/>
    <w:locked/>
    <w:uiPriority w:val="99"/>
    <w:rPr>
      <w:rFonts w:ascii="Book Antiqua" w:hAnsi="Book Antiqua" w:eastAsia="宋体" w:cs="Times New Roman"/>
      <w:b/>
      <w:bCs/>
      <w:sz w:val="32"/>
      <w:szCs w:val="32"/>
    </w:rPr>
  </w:style>
  <w:style w:type="character" w:customStyle="1" w:styleId="49">
    <w:name w:val="标题 4 字符"/>
    <w:link w:val="5"/>
    <w:autoRedefine/>
    <w:semiHidden/>
    <w:qFormat/>
    <w:locked/>
    <w:uiPriority w:val="99"/>
    <w:rPr>
      <w:rFonts w:ascii="Cambria" w:hAnsi="Cambria" w:eastAsia="宋体" w:cs="Times New Roman"/>
      <w:b/>
      <w:bCs/>
      <w:kern w:val="2"/>
      <w:sz w:val="28"/>
      <w:szCs w:val="28"/>
    </w:rPr>
  </w:style>
  <w:style w:type="character" w:customStyle="1" w:styleId="50">
    <w:name w:val="正文文本 2 字符"/>
    <w:link w:val="22"/>
    <w:autoRedefine/>
    <w:qFormat/>
    <w:locked/>
    <w:uiPriority w:val="99"/>
    <w:rPr>
      <w:rFonts w:ascii="Times New Roman" w:hAnsi="Times New Roman" w:eastAsia="宋体" w:cs="Times New Roman"/>
      <w:sz w:val="24"/>
      <w:szCs w:val="24"/>
    </w:rPr>
  </w:style>
  <w:style w:type="character" w:customStyle="1" w:styleId="51">
    <w:name w:val="正文文本缩进 字符"/>
    <w:link w:val="12"/>
    <w:autoRedefine/>
    <w:semiHidden/>
    <w:qFormat/>
    <w:uiPriority w:val="99"/>
    <w:rPr>
      <w:rFonts w:ascii="Book Antiqua" w:hAnsi="Book Antiqua"/>
      <w:kern w:val="2"/>
      <w:sz w:val="21"/>
      <w:szCs w:val="24"/>
    </w:rPr>
  </w:style>
  <w:style w:type="character" w:customStyle="1" w:styleId="52">
    <w:name w:val="纯文本 字符"/>
    <w:link w:val="15"/>
    <w:autoRedefine/>
    <w:semiHidden/>
    <w:qFormat/>
    <w:uiPriority w:val="99"/>
    <w:rPr>
      <w:rFonts w:ascii="宋体" w:hAnsi="Courier New" w:cs="Courier New"/>
      <w:kern w:val="2"/>
      <w:sz w:val="21"/>
      <w:szCs w:val="21"/>
    </w:rPr>
  </w:style>
  <w:style w:type="character" w:customStyle="1" w:styleId="53">
    <w:name w:val="批注框文本 字符"/>
    <w:link w:val="17"/>
    <w:autoRedefine/>
    <w:semiHidden/>
    <w:qFormat/>
    <w:uiPriority w:val="99"/>
    <w:rPr>
      <w:rFonts w:ascii="Book Antiqua" w:hAnsi="Book Antiqua"/>
      <w:kern w:val="2"/>
      <w:sz w:val="18"/>
      <w:szCs w:val="18"/>
    </w:rPr>
  </w:style>
  <w:style w:type="character" w:customStyle="1" w:styleId="54">
    <w:name w:val="页脚 字符"/>
    <w:link w:val="18"/>
    <w:autoRedefine/>
    <w:qFormat/>
    <w:locked/>
    <w:uiPriority w:val="99"/>
    <w:rPr>
      <w:rFonts w:cs="Times New Roman"/>
      <w:sz w:val="18"/>
      <w:szCs w:val="18"/>
    </w:rPr>
  </w:style>
  <w:style w:type="character" w:customStyle="1" w:styleId="55">
    <w:name w:val="页眉 字符"/>
    <w:link w:val="19"/>
    <w:autoRedefine/>
    <w:semiHidden/>
    <w:qFormat/>
    <w:locked/>
    <w:uiPriority w:val="99"/>
    <w:rPr>
      <w:rFonts w:cs="Times New Roman"/>
      <w:sz w:val="18"/>
      <w:szCs w:val="18"/>
    </w:rPr>
  </w:style>
  <w:style w:type="paragraph" w:customStyle="1" w:styleId="56">
    <w:name w:val="style4"/>
    <w:basedOn w:val="57"/>
    <w:next w:val="58"/>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0">
    <w:name w:val="p0 Char Char"/>
    <w:link w:val="61"/>
    <w:autoRedefine/>
    <w:qFormat/>
    <w:locked/>
    <w:uiPriority w:val="99"/>
    <w:rPr>
      <w:rFonts w:ascii="Times New Roman" w:hAnsi="Times New Roman" w:cs="Times New Roman"/>
      <w:kern w:val="0"/>
      <w:sz w:val="21"/>
      <w:szCs w:val="21"/>
    </w:rPr>
  </w:style>
  <w:style w:type="paragraph" w:customStyle="1" w:styleId="61">
    <w:name w:val="p0"/>
    <w:basedOn w:val="1"/>
    <w:link w:val="60"/>
    <w:autoRedefine/>
    <w:qFormat/>
    <w:uiPriority w:val="99"/>
    <w:pPr>
      <w:widowControl/>
    </w:pPr>
    <w:rPr>
      <w:rFonts w:ascii="Times New Roman" w:hAnsi="Times New Roman"/>
      <w:kern w:val="0"/>
      <w:szCs w:val="21"/>
    </w:rPr>
  </w:style>
  <w:style w:type="character" w:customStyle="1" w:styleId="62">
    <w:name w:val="font81"/>
    <w:autoRedefine/>
    <w:qFormat/>
    <w:uiPriority w:val="0"/>
    <w:rPr>
      <w:rFonts w:hint="eastAsia" w:ascii="宋体" w:hAnsi="宋体" w:eastAsia="宋体" w:cs="宋体"/>
      <w:color w:val="000000"/>
      <w:sz w:val="24"/>
      <w:szCs w:val="24"/>
      <w:u w:val="none"/>
    </w:rPr>
  </w:style>
  <w:style w:type="character" w:customStyle="1" w:styleId="63">
    <w:name w:val="font31"/>
    <w:autoRedefine/>
    <w:qFormat/>
    <w:uiPriority w:val="0"/>
    <w:rPr>
      <w:rFonts w:hint="eastAsia" w:ascii="宋体" w:hAnsi="宋体" w:eastAsia="宋体" w:cs="宋体"/>
      <w:color w:val="000000"/>
      <w:sz w:val="24"/>
      <w:szCs w:val="24"/>
      <w:u w:val="none"/>
    </w:rPr>
  </w:style>
  <w:style w:type="character" w:customStyle="1" w:styleId="64">
    <w:name w:val="font51"/>
    <w:autoRedefine/>
    <w:qFormat/>
    <w:uiPriority w:val="0"/>
    <w:rPr>
      <w:rFonts w:ascii="Calibri" w:hAnsi="Calibri" w:cs="Calibri"/>
      <w:color w:val="000000"/>
      <w:sz w:val="24"/>
      <w:szCs w:val="24"/>
      <w:u w:val="none"/>
    </w:rPr>
  </w:style>
  <w:style w:type="character" w:customStyle="1" w:styleId="65">
    <w:name w:val="纯文本 Char"/>
    <w:autoRedefine/>
    <w:qFormat/>
    <w:uiPriority w:val="0"/>
    <w:rPr>
      <w:rFonts w:ascii="宋体" w:hAnsi="Courier New"/>
      <w:kern w:val="2"/>
      <w:sz w:val="21"/>
    </w:rPr>
  </w:style>
  <w:style w:type="paragraph" w:customStyle="1" w:styleId="6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_Style 60"/>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9">
    <w:name w:val="列表段落1"/>
    <w:basedOn w:val="1"/>
    <w:autoRedefine/>
    <w:qFormat/>
    <w:uiPriority w:val="99"/>
    <w:pPr>
      <w:ind w:firstLine="420" w:firstLineChars="200"/>
    </w:pPr>
    <w:rPr>
      <w:rFonts w:ascii="Times New Roman" w:hAnsi="Times New Roman"/>
    </w:rPr>
  </w:style>
  <w:style w:type="paragraph" w:customStyle="1" w:styleId="70">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2">
    <w:name w:val="Body Text First Indent1"/>
    <w:basedOn w:val="10"/>
    <w:autoRedefine/>
    <w:qFormat/>
    <w:uiPriority w:val="0"/>
    <w:pPr>
      <w:ind w:firstLine="420" w:firstLineChars="100"/>
    </w:pPr>
    <w:rPr>
      <w:rFonts w:ascii="Calibri" w:hAnsi="Calibri"/>
    </w:rPr>
  </w:style>
  <w:style w:type="paragraph" w:customStyle="1" w:styleId="7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4">
    <w:name w:val="font41"/>
    <w:basedOn w:val="30"/>
    <w:autoRedefine/>
    <w:qFormat/>
    <w:uiPriority w:val="0"/>
    <w:rPr>
      <w:rFonts w:hint="eastAsia" w:ascii="宋体" w:hAnsi="宋体" w:eastAsia="宋体" w:cs="宋体"/>
      <w:color w:val="000000"/>
      <w:sz w:val="20"/>
      <w:szCs w:val="20"/>
      <w:u w:val="none"/>
    </w:rPr>
  </w:style>
  <w:style w:type="character" w:customStyle="1" w:styleId="75">
    <w:name w:val="font151"/>
    <w:basedOn w:val="30"/>
    <w:autoRedefine/>
    <w:qFormat/>
    <w:uiPriority w:val="0"/>
    <w:rPr>
      <w:rFonts w:hint="eastAsia" w:ascii="宋体" w:hAnsi="宋体" w:eastAsia="宋体" w:cs="宋体"/>
      <w:color w:val="000000"/>
      <w:sz w:val="20"/>
      <w:szCs w:val="20"/>
      <w:u w:val="none"/>
      <w:vertAlign w:val="superscript"/>
    </w:rPr>
  </w:style>
  <w:style w:type="character" w:customStyle="1" w:styleId="76">
    <w:name w:val="font161"/>
    <w:basedOn w:val="30"/>
    <w:autoRedefine/>
    <w:qFormat/>
    <w:uiPriority w:val="0"/>
    <w:rPr>
      <w:rFonts w:hint="eastAsia" w:ascii="宋体" w:hAnsi="宋体" w:eastAsia="宋体" w:cs="宋体"/>
      <w:color w:val="000000"/>
      <w:sz w:val="28"/>
      <w:szCs w:val="28"/>
      <w:u w:val="none"/>
      <w:vertAlign w:val="superscript"/>
    </w:rPr>
  </w:style>
  <w:style w:type="character" w:customStyle="1" w:styleId="77">
    <w:name w:val="font171"/>
    <w:basedOn w:val="30"/>
    <w:autoRedefine/>
    <w:qFormat/>
    <w:uiPriority w:val="0"/>
    <w:rPr>
      <w:rFonts w:hint="eastAsia" w:ascii="宋体" w:hAnsi="宋体" w:eastAsia="宋体" w:cs="宋体"/>
      <w:color w:val="000000"/>
      <w:sz w:val="20"/>
      <w:szCs w:val="20"/>
      <w:u w:val="none"/>
      <w:vertAlign w:val="superscript"/>
    </w:rPr>
  </w:style>
  <w:style w:type="paragraph" w:customStyle="1" w:styleId="78">
    <w:name w:val="BodyText"/>
    <w:basedOn w:val="1"/>
    <w:next w:val="79"/>
    <w:autoRedefine/>
    <w:qFormat/>
    <w:uiPriority w:val="0"/>
    <w:pPr>
      <w:spacing w:after="120" w:line="440" w:lineRule="atLeast"/>
      <w:ind w:firstLine="200" w:firstLineChars="200"/>
      <w:textAlignment w:val="baseline"/>
    </w:pPr>
    <w:rPr>
      <w:rFonts w:ascii="Times New Roman" w:hAnsi="Times New Roman"/>
    </w:rPr>
  </w:style>
  <w:style w:type="paragraph" w:customStyle="1" w:styleId="79">
    <w:name w:val="BodyText2"/>
    <w:basedOn w:val="1"/>
    <w:next w:val="78"/>
    <w:autoRedefine/>
    <w:qFormat/>
    <w:uiPriority w:val="0"/>
    <w:pPr>
      <w:spacing w:after="120" w:line="480" w:lineRule="auto"/>
      <w:textAlignment w:val="baseline"/>
    </w:pPr>
    <w:rPr>
      <w:rFonts w:ascii="Times New Roman" w:hAnsi="Times New Roman"/>
      <w:kern w:val="0"/>
      <w:sz w:val="24"/>
    </w:rPr>
  </w:style>
  <w:style w:type="character" w:customStyle="1" w:styleId="80">
    <w:name w:val="hover16"/>
    <w:basedOn w:val="30"/>
    <w:autoRedefine/>
    <w:qFormat/>
    <w:uiPriority w:val="0"/>
  </w:style>
  <w:style w:type="paragraph" w:customStyle="1" w:styleId="81">
    <w:name w:val="样式1"/>
    <w:basedOn w:val="1"/>
    <w:autoRedefine/>
    <w:qFormat/>
    <w:uiPriority w:val="0"/>
    <w:pPr>
      <w:tabs>
        <w:tab w:val="left" w:pos="709"/>
      </w:tabs>
      <w:ind w:left="709" w:hanging="709"/>
    </w:pPr>
    <w:rPr>
      <w:rFonts w:ascii="宋体" w:hAnsi="宋体"/>
    </w:rPr>
  </w:style>
  <w:style w:type="character" w:customStyle="1" w:styleId="82">
    <w:name w:val="font21"/>
    <w:autoRedefine/>
    <w:qFormat/>
    <w:uiPriority w:val="0"/>
    <w:rPr>
      <w:rFonts w:ascii="Calibri" w:hAnsi="Calibri" w:cs="Calibri"/>
      <w:color w:val="000000"/>
      <w:sz w:val="16"/>
      <w:szCs w:val="16"/>
      <w:u w:val="none"/>
    </w:rPr>
  </w:style>
  <w:style w:type="character" w:customStyle="1" w:styleId="83">
    <w:name w:val="font11"/>
    <w:autoRedefine/>
    <w:qFormat/>
    <w:uiPriority w:val="0"/>
    <w:rPr>
      <w:rFonts w:hint="eastAsia" w:ascii="宋体" w:hAnsi="宋体" w:eastAsia="宋体" w:cs="宋体"/>
      <w:color w:val="000000"/>
      <w:sz w:val="16"/>
      <w:szCs w:val="16"/>
      <w:u w:val="none"/>
    </w:rPr>
  </w:style>
  <w:style w:type="paragraph" w:customStyle="1" w:styleId="8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5">
    <w:name w:val="NormalCharacter"/>
    <w:autoRedefine/>
    <w:semiHidden/>
    <w:qFormat/>
    <w:uiPriority w:val="0"/>
    <w:rPr>
      <w:rFonts w:ascii="宋体" w:hAnsi="宋体" w:cs="宋体"/>
      <w:sz w:val="22"/>
      <w:szCs w:val="22"/>
      <w:lang w:val="zh-CN" w:eastAsia="zh-CN" w:bidi="zh-CN"/>
    </w:rPr>
  </w:style>
  <w:style w:type="paragraph" w:customStyle="1" w:styleId="86">
    <w:name w:val="Table Paragraph"/>
    <w:basedOn w:val="1"/>
    <w:autoRedefine/>
    <w:qFormat/>
    <w:uiPriority w:val="1"/>
  </w:style>
  <w:style w:type="paragraph" w:customStyle="1" w:styleId="8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89">
    <w:name w:val="List Paragraph"/>
    <w:basedOn w:val="1"/>
    <w:autoRedefine/>
    <w:unhideWhenUsed/>
    <w:qFormat/>
    <w:uiPriority w:val="99"/>
    <w:pPr>
      <w:ind w:firstLine="420" w:firstLineChars="200"/>
    </w:pPr>
  </w:style>
  <w:style w:type="paragraph" w:customStyle="1" w:styleId="90">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68</Pages>
  <Words>22913</Words>
  <Characters>26015</Characters>
  <Lines>267</Lines>
  <Paragraphs>75</Paragraphs>
  <TotalTime>73</TotalTime>
  <ScaleCrop>false</ScaleCrop>
  <LinksUpToDate>false</LinksUpToDate>
  <CharactersWithSpaces>26531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从容</cp:lastModifiedBy>
  <cp:lastPrinted>2025-03-21T07:40:00Z</cp:lastPrinted>
  <dcterms:modified xsi:type="dcterms:W3CDTF">2025-03-24T09:33:17Z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D4DAD9599C264826ACB75C5B26D2C569_13</vt:lpwstr>
  </property>
  <property fmtid="{D5CDD505-2E9C-101B-9397-08002B2CF9AE}" pid="4" name="KSOTemplateDocerSaveRecord">
    <vt:lpwstr>eyJoZGlkIjoiOWFmNWY4YTE4OTRkZTZhNDJiMDE4MjEyMjcyMmMzNGMiLCJ1c2VySWQiOiI0NTExMzA5MzIifQ==</vt:lpwstr>
  </property>
</Properties>
</file>