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6E427F0">
      <w:pPr>
        <w:pStyle w:val="5"/>
        <w:spacing w:line="252" w:lineRule="auto"/>
        <w:rPr>
          <w:rFonts w:hint="eastAsia" w:ascii="宋体" w:hAnsi="宋体" w:eastAsia="宋体" w:cs="宋体"/>
          <w:b/>
          <w:bCs/>
          <w:color w:val="auto"/>
          <w:spacing w:val="-5"/>
          <w:sz w:val="52"/>
          <w:szCs w:val="52"/>
          <w:highlight w:val="none"/>
          <w:lang w:eastAsia="zh-CN"/>
        </w:rPr>
      </w:pPr>
    </w:p>
    <w:p w14:paraId="1ADB2E41">
      <w:pPr>
        <w:pStyle w:val="5"/>
        <w:spacing w:line="252" w:lineRule="auto"/>
        <w:jc w:val="center"/>
        <w:outlineLvl w:val="0"/>
        <w:rPr>
          <w:rFonts w:hint="default"/>
          <w:color w:val="auto"/>
          <w:highlight w:val="none"/>
          <w:lang w:val="en-US" w:eastAsia="zh-CN"/>
        </w:rPr>
      </w:pPr>
      <w:bookmarkStart w:id="0" w:name="_Toc32343"/>
      <w:r>
        <w:rPr>
          <w:rFonts w:hint="eastAsia" w:ascii="宋体" w:hAnsi="宋体" w:eastAsia="宋体" w:cs="宋体"/>
          <w:b/>
          <w:bCs/>
          <w:color w:val="auto"/>
          <w:spacing w:val="-5"/>
          <w:sz w:val="52"/>
          <w:szCs w:val="52"/>
          <w:highlight w:val="none"/>
          <w:lang w:eastAsia="zh-CN"/>
        </w:rPr>
        <w:t>博爱县县直幼儿园功能室设备及室外场地活动设施采购项目</w:t>
      </w:r>
      <w:bookmarkEnd w:id="0"/>
      <w:r>
        <w:rPr>
          <w:rFonts w:hint="eastAsia" w:ascii="宋体" w:hAnsi="宋体" w:eastAsia="宋体" w:cs="宋体"/>
          <w:b/>
          <w:bCs/>
          <w:color w:val="auto"/>
          <w:spacing w:val="-5"/>
          <w:sz w:val="52"/>
          <w:szCs w:val="52"/>
          <w:highlight w:val="none"/>
          <w:lang w:val="en-US" w:eastAsia="zh-CN"/>
        </w:rPr>
        <w:t>(一标段）</w:t>
      </w:r>
    </w:p>
    <w:p w14:paraId="0F2695F2">
      <w:pPr>
        <w:pStyle w:val="5"/>
        <w:spacing w:line="252" w:lineRule="auto"/>
        <w:rPr>
          <w:color w:val="auto"/>
          <w:highlight w:val="none"/>
          <w:lang w:eastAsia="zh-CN"/>
        </w:rPr>
      </w:pPr>
    </w:p>
    <w:p w14:paraId="5B3DEBFD">
      <w:pPr>
        <w:pStyle w:val="5"/>
        <w:spacing w:line="253" w:lineRule="auto"/>
        <w:rPr>
          <w:color w:val="auto"/>
          <w:highlight w:val="none"/>
          <w:lang w:eastAsia="zh-CN"/>
        </w:rPr>
      </w:pPr>
    </w:p>
    <w:p w14:paraId="18B6E24A">
      <w:pPr>
        <w:pStyle w:val="5"/>
        <w:spacing w:line="253" w:lineRule="auto"/>
        <w:rPr>
          <w:color w:val="auto"/>
          <w:highlight w:val="none"/>
          <w:lang w:eastAsia="zh-CN"/>
        </w:rPr>
      </w:pPr>
    </w:p>
    <w:p w14:paraId="4180DC5F">
      <w:pPr>
        <w:pStyle w:val="5"/>
        <w:spacing w:line="253" w:lineRule="auto"/>
        <w:rPr>
          <w:color w:val="auto"/>
          <w:highlight w:val="none"/>
          <w:lang w:eastAsia="zh-CN"/>
        </w:rPr>
      </w:pPr>
    </w:p>
    <w:p w14:paraId="51DD2307">
      <w:pPr>
        <w:pStyle w:val="5"/>
        <w:spacing w:line="253" w:lineRule="auto"/>
        <w:rPr>
          <w:color w:val="auto"/>
          <w:highlight w:val="none"/>
          <w:lang w:eastAsia="zh-CN"/>
        </w:rPr>
      </w:pPr>
    </w:p>
    <w:p w14:paraId="67043946">
      <w:pPr>
        <w:pStyle w:val="5"/>
        <w:spacing w:line="253" w:lineRule="auto"/>
        <w:rPr>
          <w:color w:val="auto"/>
          <w:highlight w:val="none"/>
          <w:lang w:eastAsia="zh-CN"/>
        </w:rPr>
      </w:pPr>
    </w:p>
    <w:p w14:paraId="34096207">
      <w:pPr>
        <w:pStyle w:val="5"/>
        <w:spacing w:line="253" w:lineRule="auto"/>
        <w:rPr>
          <w:color w:val="auto"/>
          <w:highlight w:val="none"/>
          <w:lang w:eastAsia="zh-CN"/>
        </w:rPr>
      </w:pPr>
    </w:p>
    <w:p w14:paraId="0AF0BA2E">
      <w:pPr>
        <w:spacing w:before="325" w:line="220" w:lineRule="auto"/>
        <w:ind w:left="2709"/>
        <w:outlineLvl w:val="0"/>
        <w:rPr>
          <w:rFonts w:ascii="宋体" w:hAnsi="宋体" w:eastAsia="宋体" w:cs="宋体"/>
          <w:color w:val="auto"/>
          <w:sz w:val="100"/>
          <w:szCs w:val="100"/>
          <w:highlight w:val="none"/>
          <w:lang w:eastAsia="zh-CN"/>
        </w:rPr>
      </w:pPr>
      <w:bookmarkStart w:id="1" w:name="_Toc25155"/>
      <w:r>
        <w:rPr>
          <w:rFonts w:ascii="宋体" w:hAnsi="宋体" w:eastAsia="宋体" w:cs="宋体"/>
          <w:b/>
          <w:bCs/>
          <w:color w:val="auto"/>
          <w:spacing w:val="-19"/>
          <w:sz w:val="100"/>
          <w:szCs w:val="100"/>
          <w:highlight w:val="none"/>
          <w:lang w:eastAsia="zh-CN"/>
        </w:rPr>
        <w:t>招标文件</w:t>
      </w:r>
      <w:bookmarkEnd w:id="1"/>
      <w:bookmarkStart w:id="138" w:name="_GoBack"/>
      <w:bookmarkEnd w:id="138"/>
    </w:p>
    <w:p w14:paraId="4EF2A029">
      <w:pPr>
        <w:spacing w:before="217" w:line="219" w:lineRule="auto"/>
        <w:ind w:left="2539"/>
        <w:outlineLvl w:val="0"/>
        <w:rPr>
          <w:rFonts w:ascii="宋体" w:hAnsi="宋体" w:eastAsia="宋体" w:cs="宋体"/>
          <w:color w:val="auto"/>
          <w:sz w:val="28"/>
          <w:szCs w:val="28"/>
          <w:highlight w:val="none"/>
          <w:lang w:eastAsia="zh-CN"/>
        </w:rPr>
      </w:pPr>
      <w:bookmarkStart w:id="2" w:name="_Toc4708"/>
      <w:r>
        <w:rPr>
          <w:rFonts w:hint="eastAsia" w:ascii="宋体" w:hAnsi="宋体" w:eastAsia="宋体" w:cs="宋体"/>
          <w:b/>
          <w:bCs/>
          <w:color w:val="auto"/>
          <w:spacing w:val="-3"/>
          <w:sz w:val="28"/>
          <w:szCs w:val="28"/>
          <w:highlight w:val="none"/>
          <w:lang w:val="en-US" w:eastAsia="zh-CN"/>
        </w:rPr>
        <w:t>项目</w:t>
      </w:r>
      <w:r>
        <w:rPr>
          <w:rFonts w:ascii="宋体" w:hAnsi="宋体" w:eastAsia="宋体" w:cs="宋体"/>
          <w:b/>
          <w:bCs/>
          <w:color w:val="auto"/>
          <w:spacing w:val="-3"/>
          <w:sz w:val="28"/>
          <w:szCs w:val="28"/>
          <w:highlight w:val="none"/>
          <w:lang w:eastAsia="zh-CN"/>
        </w:rPr>
        <w:t>编号：</w:t>
      </w:r>
      <w:r>
        <w:rPr>
          <w:rFonts w:ascii="宋体" w:hAnsi="宋体" w:eastAsia="宋体" w:cs="宋体"/>
          <w:b/>
          <w:bCs/>
          <w:color w:val="auto"/>
          <w:sz w:val="28"/>
          <w:szCs w:val="28"/>
          <w:highlight w:val="none"/>
          <w:lang w:eastAsia="zh-CN"/>
        </w:rPr>
        <w:t xml:space="preserve"> </w:t>
      </w:r>
      <w:r>
        <w:rPr>
          <w:rFonts w:hint="eastAsia" w:ascii="宋体" w:hAnsi="宋体" w:eastAsia="宋体" w:cs="宋体"/>
          <w:b/>
          <w:bCs/>
          <w:color w:val="auto"/>
          <w:sz w:val="28"/>
          <w:szCs w:val="28"/>
          <w:highlight w:val="none"/>
          <w:lang w:eastAsia="zh-CN"/>
        </w:rPr>
        <w:t>博</w:t>
      </w:r>
      <w:r>
        <w:rPr>
          <w:rFonts w:hint="eastAsia" w:ascii="宋体" w:hAnsi="宋体" w:eastAsia="宋体" w:cs="宋体"/>
          <w:b/>
          <w:bCs/>
          <w:color w:val="auto"/>
          <w:sz w:val="28"/>
          <w:szCs w:val="28"/>
          <w:highlight w:val="none"/>
          <w:lang w:val="en-US" w:eastAsia="zh-CN"/>
        </w:rPr>
        <w:t>财招标</w:t>
      </w:r>
      <w:r>
        <w:rPr>
          <w:rFonts w:hint="eastAsia" w:ascii="宋体" w:hAnsi="宋体" w:eastAsia="宋体" w:cs="宋体"/>
          <w:b/>
          <w:bCs/>
          <w:color w:val="auto"/>
          <w:sz w:val="28"/>
          <w:szCs w:val="28"/>
          <w:highlight w:val="none"/>
          <w:lang w:eastAsia="zh-CN"/>
        </w:rPr>
        <w:t>采购2024</w:t>
      </w:r>
      <w:r>
        <w:rPr>
          <w:rFonts w:hint="eastAsia" w:ascii="宋体" w:hAnsi="宋体" w:eastAsia="宋体" w:cs="宋体"/>
          <w:b/>
          <w:bCs/>
          <w:color w:val="auto"/>
          <w:sz w:val="28"/>
          <w:szCs w:val="28"/>
          <w:highlight w:val="none"/>
          <w:lang w:val="en-US" w:eastAsia="zh-CN"/>
        </w:rPr>
        <w:t>-35</w:t>
      </w:r>
      <w:r>
        <w:rPr>
          <w:rFonts w:hint="eastAsia" w:ascii="宋体" w:hAnsi="宋体" w:eastAsia="宋体" w:cs="宋体"/>
          <w:b/>
          <w:bCs/>
          <w:color w:val="auto"/>
          <w:sz w:val="28"/>
          <w:szCs w:val="28"/>
          <w:highlight w:val="none"/>
          <w:lang w:eastAsia="zh-CN"/>
        </w:rPr>
        <w:t>号</w:t>
      </w:r>
      <w:bookmarkEnd w:id="2"/>
    </w:p>
    <w:p w14:paraId="67CF86B3">
      <w:pPr>
        <w:pStyle w:val="5"/>
        <w:spacing w:line="245" w:lineRule="auto"/>
        <w:rPr>
          <w:color w:val="auto"/>
          <w:highlight w:val="none"/>
          <w:lang w:eastAsia="zh-CN"/>
        </w:rPr>
      </w:pPr>
    </w:p>
    <w:p w14:paraId="111E97EA">
      <w:pPr>
        <w:pStyle w:val="5"/>
        <w:spacing w:line="245" w:lineRule="auto"/>
        <w:jc w:val="center"/>
        <w:rPr>
          <w:color w:val="auto"/>
          <w:highlight w:val="none"/>
          <w:lang w:eastAsia="zh-CN"/>
        </w:rPr>
      </w:pPr>
      <w:r>
        <w:rPr>
          <w:rFonts w:hint="eastAsia" w:ascii="宋体" w:hAnsi="宋体" w:eastAsia="宋体" w:cs="宋体"/>
          <w:b/>
          <w:bCs/>
          <w:color w:val="auto"/>
          <w:spacing w:val="-3"/>
          <w:sz w:val="28"/>
          <w:szCs w:val="28"/>
          <w:highlight w:val="none"/>
          <w:lang w:val="en-US" w:eastAsia="zh-CN"/>
        </w:rPr>
        <w:t xml:space="preserve"> 采购</w:t>
      </w:r>
      <w:r>
        <w:rPr>
          <w:rFonts w:ascii="宋体" w:hAnsi="宋体" w:eastAsia="宋体" w:cs="宋体"/>
          <w:b/>
          <w:bCs/>
          <w:color w:val="auto"/>
          <w:spacing w:val="-3"/>
          <w:sz w:val="28"/>
          <w:szCs w:val="28"/>
          <w:highlight w:val="none"/>
          <w:lang w:eastAsia="zh-CN"/>
        </w:rPr>
        <w:t>编号：</w:t>
      </w:r>
      <w:r>
        <w:rPr>
          <w:rFonts w:ascii="宋体" w:hAnsi="宋体" w:eastAsia="宋体" w:cs="宋体"/>
          <w:b/>
          <w:bCs/>
          <w:color w:val="auto"/>
          <w:sz w:val="28"/>
          <w:szCs w:val="28"/>
          <w:highlight w:val="none"/>
          <w:lang w:eastAsia="zh-CN"/>
        </w:rPr>
        <w:t xml:space="preserve"> </w:t>
      </w:r>
      <w:r>
        <w:rPr>
          <w:rFonts w:hint="eastAsia" w:ascii="宋体" w:hAnsi="宋体" w:eastAsia="宋体" w:cs="宋体"/>
          <w:b/>
          <w:bCs/>
          <w:color w:val="auto"/>
          <w:sz w:val="28"/>
          <w:szCs w:val="28"/>
          <w:highlight w:val="none"/>
          <w:lang w:eastAsia="zh-CN"/>
        </w:rPr>
        <w:t>博政采购（2024）120号</w:t>
      </w:r>
    </w:p>
    <w:p w14:paraId="71D848B6">
      <w:pPr>
        <w:pStyle w:val="5"/>
        <w:spacing w:line="246" w:lineRule="auto"/>
        <w:rPr>
          <w:color w:val="auto"/>
          <w:highlight w:val="none"/>
          <w:lang w:eastAsia="zh-CN"/>
        </w:rPr>
      </w:pPr>
    </w:p>
    <w:p w14:paraId="601A2718">
      <w:pPr>
        <w:pStyle w:val="5"/>
        <w:spacing w:line="246" w:lineRule="auto"/>
        <w:rPr>
          <w:color w:val="auto"/>
          <w:highlight w:val="none"/>
          <w:lang w:eastAsia="zh-CN"/>
        </w:rPr>
      </w:pPr>
    </w:p>
    <w:p w14:paraId="62C31483">
      <w:pPr>
        <w:pStyle w:val="5"/>
        <w:spacing w:line="246" w:lineRule="auto"/>
        <w:rPr>
          <w:color w:val="auto"/>
          <w:highlight w:val="none"/>
          <w:lang w:eastAsia="zh-CN"/>
        </w:rPr>
      </w:pPr>
    </w:p>
    <w:p w14:paraId="781CFC23">
      <w:pPr>
        <w:pStyle w:val="5"/>
        <w:spacing w:line="246" w:lineRule="auto"/>
        <w:rPr>
          <w:color w:val="auto"/>
          <w:highlight w:val="none"/>
          <w:lang w:eastAsia="zh-CN"/>
        </w:rPr>
      </w:pPr>
    </w:p>
    <w:p w14:paraId="567F0CDA">
      <w:pPr>
        <w:pStyle w:val="5"/>
        <w:spacing w:line="246" w:lineRule="auto"/>
        <w:rPr>
          <w:color w:val="auto"/>
          <w:highlight w:val="none"/>
          <w:lang w:eastAsia="zh-CN"/>
        </w:rPr>
      </w:pPr>
    </w:p>
    <w:p w14:paraId="3BB2710C">
      <w:pPr>
        <w:pStyle w:val="5"/>
        <w:spacing w:line="246" w:lineRule="auto"/>
        <w:rPr>
          <w:color w:val="auto"/>
          <w:highlight w:val="none"/>
          <w:lang w:eastAsia="zh-CN"/>
        </w:rPr>
      </w:pPr>
    </w:p>
    <w:p w14:paraId="3421270C">
      <w:pPr>
        <w:pStyle w:val="5"/>
        <w:spacing w:line="246" w:lineRule="auto"/>
        <w:rPr>
          <w:color w:val="auto"/>
          <w:highlight w:val="none"/>
          <w:lang w:eastAsia="zh-CN"/>
        </w:rPr>
      </w:pPr>
    </w:p>
    <w:p w14:paraId="6C2023FF">
      <w:pPr>
        <w:pStyle w:val="5"/>
        <w:spacing w:line="246" w:lineRule="auto"/>
        <w:rPr>
          <w:rFonts w:eastAsiaTheme="minorEastAsia"/>
          <w:color w:val="auto"/>
          <w:highlight w:val="none"/>
          <w:lang w:eastAsia="zh-CN"/>
        </w:rPr>
      </w:pPr>
    </w:p>
    <w:p w14:paraId="0D21E6F3">
      <w:pPr>
        <w:pStyle w:val="5"/>
        <w:spacing w:line="246" w:lineRule="auto"/>
        <w:rPr>
          <w:rFonts w:eastAsiaTheme="minorEastAsia"/>
          <w:color w:val="auto"/>
          <w:highlight w:val="none"/>
          <w:lang w:eastAsia="zh-CN"/>
        </w:rPr>
      </w:pPr>
    </w:p>
    <w:p w14:paraId="72A27E25">
      <w:pPr>
        <w:pStyle w:val="5"/>
        <w:spacing w:line="246" w:lineRule="auto"/>
        <w:rPr>
          <w:rFonts w:eastAsiaTheme="minorEastAsia"/>
          <w:color w:val="auto"/>
          <w:highlight w:val="none"/>
          <w:lang w:eastAsia="zh-CN"/>
        </w:rPr>
      </w:pPr>
    </w:p>
    <w:p w14:paraId="4CBF2336">
      <w:pPr>
        <w:pStyle w:val="5"/>
        <w:spacing w:line="246" w:lineRule="auto"/>
        <w:rPr>
          <w:rFonts w:eastAsiaTheme="minorEastAsia"/>
          <w:color w:val="auto"/>
          <w:highlight w:val="none"/>
          <w:lang w:eastAsia="zh-CN"/>
        </w:rPr>
      </w:pPr>
    </w:p>
    <w:p w14:paraId="3BDEA845">
      <w:pPr>
        <w:pStyle w:val="5"/>
        <w:spacing w:line="246" w:lineRule="auto"/>
        <w:rPr>
          <w:rFonts w:eastAsiaTheme="minorEastAsia"/>
          <w:color w:val="auto"/>
          <w:highlight w:val="none"/>
          <w:lang w:eastAsia="zh-CN"/>
        </w:rPr>
      </w:pPr>
    </w:p>
    <w:p w14:paraId="2A9C3B7A">
      <w:pPr>
        <w:pStyle w:val="5"/>
        <w:spacing w:line="246" w:lineRule="auto"/>
        <w:rPr>
          <w:rFonts w:eastAsiaTheme="minorEastAsia"/>
          <w:color w:val="auto"/>
          <w:highlight w:val="none"/>
          <w:lang w:eastAsia="zh-CN"/>
        </w:rPr>
      </w:pPr>
    </w:p>
    <w:p w14:paraId="3F90CC9A">
      <w:pPr>
        <w:pStyle w:val="5"/>
        <w:spacing w:line="246" w:lineRule="auto"/>
        <w:rPr>
          <w:color w:val="auto"/>
          <w:highlight w:val="none"/>
          <w:lang w:eastAsia="zh-CN"/>
        </w:rPr>
      </w:pPr>
    </w:p>
    <w:p w14:paraId="77DCED69">
      <w:pPr>
        <w:pStyle w:val="5"/>
        <w:spacing w:line="246" w:lineRule="auto"/>
        <w:rPr>
          <w:color w:val="auto"/>
          <w:highlight w:val="none"/>
          <w:lang w:eastAsia="zh-CN"/>
        </w:rPr>
      </w:pPr>
    </w:p>
    <w:p w14:paraId="6275DD1A">
      <w:pPr>
        <w:pStyle w:val="5"/>
        <w:spacing w:line="246" w:lineRule="auto"/>
        <w:rPr>
          <w:color w:val="auto"/>
          <w:highlight w:val="none"/>
          <w:lang w:eastAsia="zh-CN"/>
        </w:rPr>
      </w:pPr>
    </w:p>
    <w:p w14:paraId="74B006FB">
      <w:pPr>
        <w:pStyle w:val="5"/>
        <w:spacing w:line="246" w:lineRule="auto"/>
        <w:rPr>
          <w:color w:val="auto"/>
          <w:highlight w:val="none"/>
          <w:lang w:eastAsia="zh-CN"/>
        </w:rPr>
      </w:pPr>
    </w:p>
    <w:p w14:paraId="1F617E2D">
      <w:pPr>
        <w:spacing w:before="101" w:line="224" w:lineRule="auto"/>
        <w:ind w:firstLine="1939" w:firstLineChars="600"/>
        <w:jc w:val="both"/>
        <w:outlineLvl w:val="0"/>
        <w:rPr>
          <w:rFonts w:ascii="宋体" w:hAnsi="宋体" w:eastAsia="宋体" w:cs="宋体"/>
          <w:color w:val="auto"/>
          <w:sz w:val="31"/>
          <w:szCs w:val="31"/>
          <w:highlight w:val="none"/>
          <w:lang w:eastAsia="zh-CN"/>
        </w:rPr>
      </w:pPr>
      <w:bookmarkStart w:id="3" w:name="_Toc4231"/>
      <w:r>
        <w:rPr>
          <w:rFonts w:hint="eastAsia" w:ascii="宋体" w:hAnsi="宋体" w:eastAsia="宋体" w:cs="宋体"/>
          <w:b/>
          <w:bCs/>
          <w:color w:val="auto"/>
          <w:spacing w:val="6"/>
          <w:sz w:val="31"/>
          <w:szCs w:val="31"/>
          <w:highlight w:val="none"/>
          <w:lang w:val="en-US" w:eastAsia="zh-CN"/>
        </w:rPr>
        <w:t>采</w:t>
      </w:r>
      <w:r>
        <w:rPr>
          <w:rFonts w:hint="eastAsia" w:ascii="宋体" w:hAnsi="宋体" w:eastAsia="宋体" w:cs="宋体"/>
          <w:b/>
          <w:bCs/>
          <w:color w:val="auto"/>
          <w:spacing w:val="6"/>
          <w:sz w:val="31"/>
          <w:szCs w:val="31"/>
          <w:highlight w:val="none"/>
          <w:lang w:eastAsia="zh-CN"/>
        </w:rPr>
        <w:t xml:space="preserve"> </w:t>
      </w:r>
      <w:r>
        <w:rPr>
          <w:rFonts w:hint="eastAsia" w:ascii="宋体" w:hAnsi="宋体" w:eastAsia="宋体" w:cs="宋体"/>
          <w:b/>
          <w:bCs/>
          <w:color w:val="auto"/>
          <w:spacing w:val="6"/>
          <w:sz w:val="31"/>
          <w:szCs w:val="31"/>
          <w:highlight w:val="none"/>
          <w:lang w:val="en-US" w:eastAsia="zh-CN"/>
        </w:rPr>
        <w:t>购</w:t>
      </w:r>
      <w:r>
        <w:rPr>
          <w:rFonts w:ascii="宋体" w:hAnsi="宋体" w:eastAsia="宋体" w:cs="宋体"/>
          <w:color w:val="auto"/>
          <w:spacing w:val="6"/>
          <w:sz w:val="31"/>
          <w:szCs w:val="31"/>
          <w:highlight w:val="none"/>
          <w:lang w:eastAsia="zh-CN"/>
        </w:rPr>
        <w:t xml:space="preserve"> </w:t>
      </w:r>
      <w:r>
        <w:rPr>
          <w:rFonts w:ascii="宋体" w:hAnsi="宋体" w:eastAsia="宋体" w:cs="宋体"/>
          <w:b/>
          <w:bCs/>
          <w:color w:val="auto"/>
          <w:spacing w:val="6"/>
          <w:sz w:val="31"/>
          <w:szCs w:val="31"/>
          <w:highlight w:val="none"/>
          <w:lang w:eastAsia="zh-CN"/>
        </w:rPr>
        <w:t>人：</w:t>
      </w:r>
      <w:r>
        <w:rPr>
          <w:rFonts w:hint="eastAsia" w:ascii="宋体" w:hAnsi="宋体" w:eastAsia="宋体" w:cs="宋体"/>
          <w:b/>
          <w:bCs/>
          <w:color w:val="auto"/>
          <w:spacing w:val="6"/>
          <w:sz w:val="31"/>
          <w:szCs w:val="31"/>
          <w:highlight w:val="none"/>
          <w:lang w:eastAsia="zh-CN"/>
        </w:rPr>
        <w:t>博爱县县直幼儿园</w:t>
      </w:r>
      <w:bookmarkEnd w:id="3"/>
    </w:p>
    <w:p w14:paraId="1CBE781E">
      <w:pPr>
        <w:spacing w:before="185" w:line="224" w:lineRule="auto"/>
        <w:ind w:left="1952"/>
        <w:outlineLvl w:val="0"/>
        <w:rPr>
          <w:rFonts w:ascii="宋体" w:hAnsi="宋体" w:eastAsia="宋体" w:cs="宋体"/>
          <w:b/>
          <w:bCs/>
          <w:color w:val="auto"/>
          <w:spacing w:val="7"/>
          <w:sz w:val="31"/>
          <w:szCs w:val="31"/>
          <w:highlight w:val="none"/>
          <w:lang w:eastAsia="zh-CN"/>
        </w:rPr>
      </w:pPr>
      <w:bookmarkStart w:id="4" w:name="_Toc17398"/>
      <w:r>
        <w:rPr>
          <w:rFonts w:ascii="宋体" w:hAnsi="宋体" w:eastAsia="宋体" w:cs="宋体"/>
          <w:b/>
          <w:bCs/>
          <w:color w:val="auto"/>
          <w:spacing w:val="7"/>
          <w:sz w:val="31"/>
          <w:szCs w:val="31"/>
          <w:highlight w:val="none"/>
          <w:lang w:eastAsia="zh-CN"/>
        </w:rPr>
        <w:t>代理机构：</w:t>
      </w:r>
      <w:r>
        <w:rPr>
          <w:rFonts w:hint="eastAsia" w:ascii="宋体" w:hAnsi="宋体" w:eastAsia="宋体" w:cs="宋体"/>
          <w:b/>
          <w:bCs/>
          <w:color w:val="auto"/>
          <w:spacing w:val="7"/>
          <w:sz w:val="31"/>
          <w:szCs w:val="31"/>
          <w:highlight w:val="none"/>
          <w:lang w:eastAsia="zh-CN"/>
        </w:rPr>
        <w:t>河南海普工程管理有限公司</w:t>
      </w:r>
      <w:bookmarkEnd w:id="4"/>
    </w:p>
    <w:p w14:paraId="0A829DF1">
      <w:pPr>
        <w:spacing w:before="185" w:line="224" w:lineRule="auto"/>
        <w:ind w:left="1952"/>
        <w:outlineLvl w:val="0"/>
        <w:rPr>
          <w:rFonts w:ascii="宋体" w:hAnsi="宋体" w:eastAsia="宋体" w:cs="宋体"/>
          <w:color w:val="auto"/>
          <w:sz w:val="31"/>
          <w:szCs w:val="31"/>
          <w:highlight w:val="none"/>
          <w:lang w:eastAsia="zh-CN"/>
        </w:rPr>
      </w:pPr>
      <w:bookmarkStart w:id="5" w:name="_Toc21454"/>
      <w:r>
        <w:rPr>
          <w:rFonts w:ascii="宋体" w:hAnsi="宋体" w:eastAsia="宋体" w:cs="宋体"/>
          <w:b/>
          <w:bCs/>
          <w:color w:val="auto"/>
          <w:spacing w:val="-1"/>
          <w:sz w:val="31"/>
          <w:szCs w:val="31"/>
          <w:highlight w:val="none"/>
          <w:lang w:eastAsia="zh-CN"/>
        </w:rPr>
        <w:t>日</w:t>
      </w:r>
      <w:r>
        <w:rPr>
          <w:rFonts w:ascii="宋体" w:hAnsi="宋体" w:eastAsia="宋体" w:cs="宋体"/>
          <w:color w:val="auto"/>
          <w:spacing w:val="10"/>
          <w:sz w:val="31"/>
          <w:szCs w:val="31"/>
          <w:highlight w:val="none"/>
          <w:lang w:eastAsia="zh-CN"/>
        </w:rPr>
        <w:t xml:space="preserve">    </w:t>
      </w:r>
      <w:r>
        <w:rPr>
          <w:rFonts w:ascii="宋体" w:hAnsi="宋体" w:eastAsia="宋体" w:cs="宋体"/>
          <w:b/>
          <w:bCs/>
          <w:color w:val="auto"/>
          <w:spacing w:val="-1"/>
          <w:sz w:val="31"/>
          <w:szCs w:val="31"/>
          <w:highlight w:val="none"/>
          <w:lang w:eastAsia="zh-CN"/>
        </w:rPr>
        <w:t>期：二〇二四年</w:t>
      </w:r>
      <w:r>
        <w:rPr>
          <w:rFonts w:hint="eastAsia" w:ascii="宋体" w:hAnsi="宋体" w:eastAsia="宋体" w:cs="宋体"/>
          <w:b/>
          <w:bCs/>
          <w:color w:val="auto"/>
          <w:spacing w:val="-1"/>
          <w:sz w:val="31"/>
          <w:szCs w:val="31"/>
          <w:highlight w:val="none"/>
          <w:lang w:val="en-US" w:eastAsia="zh-CN"/>
        </w:rPr>
        <w:t>十一</w:t>
      </w:r>
      <w:r>
        <w:rPr>
          <w:rFonts w:ascii="宋体" w:hAnsi="宋体" w:eastAsia="宋体" w:cs="宋体"/>
          <w:b/>
          <w:bCs/>
          <w:color w:val="auto"/>
          <w:spacing w:val="-1"/>
          <w:sz w:val="31"/>
          <w:szCs w:val="31"/>
          <w:highlight w:val="none"/>
          <w:lang w:eastAsia="zh-CN"/>
        </w:rPr>
        <w:t>月</w:t>
      </w:r>
      <w:bookmarkEnd w:id="5"/>
    </w:p>
    <w:p w14:paraId="02E42910">
      <w:pPr>
        <w:spacing w:line="225" w:lineRule="auto"/>
        <w:rPr>
          <w:rFonts w:ascii="宋体" w:hAnsi="宋体" w:eastAsia="宋体" w:cs="宋体"/>
          <w:color w:val="auto"/>
          <w:sz w:val="31"/>
          <w:szCs w:val="31"/>
          <w:highlight w:val="none"/>
          <w:lang w:eastAsia="zh-CN"/>
        </w:rPr>
        <w:sectPr>
          <w:pgSz w:w="11907" w:h="16840"/>
          <w:pgMar w:top="1371" w:right="1150" w:bottom="0" w:left="1387" w:header="0" w:footer="0" w:gutter="0"/>
          <w:cols w:space="720" w:num="1"/>
        </w:sectPr>
      </w:pPr>
    </w:p>
    <w:sdt>
      <w:sdtPr>
        <w:rPr>
          <w:rFonts w:ascii="宋体" w:hAnsi="宋体" w:eastAsia="宋体" w:cs="Arial"/>
          <w:b/>
          <w:bCs/>
          <w:snapToGrid w:val="0"/>
          <w:color w:val="000000"/>
          <w:sz w:val="44"/>
          <w:szCs w:val="44"/>
          <w:highlight w:val="none"/>
          <w:lang w:val="en-US" w:eastAsia="en-US" w:bidi="ar-SA"/>
        </w:rPr>
        <w:id w:val="147470047"/>
        <w15:color w:val="DBDBDB"/>
        <w:docPartObj>
          <w:docPartGallery w:val="Table of Contents"/>
          <w:docPartUnique/>
        </w:docPartObj>
      </w:sdtPr>
      <w:sdtEndPr>
        <w:rPr>
          <w:rFonts w:ascii="宋体" w:hAnsi="宋体" w:eastAsia="宋体" w:cs="宋体"/>
          <w:b/>
          <w:bCs/>
          <w:snapToGrid w:val="0"/>
          <w:color w:val="auto"/>
          <w:sz w:val="21"/>
          <w:szCs w:val="24"/>
          <w:highlight w:val="none"/>
          <w:lang w:val="en-US" w:eastAsia="zh-CN" w:bidi="ar-SA"/>
        </w:rPr>
      </w:sdtEndPr>
      <w:sdtContent>
        <w:p w14:paraId="206A916D">
          <w:pPr>
            <w:spacing w:before="0" w:beforeLines="0" w:after="0" w:afterLines="0" w:line="240" w:lineRule="auto"/>
            <w:ind w:left="0" w:leftChars="0" w:right="0" w:rightChars="0" w:firstLine="0" w:firstLineChars="0"/>
            <w:jc w:val="center"/>
            <w:rPr>
              <w:b/>
              <w:bCs/>
              <w:sz w:val="44"/>
              <w:szCs w:val="44"/>
              <w:highlight w:val="none"/>
            </w:rPr>
          </w:pPr>
          <w:r>
            <w:rPr>
              <w:rFonts w:ascii="宋体" w:hAnsi="宋体" w:eastAsia="宋体"/>
              <w:b/>
              <w:bCs/>
              <w:sz w:val="44"/>
              <w:szCs w:val="44"/>
              <w:highlight w:val="none"/>
            </w:rPr>
            <w:t>目录</w:t>
          </w:r>
        </w:p>
        <w:p w14:paraId="2AFE7C0A">
          <w:pPr>
            <w:pStyle w:val="24"/>
            <w:tabs>
              <w:tab w:val="right" w:leader="dot" w:pos="8802"/>
            </w:tabs>
            <w:rPr>
              <w:highlight w:val="none"/>
            </w:rPr>
          </w:pPr>
          <w:r>
            <w:rPr>
              <w:rFonts w:ascii="宋体" w:hAnsi="宋体" w:eastAsia="宋体" w:cs="宋体"/>
              <w:color w:val="auto"/>
              <w:sz w:val="24"/>
              <w:szCs w:val="24"/>
              <w:highlight w:val="none"/>
              <w:lang w:eastAsia="zh-CN"/>
            </w:rPr>
            <w:fldChar w:fldCharType="begin"/>
          </w:r>
          <w:r>
            <w:rPr>
              <w:rFonts w:ascii="宋体" w:hAnsi="宋体" w:eastAsia="宋体" w:cs="宋体"/>
              <w:color w:val="auto"/>
              <w:sz w:val="24"/>
              <w:szCs w:val="24"/>
              <w:highlight w:val="none"/>
              <w:lang w:eastAsia="zh-CN"/>
            </w:rPr>
            <w:instrText xml:space="preserve">TOC \o "1-3" \h \u </w:instrText>
          </w:r>
          <w:r>
            <w:rPr>
              <w:rFonts w:ascii="宋体" w:hAnsi="宋体" w:eastAsia="宋体" w:cs="宋体"/>
              <w:color w:val="auto"/>
              <w:sz w:val="24"/>
              <w:szCs w:val="24"/>
              <w:highlight w:val="none"/>
              <w:lang w:eastAsia="zh-CN"/>
            </w:rPr>
            <w:fldChar w:fldCharType="separate"/>
          </w:r>
        </w:p>
        <w:p w14:paraId="240B37D1">
          <w:pPr>
            <w:pStyle w:val="24"/>
            <w:keepNext w:val="0"/>
            <w:keepLines w:val="0"/>
            <w:pageBreakBefore w:val="0"/>
            <w:widowControl/>
            <w:tabs>
              <w:tab w:val="right" w:leader="dot" w:pos="8802"/>
            </w:tabs>
            <w:kinsoku/>
            <w:wordWrap/>
            <w:overflowPunct/>
            <w:topLinePunct w:val="0"/>
            <w:autoSpaceDE/>
            <w:autoSpaceDN/>
            <w:bidi w:val="0"/>
            <w:adjustRightInd/>
            <w:snapToGrid/>
            <w:spacing w:line="600" w:lineRule="exact"/>
            <w:textAlignment w:val="auto"/>
            <w:rPr>
              <w:sz w:val="24"/>
              <w:szCs w:val="24"/>
              <w:highlight w:val="none"/>
            </w:rPr>
          </w:pPr>
          <w:r>
            <w:rPr>
              <w:rFonts w:ascii="宋体" w:hAnsi="宋体" w:eastAsia="宋体" w:cs="宋体"/>
              <w:color w:val="auto"/>
              <w:sz w:val="24"/>
              <w:szCs w:val="24"/>
              <w:highlight w:val="none"/>
              <w:lang w:eastAsia="zh-CN"/>
            </w:rPr>
            <w:fldChar w:fldCharType="begin"/>
          </w:r>
          <w:r>
            <w:rPr>
              <w:rFonts w:ascii="宋体" w:hAnsi="宋体" w:eastAsia="宋体" w:cs="宋体"/>
              <w:sz w:val="24"/>
              <w:szCs w:val="24"/>
              <w:highlight w:val="none"/>
              <w:lang w:eastAsia="zh-CN"/>
            </w:rPr>
            <w:instrText xml:space="preserve"> HYPERLINK \l _Toc19145 </w:instrText>
          </w:r>
          <w:r>
            <w:rPr>
              <w:rFonts w:ascii="宋体" w:hAnsi="宋体" w:eastAsia="宋体" w:cs="宋体"/>
              <w:sz w:val="24"/>
              <w:szCs w:val="24"/>
              <w:highlight w:val="none"/>
              <w:lang w:eastAsia="zh-CN"/>
            </w:rPr>
            <w:fldChar w:fldCharType="separate"/>
          </w:r>
          <w:r>
            <w:rPr>
              <w:rFonts w:ascii="宋体" w:hAnsi="宋体" w:eastAsia="宋体" w:cs="宋体"/>
              <w:bCs/>
              <w:spacing w:val="5"/>
              <w:sz w:val="24"/>
              <w:szCs w:val="24"/>
              <w:highlight w:val="none"/>
              <w:lang w:eastAsia="zh-CN"/>
            </w:rPr>
            <w:t>重要事项提示</w:t>
          </w:r>
          <w:r>
            <w:rPr>
              <w:sz w:val="24"/>
              <w:szCs w:val="24"/>
              <w:highlight w:val="none"/>
            </w:rPr>
            <w:tab/>
          </w:r>
          <w:r>
            <w:rPr>
              <w:sz w:val="24"/>
              <w:szCs w:val="24"/>
              <w:highlight w:val="none"/>
            </w:rPr>
            <w:fldChar w:fldCharType="begin"/>
          </w:r>
          <w:r>
            <w:rPr>
              <w:sz w:val="24"/>
              <w:szCs w:val="24"/>
              <w:highlight w:val="none"/>
            </w:rPr>
            <w:instrText xml:space="preserve"> PAGEREF _Toc19145 \h </w:instrText>
          </w:r>
          <w:r>
            <w:rPr>
              <w:sz w:val="24"/>
              <w:szCs w:val="24"/>
              <w:highlight w:val="none"/>
            </w:rPr>
            <w:fldChar w:fldCharType="separate"/>
          </w:r>
          <w:r>
            <w:rPr>
              <w:sz w:val="24"/>
              <w:szCs w:val="24"/>
              <w:highlight w:val="none"/>
            </w:rPr>
            <w:t>2</w:t>
          </w:r>
          <w:r>
            <w:rPr>
              <w:sz w:val="24"/>
              <w:szCs w:val="24"/>
              <w:highlight w:val="none"/>
            </w:rPr>
            <w:fldChar w:fldCharType="end"/>
          </w:r>
          <w:r>
            <w:rPr>
              <w:rFonts w:ascii="宋体" w:hAnsi="宋体" w:eastAsia="宋体" w:cs="宋体"/>
              <w:color w:val="auto"/>
              <w:sz w:val="24"/>
              <w:szCs w:val="24"/>
              <w:highlight w:val="none"/>
              <w:lang w:eastAsia="zh-CN"/>
            </w:rPr>
            <w:fldChar w:fldCharType="end"/>
          </w:r>
        </w:p>
        <w:p w14:paraId="4AEEFA3D">
          <w:pPr>
            <w:pStyle w:val="24"/>
            <w:keepNext w:val="0"/>
            <w:keepLines w:val="0"/>
            <w:pageBreakBefore w:val="0"/>
            <w:widowControl/>
            <w:tabs>
              <w:tab w:val="right" w:leader="dot" w:pos="8802"/>
            </w:tabs>
            <w:kinsoku/>
            <w:wordWrap/>
            <w:overflowPunct/>
            <w:topLinePunct w:val="0"/>
            <w:autoSpaceDE/>
            <w:autoSpaceDN/>
            <w:bidi w:val="0"/>
            <w:adjustRightInd/>
            <w:snapToGrid/>
            <w:spacing w:line="600" w:lineRule="exact"/>
            <w:textAlignment w:val="auto"/>
            <w:rPr>
              <w:sz w:val="24"/>
              <w:szCs w:val="24"/>
              <w:highlight w:val="none"/>
            </w:rPr>
          </w:pPr>
          <w:r>
            <w:rPr>
              <w:rFonts w:ascii="宋体" w:hAnsi="宋体" w:eastAsia="宋体" w:cs="宋体"/>
              <w:color w:val="auto"/>
              <w:sz w:val="24"/>
              <w:szCs w:val="24"/>
              <w:highlight w:val="none"/>
              <w:lang w:eastAsia="zh-CN"/>
            </w:rPr>
            <w:fldChar w:fldCharType="begin"/>
          </w:r>
          <w:r>
            <w:rPr>
              <w:rFonts w:ascii="宋体" w:hAnsi="宋体" w:eastAsia="宋体" w:cs="宋体"/>
              <w:sz w:val="24"/>
              <w:szCs w:val="24"/>
              <w:highlight w:val="none"/>
              <w:lang w:eastAsia="zh-CN"/>
            </w:rPr>
            <w:instrText xml:space="preserve"> HYPERLINK \l _Toc3283 </w:instrText>
          </w:r>
          <w:r>
            <w:rPr>
              <w:rFonts w:ascii="宋体" w:hAnsi="宋体" w:eastAsia="宋体" w:cs="宋体"/>
              <w:sz w:val="24"/>
              <w:szCs w:val="24"/>
              <w:highlight w:val="none"/>
              <w:lang w:eastAsia="zh-CN"/>
            </w:rPr>
            <w:fldChar w:fldCharType="separate"/>
          </w:r>
          <w:r>
            <w:rPr>
              <w:rFonts w:ascii="宋体" w:hAnsi="宋体" w:eastAsia="宋体" w:cs="宋体"/>
              <w:bCs/>
              <w:spacing w:val="5"/>
              <w:sz w:val="24"/>
              <w:szCs w:val="24"/>
              <w:highlight w:val="none"/>
              <w:lang w:eastAsia="zh-CN"/>
            </w:rPr>
            <w:t>第一章</w:t>
          </w:r>
          <w:r>
            <w:rPr>
              <w:rFonts w:ascii="宋体" w:hAnsi="宋体" w:eastAsia="宋体" w:cs="宋体"/>
              <w:spacing w:val="5"/>
              <w:sz w:val="24"/>
              <w:szCs w:val="24"/>
              <w:highlight w:val="none"/>
              <w:lang w:eastAsia="zh-CN"/>
            </w:rPr>
            <w:t xml:space="preserve">   </w:t>
          </w:r>
          <w:r>
            <w:rPr>
              <w:rFonts w:ascii="宋体" w:hAnsi="宋体" w:eastAsia="宋体" w:cs="宋体"/>
              <w:bCs/>
              <w:spacing w:val="5"/>
              <w:sz w:val="24"/>
              <w:szCs w:val="24"/>
              <w:highlight w:val="none"/>
              <w:lang w:eastAsia="zh-CN"/>
            </w:rPr>
            <w:t>招标公告</w:t>
          </w:r>
          <w:r>
            <w:rPr>
              <w:sz w:val="24"/>
              <w:szCs w:val="24"/>
              <w:highlight w:val="none"/>
            </w:rPr>
            <w:tab/>
          </w:r>
          <w:r>
            <w:rPr>
              <w:sz w:val="24"/>
              <w:szCs w:val="24"/>
              <w:highlight w:val="none"/>
            </w:rPr>
            <w:fldChar w:fldCharType="begin"/>
          </w:r>
          <w:r>
            <w:rPr>
              <w:sz w:val="24"/>
              <w:szCs w:val="24"/>
              <w:highlight w:val="none"/>
            </w:rPr>
            <w:instrText xml:space="preserve"> PAGEREF _Toc3283 \h </w:instrText>
          </w:r>
          <w:r>
            <w:rPr>
              <w:sz w:val="24"/>
              <w:szCs w:val="24"/>
              <w:highlight w:val="none"/>
            </w:rPr>
            <w:fldChar w:fldCharType="separate"/>
          </w:r>
          <w:r>
            <w:rPr>
              <w:sz w:val="24"/>
              <w:szCs w:val="24"/>
              <w:highlight w:val="none"/>
            </w:rPr>
            <w:t>4</w:t>
          </w:r>
          <w:r>
            <w:rPr>
              <w:sz w:val="24"/>
              <w:szCs w:val="24"/>
              <w:highlight w:val="none"/>
            </w:rPr>
            <w:fldChar w:fldCharType="end"/>
          </w:r>
          <w:r>
            <w:rPr>
              <w:rFonts w:ascii="宋体" w:hAnsi="宋体" w:eastAsia="宋体" w:cs="宋体"/>
              <w:color w:val="auto"/>
              <w:sz w:val="24"/>
              <w:szCs w:val="24"/>
              <w:highlight w:val="none"/>
              <w:lang w:eastAsia="zh-CN"/>
            </w:rPr>
            <w:fldChar w:fldCharType="end"/>
          </w:r>
        </w:p>
        <w:p w14:paraId="138B795D">
          <w:pPr>
            <w:pStyle w:val="24"/>
            <w:keepNext w:val="0"/>
            <w:keepLines w:val="0"/>
            <w:pageBreakBefore w:val="0"/>
            <w:widowControl/>
            <w:tabs>
              <w:tab w:val="right" w:leader="dot" w:pos="8802"/>
            </w:tabs>
            <w:kinsoku/>
            <w:wordWrap/>
            <w:overflowPunct/>
            <w:topLinePunct w:val="0"/>
            <w:autoSpaceDE/>
            <w:autoSpaceDN/>
            <w:bidi w:val="0"/>
            <w:adjustRightInd/>
            <w:snapToGrid/>
            <w:spacing w:line="600" w:lineRule="exact"/>
            <w:textAlignment w:val="auto"/>
            <w:rPr>
              <w:sz w:val="24"/>
              <w:szCs w:val="24"/>
              <w:highlight w:val="none"/>
            </w:rPr>
          </w:pPr>
          <w:r>
            <w:rPr>
              <w:rFonts w:ascii="宋体" w:hAnsi="宋体" w:eastAsia="宋体" w:cs="宋体"/>
              <w:color w:val="auto"/>
              <w:sz w:val="24"/>
              <w:szCs w:val="24"/>
              <w:highlight w:val="none"/>
              <w:lang w:eastAsia="zh-CN"/>
            </w:rPr>
            <w:fldChar w:fldCharType="begin"/>
          </w:r>
          <w:r>
            <w:rPr>
              <w:rFonts w:ascii="宋体" w:hAnsi="宋体" w:eastAsia="宋体" w:cs="宋体"/>
              <w:sz w:val="24"/>
              <w:szCs w:val="24"/>
              <w:highlight w:val="none"/>
              <w:lang w:eastAsia="zh-CN"/>
            </w:rPr>
            <w:instrText xml:space="preserve"> HYPERLINK \l _Toc23671 </w:instrText>
          </w:r>
          <w:r>
            <w:rPr>
              <w:rFonts w:ascii="宋体" w:hAnsi="宋体" w:eastAsia="宋体" w:cs="宋体"/>
              <w:sz w:val="24"/>
              <w:szCs w:val="24"/>
              <w:highlight w:val="none"/>
              <w:lang w:eastAsia="zh-CN"/>
            </w:rPr>
            <w:fldChar w:fldCharType="separate"/>
          </w:r>
          <w:r>
            <w:rPr>
              <w:rFonts w:ascii="宋体" w:hAnsi="宋体" w:eastAsia="宋体" w:cs="宋体"/>
              <w:bCs/>
              <w:spacing w:val="5"/>
              <w:sz w:val="24"/>
              <w:szCs w:val="24"/>
              <w:highlight w:val="none"/>
              <w:lang w:eastAsia="zh-CN"/>
            </w:rPr>
            <w:t>第二章</w:t>
          </w:r>
          <w:r>
            <w:rPr>
              <w:rFonts w:ascii="宋体" w:hAnsi="宋体" w:eastAsia="宋体" w:cs="宋体"/>
              <w:spacing w:val="5"/>
              <w:sz w:val="24"/>
              <w:szCs w:val="24"/>
              <w:highlight w:val="none"/>
              <w:lang w:eastAsia="zh-CN"/>
            </w:rPr>
            <w:t xml:space="preserve">  </w:t>
          </w:r>
          <w:r>
            <w:rPr>
              <w:rFonts w:hint="eastAsia" w:ascii="宋体" w:hAnsi="宋体" w:cs="宋体"/>
              <w:bCs/>
              <w:spacing w:val="5"/>
              <w:sz w:val="24"/>
              <w:szCs w:val="24"/>
              <w:highlight w:val="none"/>
              <w:lang w:eastAsia="zh-CN"/>
            </w:rPr>
            <w:t>投标人</w:t>
          </w:r>
          <w:r>
            <w:rPr>
              <w:rFonts w:ascii="宋体" w:hAnsi="宋体" w:eastAsia="宋体" w:cs="宋体"/>
              <w:bCs/>
              <w:spacing w:val="5"/>
              <w:sz w:val="24"/>
              <w:szCs w:val="24"/>
              <w:highlight w:val="none"/>
              <w:lang w:eastAsia="zh-CN"/>
            </w:rPr>
            <w:t>须知</w:t>
          </w:r>
          <w:r>
            <w:rPr>
              <w:sz w:val="24"/>
              <w:szCs w:val="24"/>
              <w:highlight w:val="none"/>
            </w:rPr>
            <w:tab/>
          </w:r>
          <w:r>
            <w:rPr>
              <w:sz w:val="24"/>
              <w:szCs w:val="24"/>
              <w:highlight w:val="none"/>
            </w:rPr>
            <w:fldChar w:fldCharType="begin"/>
          </w:r>
          <w:r>
            <w:rPr>
              <w:sz w:val="24"/>
              <w:szCs w:val="24"/>
              <w:highlight w:val="none"/>
            </w:rPr>
            <w:instrText xml:space="preserve"> PAGEREF _Toc23671 \h </w:instrText>
          </w:r>
          <w:r>
            <w:rPr>
              <w:sz w:val="24"/>
              <w:szCs w:val="24"/>
              <w:highlight w:val="none"/>
            </w:rPr>
            <w:fldChar w:fldCharType="separate"/>
          </w:r>
          <w:r>
            <w:rPr>
              <w:sz w:val="24"/>
              <w:szCs w:val="24"/>
              <w:highlight w:val="none"/>
            </w:rPr>
            <w:t>8</w:t>
          </w:r>
          <w:r>
            <w:rPr>
              <w:sz w:val="24"/>
              <w:szCs w:val="24"/>
              <w:highlight w:val="none"/>
            </w:rPr>
            <w:fldChar w:fldCharType="end"/>
          </w:r>
          <w:r>
            <w:rPr>
              <w:rFonts w:ascii="宋体" w:hAnsi="宋体" w:eastAsia="宋体" w:cs="宋体"/>
              <w:color w:val="auto"/>
              <w:sz w:val="24"/>
              <w:szCs w:val="24"/>
              <w:highlight w:val="none"/>
              <w:lang w:eastAsia="zh-CN"/>
            </w:rPr>
            <w:fldChar w:fldCharType="end"/>
          </w:r>
        </w:p>
        <w:p w14:paraId="7EE7BCF2">
          <w:pPr>
            <w:pStyle w:val="24"/>
            <w:keepNext w:val="0"/>
            <w:keepLines w:val="0"/>
            <w:pageBreakBefore w:val="0"/>
            <w:widowControl/>
            <w:tabs>
              <w:tab w:val="right" w:leader="dot" w:pos="8802"/>
            </w:tabs>
            <w:kinsoku/>
            <w:wordWrap/>
            <w:overflowPunct/>
            <w:topLinePunct w:val="0"/>
            <w:autoSpaceDE/>
            <w:autoSpaceDN/>
            <w:bidi w:val="0"/>
            <w:adjustRightInd/>
            <w:snapToGrid/>
            <w:spacing w:line="600" w:lineRule="exact"/>
            <w:textAlignment w:val="auto"/>
            <w:rPr>
              <w:sz w:val="24"/>
              <w:szCs w:val="24"/>
              <w:highlight w:val="none"/>
            </w:rPr>
          </w:pPr>
          <w:r>
            <w:rPr>
              <w:rFonts w:ascii="宋体" w:hAnsi="宋体" w:eastAsia="宋体" w:cs="宋体"/>
              <w:color w:val="auto"/>
              <w:sz w:val="24"/>
              <w:szCs w:val="24"/>
              <w:highlight w:val="none"/>
              <w:lang w:eastAsia="zh-CN"/>
            </w:rPr>
            <w:fldChar w:fldCharType="begin"/>
          </w:r>
          <w:r>
            <w:rPr>
              <w:rFonts w:ascii="宋体" w:hAnsi="宋体" w:eastAsia="宋体" w:cs="宋体"/>
              <w:sz w:val="24"/>
              <w:szCs w:val="24"/>
              <w:highlight w:val="none"/>
              <w:lang w:eastAsia="zh-CN"/>
            </w:rPr>
            <w:instrText xml:space="preserve"> HYPERLINK \l _Toc14362 </w:instrText>
          </w:r>
          <w:r>
            <w:rPr>
              <w:rFonts w:ascii="宋体" w:hAnsi="宋体" w:eastAsia="宋体" w:cs="宋体"/>
              <w:sz w:val="24"/>
              <w:szCs w:val="24"/>
              <w:highlight w:val="none"/>
              <w:lang w:eastAsia="zh-CN"/>
            </w:rPr>
            <w:fldChar w:fldCharType="separate"/>
          </w:r>
          <w:r>
            <w:rPr>
              <w:rFonts w:ascii="宋体" w:hAnsi="宋体" w:eastAsia="宋体" w:cs="宋体"/>
              <w:bCs/>
              <w:spacing w:val="6"/>
              <w:sz w:val="24"/>
              <w:szCs w:val="24"/>
              <w:highlight w:val="none"/>
              <w:lang w:eastAsia="zh-CN"/>
            </w:rPr>
            <w:t>第三章</w:t>
          </w:r>
          <w:r>
            <w:rPr>
              <w:rFonts w:ascii="宋体" w:hAnsi="宋体" w:eastAsia="宋体" w:cs="宋体"/>
              <w:spacing w:val="6"/>
              <w:sz w:val="24"/>
              <w:szCs w:val="24"/>
              <w:highlight w:val="none"/>
              <w:lang w:eastAsia="zh-CN"/>
            </w:rPr>
            <w:t xml:space="preserve"> </w:t>
          </w:r>
          <w:r>
            <w:rPr>
              <w:rFonts w:ascii="宋体" w:hAnsi="宋体" w:eastAsia="宋体" w:cs="宋体"/>
              <w:bCs/>
              <w:spacing w:val="6"/>
              <w:sz w:val="24"/>
              <w:szCs w:val="24"/>
              <w:highlight w:val="none"/>
              <w:lang w:eastAsia="zh-CN"/>
            </w:rPr>
            <w:t>评标办法（综合评分法）</w:t>
          </w:r>
          <w:r>
            <w:rPr>
              <w:sz w:val="24"/>
              <w:szCs w:val="24"/>
              <w:highlight w:val="none"/>
            </w:rPr>
            <w:tab/>
          </w:r>
          <w:r>
            <w:rPr>
              <w:sz w:val="24"/>
              <w:szCs w:val="24"/>
              <w:highlight w:val="none"/>
            </w:rPr>
            <w:fldChar w:fldCharType="begin"/>
          </w:r>
          <w:r>
            <w:rPr>
              <w:sz w:val="24"/>
              <w:szCs w:val="24"/>
              <w:highlight w:val="none"/>
            </w:rPr>
            <w:instrText xml:space="preserve"> PAGEREF _Toc14362 \h </w:instrText>
          </w:r>
          <w:r>
            <w:rPr>
              <w:sz w:val="24"/>
              <w:szCs w:val="24"/>
              <w:highlight w:val="none"/>
            </w:rPr>
            <w:fldChar w:fldCharType="separate"/>
          </w:r>
          <w:r>
            <w:rPr>
              <w:sz w:val="24"/>
              <w:szCs w:val="24"/>
              <w:highlight w:val="none"/>
            </w:rPr>
            <w:t>24</w:t>
          </w:r>
          <w:r>
            <w:rPr>
              <w:sz w:val="24"/>
              <w:szCs w:val="24"/>
              <w:highlight w:val="none"/>
            </w:rPr>
            <w:fldChar w:fldCharType="end"/>
          </w:r>
          <w:r>
            <w:rPr>
              <w:rFonts w:ascii="宋体" w:hAnsi="宋体" w:eastAsia="宋体" w:cs="宋体"/>
              <w:color w:val="auto"/>
              <w:sz w:val="24"/>
              <w:szCs w:val="24"/>
              <w:highlight w:val="none"/>
              <w:lang w:eastAsia="zh-CN"/>
            </w:rPr>
            <w:fldChar w:fldCharType="end"/>
          </w:r>
        </w:p>
        <w:p w14:paraId="299D0C08">
          <w:pPr>
            <w:pStyle w:val="24"/>
            <w:keepNext w:val="0"/>
            <w:keepLines w:val="0"/>
            <w:pageBreakBefore w:val="0"/>
            <w:widowControl/>
            <w:tabs>
              <w:tab w:val="right" w:leader="dot" w:pos="8802"/>
            </w:tabs>
            <w:kinsoku/>
            <w:wordWrap/>
            <w:overflowPunct/>
            <w:topLinePunct w:val="0"/>
            <w:autoSpaceDE/>
            <w:autoSpaceDN/>
            <w:bidi w:val="0"/>
            <w:adjustRightInd/>
            <w:snapToGrid/>
            <w:spacing w:line="600" w:lineRule="exact"/>
            <w:textAlignment w:val="auto"/>
            <w:rPr>
              <w:sz w:val="24"/>
              <w:szCs w:val="24"/>
              <w:highlight w:val="none"/>
            </w:rPr>
          </w:pPr>
          <w:r>
            <w:rPr>
              <w:rFonts w:ascii="宋体" w:hAnsi="宋体" w:eastAsia="宋体" w:cs="宋体"/>
              <w:color w:val="auto"/>
              <w:sz w:val="24"/>
              <w:szCs w:val="24"/>
              <w:highlight w:val="none"/>
              <w:lang w:eastAsia="zh-CN"/>
            </w:rPr>
            <w:fldChar w:fldCharType="begin"/>
          </w:r>
          <w:r>
            <w:rPr>
              <w:rFonts w:ascii="宋体" w:hAnsi="宋体" w:eastAsia="宋体" w:cs="宋体"/>
              <w:sz w:val="24"/>
              <w:szCs w:val="24"/>
              <w:highlight w:val="none"/>
              <w:lang w:eastAsia="zh-CN"/>
            </w:rPr>
            <w:instrText xml:space="preserve"> HYPERLINK \l _Toc6847 </w:instrText>
          </w:r>
          <w:r>
            <w:rPr>
              <w:rFonts w:ascii="宋体" w:hAnsi="宋体" w:eastAsia="宋体" w:cs="宋体"/>
              <w:sz w:val="24"/>
              <w:szCs w:val="24"/>
              <w:highlight w:val="none"/>
              <w:lang w:eastAsia="zh-CN"/>
            </w:rPr>
            <w:fldChar w:fldCharType="separate"/>
          </w:r>
          <w:r>
            <w:rPr>
              <w:rFonts w:ascii="宋体" w:hAnsi="宋体" w:eastAsia="宋体" w:cs="宋体"/>
              <w:bCs/>
              <w:spacing w:val="6"/>
              <w:sz w:val="24"/>
              <w:szCs w:val="24"/>
              <w:highlight w:val="none"/>
              <w:lang w:eastAsia="zh-CN"/>
            </w:rPr>
            <w:t>第四章</w:t>
          </w:r>
          <w:r>
            <w:rPr>
              <w:rFonts w:ascii="宋体" w:hAnsi="宋体" w:eastAsia="宋体" w:cs="宋体"/>
              <w:spacing w:val="6"/>
              <w:sz w:val="24"/>
              <w:szCs w:val="24"/>
              <w:highlight w:val="none"/>
              <w:lang w:eastAsia="zh-CN"/>
            </w:rPr>
            <w:t xml:space="preserve"> </w:t>
          </w:r>
          <w:r>
            <w:rPr>
              <w:rFonts w:ascii="宋体" w:hAnsi="宋体" w:eastAsia="宋体" w:cs="宋体"/>
              <w:bCs/>
              <w:spacing w:val="6"/>
              <w:sz w:val="24"/>
              <w:szCs w:val="24"/>
              <w:highlight w:val="none"/>
              <w:lang w:eastAsia="zh-CN"/>
            </w:rPr>
            <w:t>合同条款及格式</w:t>
          </w:r>
          <w:r>
            <w:rPr>
              <w:rFonts w:ascii="宋体" w:hAnsi="宋体" w:eastAsia="宋体" w:cs="宋体"/>
              <w:spacing w:val="6"/>
              <w:sz w:val="24"/>
              <w:szCs w:val="24"/>
              <w:highlight w:val="none"/>
              <w:lang w:eastAsia="zh-CN"/>
            </w:rPr>
            <w:t xml:space="preserve"> </w:t>
          </w:r>
          <w:r>
            <w:rPr>
              <w:rFonts w:ascii="宋体" w:hAnsi="宋体" w:eastAsia="宋体" w:cs="宋体"/>
              <w:bCs/>
              <w:spacing w:val="6"/>
              <w:sz w:val="24"/>
              <w:szCs w:val="24"/>
              <w:highlight w:val="none"/>
              <w:lang w:eastAsia="zh-CN"/>
            </w:rPr>
            <w:t>（仅供参考）</w:t>
          </w:r>
          <w:r>
            <w:rPr>
              <w:sz w:val="24"/>
              <w:szCs w:val="24"/>
              <w:highlight w:val="none"/>
            </w:rPr>
            <w:tab/>
          </w:r>
          <w:r>
            <w:rPr>
              <w:sz w:val="24"/>
              <w:szCs w:val="24"/>
              <w:highlight w:val="none"/>
            </w:rPr>
            <w:fldChar w:fldCharType="begin"/>
          </w:r>
          <w:r>
            <w:rPr>
              <w:sz w:val="24"/>
              <w:szCs w:val="24"/>
              <w:highlight w:val="none"/>
            </w:rPr>
            <w:instrText xml:space="preserve"> PAGEREF _Toc6847 \h </w:instrText>
          </w:r>
          <w:r>
            <w:rPr>
              <w:sz w:val="24"/>
              <w:szCs w:val="24"/>
              <w:highlight w:val="none"/>
            </w:rPr>
            <w:fldChar w:fldCharType="separate"/>
          </w:r>
          <w:r>
            <w:rPr>
              <w:sz w:val="24"/>
              <w:szCs w:val="24"/>
              <w:highlight w:val="none"/>
            </w:rPr>
            <w:t>29</w:t>
          </w:r>
          <w:r>
            <w:rPr>
              <w:sz w:val="24"/>
              <w:szCs w:val="24"/>
              <w:highlight w:val="none"/>
            </w:rPr>
            <w:fldChar w:fldCharType="end"/>
          </w:r>
          <w:r>
            <w:rPr>
              <w:rFonts w:ascii="宋体" w:hAnsi="宋体" w:eastAsia="宋体" w:cs="宋体"/>
              <w:color w:val="auto"/>
              <w:sz w:val="24"/>
              <w:szCs w:val="24"/>
              <w:highlight w:val="none"/>
              <w:lang w:eastAsia="zh-CN"/>
            </w:rPr>
            <w:fldChar w:fldCharType="end"/>
          </w:r>
        </w:p>
        <w:p w14:paraId="5C5FB21E">
          <w:pPr>
            <w:pStyle w:val="24"/>
            <w:keepNext w:val="0"/>
            <w:keepLines w:val="0"/>
            <w:pageBreakBefore w:val="0"/>
            <w:widowControl/>
            <w:tabs>
              <w:tab w:val="right" w:leader="dot" w:pos="8802"/>
            </w:tabs>
            <w:kinsoku/>
            <w:wordWrap/>
            <w:overflowPunct/>
            <w:topLinePunct w:val="0"/>
            <w:autoSpaceDE/>
            <w:autoSpaceDN/>
            <w:bidi w:val="0"/>
            <w:adjustRightInd/>
            <w:snapToGrid/>
            <w:spacing w:line="600" w:lineRule="exact"/>
            <w:textAlignment w:val="auto"/>
            <w:rPr>
              <w:sz w:val="24"/>
              <w:szCs w:val="24"/>
              <w:highlight w:val="none"/>
            </w:rPr>
          </w:pPr>
          <w:r>
            <w:rPr>
              <w:rFonts w:ascii="宋体" w:hAnsi="宋体" w:eastAsia="宋体" w:cs="宋体"/>
              <w:color w:val="auto"/>
              <w:sz w:val="24"/>
              <w:szCs w:val="24"/>
              <w:highlight w:val="none"/>
              <w:lang w:eastAsia="zh-CN"/>
            </w:rPr>
            <w:fldChar w:fldCharType="begin"/>
          </w:r>
          <w:r>
            <w:rPr>
              <w:rFonts w:ascii="宋体" w:hAnsi="宋体" w:eastAsia="宋体" w:cs="宋体"/>
              <w:sz w:val="24"/>
              <w:szCs w:val="24"/>
              <w:highlight w:val="none"/>
              <w:lang w:eastAsia="zh-CN"/>
            </w:rPr>
            <w:instrText xml:space="preserve"> HYPERLINK \l _Toc5601 </w:instrText>
          </w:r>
          <w:r>
            <w:rPr>
              <w:rFonts w:ascii="宋体" w:hAnsi="宋体" w:eastAsia="宋体" w:cs="宋体"/>
              <w:sz w:val="24"/>
              <w:szCs w:val="24"/>
              <w:highlight w:val="none"/>
              <w:lang w:eastAsia="zh-CN"/>
            </w:rPr>
            <w:fldChar w:fldCharType="separate"/>
          </w:r>
          <w:r>
            <w:rPr>
              <w:rFonts w:ascii="宋体" w:hAnsi="宋体" w:eastAsia="宋体" w:cs="宋体"/>
              <w:bCs/>
              <w:spacing w:val="6"/>
              <w:sz w:val="24"/>
              <w:szCs w:val="24"/>
              <w:highlight w:val="none"/>
              <w:lang w:eastAsia="zh-CN"/>
            </w:rPr>
            <w:t>第五章</w:t>
          </w:r>
          <w:r>
            <w:rPr>
              <w:rFonts w:ascii="宋体" w:hAnsi="宋体" w:eastAsia="宋体" w:cs="宋体"/>
              <w:spacing w:val="6"/>
              <w:sz w:val="24"/>
              <w:szCs w:val="24"/>
              <w:highlight w:val="none"/>
              <w:lang w:eastAsia="zh-CN"/>
            </w:rPr>
            <w:t xml:space="preserve"> </w:t>
          </w:r>
          <w:r>
            <w:rPr>
              <w:rFonts w:ascii="宋体" w:hAnsi="宋体" w:eastAsia="宋体" w:cs="宋体"/>
              <w:bCs/>
              <w:spacing w:val="6"/>
              <w:sz w:val="24"/>
              <w:szCs w:val="24"/>
              <w:highlight w:val="none"/>
              <w:lang w:eastAsia="zh-CN"/>
            </w:rPr>
            <w:t>采购内容及技术要求</w:t>
          </w:r>
          <w:r>
            <w:rPr>
              <w:sz w:val="24"/>
              <w:szCs w:val="24"/>
              <w:highlight w:val="none"/>
            </w:rPr>
            <w:tab/>
          </w:r>
          <w:r>
            <w:rPr>
              <w:sz w:val="24"/>
              <w:szCs w:val="24"/>
              <w:highlight w:val="none"/>
            </w:rPr>
            <w:fldChar w:fldCharType="begin"/>
          </w:r>
          <w:r>
            <w:rPr>
              <w:sz w:val="24"/>
              <w:szCs w:val="24"/>
              <w:highlight w:val="none"/>
            </w:rPr>
            <w:instrText xml:space="preserve"> PAGEREF _Toc5601 \h </w:instrText>
          </w:r>
          <w:r>
            <w:rPr>
              <w:sz w:val="24"/>
              <w:szCs w:val="24"/>
              <w:highlight w:val="none"/>
            </w:rPr>
            <w:fldChar w:fldCharType="separate"/>
          </w:r>
          <w:r>
            <w:rPr>
              <w:sz w:val="24"/>
              <w:szCs w:val="24"/>
              <w:highlight w:val="none"/>
            </w:rPr>
            <w:t>31</w:t>
          </w:r>
          <w:r>
            <w:rPr>
              <w:sz w:val="24"/>
              <w:szCs w:val="24"/>
              <w:highlight w:val="none"/>
            </w:rPr>
            <w:fldChar w:fldCharType="end"/>
          </w:r>
          <w:r>
            <w:rPr>
              <w:rFonts w:ascii="宋体" w:hAnsi="宋体" w:eastAsia="宋体" w:cs="宋体"/>
              <w:color w:val="auto"/>
              <w:sz w:val="24"/>
              <w:szCs w:val="24"/>
              <w:highlight w:val="none"/>
              <w:lang w:eastAsia="zh-CN"/>
            </w:rPr>
            <w:fldChar w:fldCharType="end"/>
          </w:r>
        </w:p>
        <w:p w14:paraId="59929FB6">
          <w:pPr>
            <w:pStyle w:val="24"/>
            <w:keepNext w:val="0"/>
            <w:keepLines w:val="0"/>
            <w:pageBreakBefore w:val="0"/>
            <w:widowControl/>
            <w:tabs>
              <w:tab w:val="right" w:leader="dot" w:pos="8802"/>
            </w:tabs>
            <w:kinsoku/>
            <w:wordWrap/>
            <w:overflowPunct/>
            <w:topLinePunct w:val="0"/>
            <w:autoSpaceDE/>
            <w:autoSpaceDN/>
            <w:bidi w:val="0"/>
            <w:adjustRightInd/>
            <w:snapToGrid/>
            <w:spacing w:line="600" w:lineRule="exact"/>
            <w:textAlignment w:val="auto"/>
            <w:rPr>
              <w:sz w:val="24"/>
              <w:szCs w:val="24"/>
              <w:highlight w:val="none"/>
            </w:rPr>
          </w:pPr>
          <w:r>
            <w:rPr>
              <w:rFonts w:ascii="宋体" w:hAnsi="宋体" w:eastAsia="宋体" w:cs="宋体"/>
              <w:color w:val="auto"/>
              <w:sz w:val="24"/>
              <w:szCs w:val="24"/>
              <w:highlight w:val="none"/>
              <w:lang w:eastAsia="zh-CN"/>
            </w:rPr>
            <w:fldChar w:fldCharType="begin"/>
          </w:r>
          <w:r>
            <w:rPr>
              <w:rFonts w:ascii="宋体" w:hAnsi="宋体" w:eastAsia="宋体" w:cs="宋体"/>
              <w:sz w:val="24"/>
              <w:szCs w:val="24"/>
              <w:highlight w:val="none"/>
              <w:lang w:eastAsia="zh-CN"/>
            </w:rPr>
            <w:instrText xml:space="preserve"> HYPERLINK \l _Toc26778 </w:instrText>
          </w:r>
          <w:r>
            <w:rPr>
              <w:rFonts w:ascii="宋体" w:hAnsi="宋体" w:eastAsia="宋体" w:cs="宋体"/>
              <w:sz w:val="24"/>
              <w:szCs w:val="24"/>
              <w:highlight w:val="none"/>
              <w:lang w:eastAsia="zh-CN"/>
            </w:rPr>
            <w:fldChar w:fldCharType="separate"/>
          </w:r>
          <w:r>
            <w:rPr>
              <w:rFonts w:ascii="宋体" w:hAnsi="宋体" w:eastAsia="宋体" w:cs="宋体"/>
              <w:bCs/>
              <w:spacing w:val="5"/>
              <w:sz w:val="24"/>
              <w:szCs w:val="24"/>
              <w:highlight w:val="none"/>
              <w:lang w:eastAsia="zh-CN"/>
            </w:rPr>
            <w:t>第六章</w:t>
          </w:r>
          <w:r>
            <w:rPr>
              <w:rFonts w:ascii="宋体" w:hAnsi="宋体" w:eastAsia="宋体" w:cs="宋体"/>
              <w:spacing w:val="5"/>
              <w:sz w:val="24"/>
              <w:szCs w:val="24"/>
              <w:highlight w:val="none"/>
              <w:lang w:eastAsia="zh-CN"/>
            </w:rPr>
            <w:t xml:space="preserve"> </w:t>
          </w:r>
          <w:r>
            <w:rPr>
              <w:rFonts w:ascii="宋体" w:hAnsi="宋体" w:eastAsia="宋体" w:cs="宋体"/>
              <w:bCs/>
              <w:spacing w:val="5"/>
              <w:sz w:val="24"/>
              <w:szCs w:val="24"/>
              <w:highlight w:val="none"/>
              <w:lang w:eastAsia="zh-CN"/>
            </w:rPr>
            <w:t>质疑与投诉</w:t>
          </w:r>
          <w:r>
            <w:rPr>
              <w:sz w:val="24"/>
              <w:szCs w:val="24"/>
              <w:highlight w:val="none"/>
            </w:rPr>
            <w:tab/>
          </w:r>
          <w:r>
            <w:rPr>
              <w:sz w:val="24"/>
              <w:szCs w:val="24"/>
              <w:highlight w:val="none"/>
            </w:rPr>
            <w:fldChar w:fldCharType="begin"/>
          </w:r>
          <w:r>
            <w:rPr>
              <w:sz w:val="24"/>
              <w:szCs w:val="24"/>
              <w:highlight w:val="none"/>
            </w:rPr>
            <w:instrText xml:space="preserve"> PAGEREF _Toc26778 \h </w:instrText>
          </w:r>
          <w:r>
            <w:rPr>
              <w:sz w:val="24"/>
              <w:szCs w:val="24"/>
              <w:highlight w:val="none"/>
            </w:rPr>
            <w:fldChar w:fldCharType="separate"/>
          </w:r>
          <w:r>
            <w:rPr>
              <w:sz w:val="24"/>
              <w:szCs w:val="24"/>
              <w:highlight w:val="none"/>
            </w:rPr>
            <w:t>64</w:t>
          </w:r>
          <w:r>
            <w:rPr>
              <w:sz w:val="24"/>
              <w:szCs w:val="24"/>
              <w:highlight w:val="none"/>
            </w:rPr>
            <w:fldChar w:fldCharType="end"/>
          </w:r>
          <w:r>
            <w:rPr>
              <w:rFonts w:ascii="宋体" w:hAnsi="宋体" w:eastAsia="宋体" w:cs="宋体"/>
              <w:color w:val="auto"/>
              <w:sz w:val="24"/>
              <w:szCs w:val="24"/>
              <w:highlight w:val="none"/>
              <w:lang w:eastAsia="zh-CN"/>
            </w:rPr>
            <w:fldChar w:fldCharType="end"/>
          </w:r>
        </w:p>
        <w:p w14:paraId="0B43D030">
          <w:pPr>
            <w:pStyle w:val="24"/>
            <w:keepNext w:val="0"/>
            <w:keepLines w:val="0"/>
            <w:pageBreakBefore w:val="0"/>
            <w:widowControl/>
            <w:tabs>
              <w:tab w:val="right" w:leader="dot" w:pos="8802"/>
            </w:tabs>
            <w:kinsoku/>
            <w:wordWrap/>
            <w:overflowPunct/>
            <w:topLinePunct w:val="0"/>
            <w:autoSpaceDE/>
            <w:autoSpaceDN/>
            <w:bidi w:val="0"/>
            <w:adjustRightInd/>
            <w:snapToGrid/>
            <w:spacing w:line="600" w:lineRule="exact"/>
            <w:textAlignment w:val="auto"/>
            <w:rPr>
              <w:sz w:val="24"/>
              <w:szCs w:val="24"/>
              <w:highlight w:val="none"/>
            </w:rPr>
          </w:pPr>
          <w:r>
            <w:rPr>
              <w:rFonts w:ascii="宋体" w:hAnsi="宋体" w:eastAsia="宋体" w:cs="宋体"/>
              <w:color w:val="auto"/>
              <w:sz w:val="24"/>
              <w:szCs w:val="24"/>
              <w:highlight w:val="none"/>
              <w:lang w:eastAsia="zh-CN"/>
            </w:rPr>
            <w:fldChar w:fldCharType="begin"/>
          </w:r>
          <w:r>
            <w:rPr>
              <w:rFonts w:ascii="宋体" w:hAnsi="宋体" w:eastAsia="宋体" w:cs="宋体"/>
              <w:sz w:val="24"/>
              <w:szCs w:val="24"/>
              <w:highlight w:val="none"/>
              <w:lang w:eastAsia="zh-CN"/>
            </w:rPr>
            <w:instrText xml:space="preserve"> HYPERLINK \l _Toc19009 </w:instrText>
          </w:r>
          <w:r>
            <w:rPr>
              <w:rFonts w:ascii="宋体" w:hAnsi="宋体" w:eastAsia="宋体" w:cs="宋体"/>
              <w:sz w:val="24"/>
              <w:szCs w:val="24"/>
              <w:highlight w:val="none"/>
              <w:lang w:eastAsia="zh-CN"/>
            </w:rPr>
            <w:fldChar w:fldCharType="separate"/>
          </w:r>
          <w:r>
            <w:rPr>
              <w:rFonts w:ascii="宋体" w:hAnsi="宋体" w:eastAsia="宋体" w:cs="宋体"/>
              <w:bCs/>
              <w:spacing w:val="3"/>
              <w:sz w:val="24"/>
              <w:szCs w:val="24"/>
              <w:highlight w:val="none"/>
              <w:lang w:eastAsia="zh-CN"/>
            </w:rPr>
            <w:t>第七章</w:t>
          </w:r>
          <w:r>
            <w:rPr>
              <w:rFonts w:ascii="宋体" w:hAnsi="宋体" w:eastAsia="宋体" w:cs="宋体"/>
              <w:spacing w:val="27"/>
              <w:sz w:val="24"/>
              <w:szCs w:val="24"/>
              <w:highlight w:val="none"/>
              <w:lang w:eastAsia="zh-CN"/>
            </w:rPr>
            <w:t xml:space="preserve"> </w:t>
          </w:r>
          <w:r>
            <w:rPr>
              <w:rFonts w:ascii="宋体" w:hAnsi="宋体" w:eastAsia="宋体" w:cs="宋体"/>
              <w:bCs/>
              <w:spacing w:val="3"/>
              <w:sz w:val="24"/>
              <w:szCs w:val="24"/>
              <w:highlight w:val="none"/>
              <w:lang w:eastAsia="zh-CN"/>
            </w:rPr>
            <w:t>履约验收</w:t>
          </w:r>
          <w:r>
            <w:rPr>
              <w:sz w:val="24"/>
              <w:szCs w:val="24"/>
              <w:highlight w:val="none"/>
            </w:rPr>
            <w:tab/>
          </w:r>
          <w:r>
            <w:rPr>
              <w:sz w:val="24"/>
              <w:szCs w:val="24"/>
              <w:highlight w:val="none"/>
            </w:rPr>
            <w:fldChar w:fldCharType="begin"/>
          </w:r>
          <w:r>
            <w:rPr>
              <w:sz w:val="24"/>
              <w:szCs w:val="24"/>
              <w:highlight w:val="none"/>
            </w:rPr>
            <w:instrText xml:space="preserve"> PAGEREF _Toc19009 \h </w:instrText>
          </w:r>
          <w:r>
            <w:rPr>
              <w:sz w:val="24"/>
              <w:szCs w:val="24"/>
              <w:highlight w:val="none"/>
            </w:rPr>
            <w:fldChar w:fldCharType="separate"/>
          </w:r>
          <w:r>
            <w:rPr>
              <w:sz w:val="24"/>
              <w:szCs w:val="24"/>
              <w:highlight w:val="none"/>
            </w:rPr>
            <w:t>66</w:t>
          </w:r>
          <w:r>
            <w:rPr>
              <w:sz w:val="24"/>
              <w:szCs w:val="24"/>
              <w:highlight w:val="none"/>
            </w:rPr>
            <w:fldChar w:fldCharType="end"/>
          </w:r>
          <w:r>
            <w:rPr>
              <w:rFonts w:ascii="宋体" w:hAnsi="宋体" w:eastAsia="宋体" w:cs="宋体"/>
              <w:color w:val="auto"/>
              <w:sz w:val="24"/>
              <w:szCs w:val="24"/>
              <w:highlight w:val="none"/>
              <w:lang w:eastAsia="zh-CN"/>
            </w:rPr>
            <w:fldChar w:fldCharType="end"/>
          </w:r>
        </w:p>
        <w:p w14:paraId="625CE47A">
          <w:pPr>
            <w:pStyle w:val="24"/>
            <w:keepNext w:val="0"/>
            <w:keepLines w:val="0"/>
            <w:pageBreakBefore w:val="0"/>
            <w:widowControl/>
            <w:tabs>
              <w:tab w:val="right" w:leader="dot" w:pos="8802"/>
            </w:tabs>
            <w:kinsoku/>
            <w:wordWrap/>
            <w:overflowPunct/>
            <w:topLinePunct w:val="0"/>
            <w:autoSpaceDE/>
            <w:autoSpaceDN/>
            <w:bidi w:val="0"/>
            <w:adjustRightInd/>
            <w:snapToGrid/>
            <w:spacing w:line="600" w:lineRule="exact"/>
            <w:textAlignment w:val="auto"/>
            <w:rPr>
              <w:highlight w:val="none"/>
            </w:rPr>
          </w:pPr>
          <w:r>
            <w:rPr>
              <w:rFonts w:ascii="宋体" w:hAnsi="宋体" w:eastAsia="宋体" w:cs="宋体"/>
              <w:color w:val="auto"/>
              <w:sz w:val="24"/>
              <w:szCs w:val="24"/>
              <w:highlight w:val="none"/>
              <w:lang w:eastAsia="zh-CN"/>
            </w:rPr>
            <w:fldChar w:fldCharType="begin"/>
          </w:r>
          <w:r>
            <w:rPr>
              <w:rFonts w:ascii="宋体" w:hAnsi="宋体" w:eastAsia="宋体" w:cs="宋体"/>
              <w:sz w:val="24"/>
              <w:szCs w:val="24"/>
              <w:highlight w:val="none"/>
              <w:lang w:eastAsia="zh-CN"/>
            </w:rPr>
            <w:instrText xml:space="preserve"> HYPERLINK \l _Toc1367 </w:instrText>
          </w:r>
          <w:r>
            <w:rPr>
              <w:rFonts w:ascii="宋体" w:hAnsi="宋体" w:eastAsia="宋体" w:cs="宋体"/>
              <w:sz w:val="24"/>
              <w:szCs w:val="24"/>
              <w:highlight w:val="none"/>
              <w:lang w:eastAsia="zh-CN"/>
            </w:rPr>
            <w:fldChar w:fldCharType="separate"/>
          </w:r>
          <w:r>
            <w:rPr>
              <w:rFonts w:ascii="宋体" w:hAnsi="宋体" w:eastAsia="宋体" w:cs="宋体"/>
              <w:bCs/>
              <w:spacing w:val="6"/>
              <w:sz w:val="24"/>
              <w:szCs w:val="24"/>
              <w:highlight w:val="none"/>
              <w:lang w:eastAsia="zh-CN"/>
            </w:rPr>
            <w:t>第八章</w:t>
          </w:r>
          <w:r>
            <w:rPr>
              <w:rFonts w:ascii="宋体" w:hAnsi="宋体" w:eastAsia="宋体" w:cs="宋体"/>
              <w:spacing w:val="6"/>
              <w:sz w:val="24"/>
              <w:szCs w:val="24"/>
              <w:highlight w:val="none"/>
              <w:lang w:eastAsia="zh-CN"/>
            </w:rPr>
            <w:t xml:space="preserve">  </w:t>
          </w:r>
          <w:r>
            <w:rPr>
              <w:rFonts w:ascii="宋体" w:hAnsi="宋体" w:eastAsia="宋体" w:cs="宋体"/>
              <w:bCs/>
              <w:spacing w:val="6"/>
              <w:sz w:val="24"/>
              <w:szCs w:val="24"/>
              <w:highlight w:val="none"/>
              <w:lang w:eastAsia="zh-CN"/>
            </w:rPr>
            <w:t>投标文件格式</w:t>
          </w:r>
          <w:r>
            <w:rPr>
              <w:sz w:val="24"/>
              <w:szCs w:val="24"/>
              <w:highlight w:val="none"/>
            </w:rPr>
            <w:tab/>
          </w:r>
          <w:r>
            <w:rPr>
              <w:sz w:val="24"/>
              <w:szCs w:val="24"/>
              <w:highlight w:val="none"/>
            </w:rPr>
            <w:fldChar w:fldCharType="begin"/>
          </w:r>
          <w:r>
            <w:rPr>
              <w:sz w:val="24"/>
              <w:szCs w:val="24"/>
              <w:highlight w:val="none"/>
            </w:rPr>
            <w:instrText xml:space="preserve"> PAGEREF _Toc1367 \h </w:instrText>
          </w:r>
          <w:r>
            <w:rPr>
              <w:sz w:val="24"/>
              <w:szCs w:val="24"/>
              <w:highlight w:val="none"/>
            </w:rPr>
            <w:fldChar w:fldCharType="separate"/>
          </w:r>
          <w:r>
            <w:rPr>
              <w:sz w:val="24"/>
              <w:szCs w:val="24"/>
              <w:highlight w:val="none"/>
            </w:rPr>
            <w:t>67</w:t>
          </w:r>
          <w:r>
            <w:rPr>
              <w:sz w:val="24"/>
              <w:szCs w:val="24"/>
              <w:highlight w:val="none"/>
            </w:rPr>
            <w:fldChar w:fldCharType="end"/>
          </w:r>
          <w:r>
            <w:rPr>
              <w:rFonts w:ascii="宋体" w:hAnsi="宋体" w:eastAsia="宋体" w:cs="宋体"/>
              <w:color w:val="auto"/>
              <w:sz w:val="24"/>
              <w:szCs w:val="24"/>
              <w:highlight w:val="none"/>
              <w:lang w:eastAsia="zh-CN"/>
            </w:rPr>
            <w:fldChar w:fldCharType="end"/>
          </w:r>
        </w:p>
        <w:p w14:paraId="0BA0ECB3">
          <w:pPr>
            <w:pStyle w:val="24"/>
            <w:tabs>
              <w:tab w:val="right" w:leader="dot" w:pos="8802"/>
            </w:tabs>
            <w:rPr>
              <w:highlight w:val="none"/>
            </w:rPr>
          </w:pPr>
        </w:p>
        <w:p w14:paraId="77FDF185">
          <w:pPr>
            <w:spacing w:line="219" w:lineRule="auto"/>
            <w:rPr>
              <w:rFonts w:ascii="宋体" w:hAnsi="宋体" w:eastAsia="宋体" w:cs="宋体"/>
              <w:snapToGrid w:val="0"/>
              <w:color w:val="auto"/>
              <w:sz w:val="21"/>
              <w:szCs w:val="24"/>
              <w:highlight w:val="none"/>
              <w:lang w:val="en-US" w:eastAsia="zh-CN" w:bidi="ar-SA"/>
            </w:rPr>
          </w:pPr>
          <w:r>
            <w:rPr>
              <w:rFonts w:ascii="宋体" w:hAnsi="宋体" w:eastAsia="宋体" w:cs="宋体"/>
              <w:color w:val="auto"/>
              <w:szCs w:val="24"/>
              <w:highlight w:val="none"/>
              <w:lang w:eastAsia="zh-CN"/>
            </w:rPr>
            <w:fldChar w:fldCharType="end"/>
          </w:r>
        </w:p>
      </w:sdtContent>
    </w:sdt>
    <w:p w14:paraId="687C6C7D">
      <w:pPr>
        <w:spacing w:line="219" w:lineRule="auto"/>
        <w:rPr>
          <w:rFonts w:ascii="宋体" w:hAnsi="宋体" w:eastAsia="宋体" w:cs="宋体"/>
          <w:snapToGrid w:val="0"/>
          <w:color w:val="auto"/>
          <w:sz w:val="21"/>
          <w:szCs w:val="24"/>
          <w:highlight w:val="none"/>
          <w:lang w:val="en-US" w:eastAsia="zh-CN" w:bidi="ar-SA"/>
        </w:rPr>
        <w:sectPr>
          <w:footerReference r:id="rId3" w:type="default"/>
          <w:pgSz w:w="11907" w:h="16840"/>
          <w:pgMar w:top="1431" w:right="1519" w:bottom="1139" w:left="1586" w:header="0" w:footer="976" w:gutter="0"/>
          <w:pgNumType w:start="1"/>
          <w:cols w:space="720" w:num="1"/>
        </w:sectPr>
      </w:pPr>
    </w:p>
    <w:p w14:paraId="7F265410">
      <w:pPr>
        <w:spacing w:before="137" w:line="225" w:lineRule="auto"/>
        <w:ind w:left="3447"/>
        <w:outlineLvl w:val="0"/>
        <w:rPr>
          <w:rFonts w:ascii="宋体" w:hAnsi="宋体" w:eastAsia="宋体" w:cs="宋体"/>
          <w:color w:val="auto"/>
          <w:sz w:val="31"/>
          <w:szCs w:val="31"/>
          <w:highlight w:val="none"/>
          <w:lang w:eastAsia="zh-CN"/>
        </w:rPr>
      </w:pPr>
      <w:bookmarkStart w:id="6" w:name="bookmark1"/>
      <w:bookmarkEnd w:id="6"/>
      <w:bookmarkStart w:id="7" w:name="_Toc19145"/>
      <w:r>
        <w:rPr>
          <w:rFonts w:ascii="宋体" w:hAnsi="宋体" w:eastAsia="宋体" w:cs="宋体"/>
          <w:b/>
          <w:bCs/>
          <w:color w:val="auto"/>
          <w:spacing w:val="5"/>
          <w:sz w:val="31"/>
          <w:szCs w:val="31"/>
          <w:highlight w:val="none"/>
          <w:lang w:eastAsia="zh-CN"/>
        </w:rPr>
        <w:t>重要事项提示</w:t>
      </w:r>
      <w:bookmarkEnd w:id="7"/>
    </w:p>
    <w:p w14:paraId="4C629ECC">
      <w:pPr>
        <w:pStyle w:val="5"/>
        <w:spacing w:line="436" w:lineRule="auto"/>
        <w:rPr>
          <w:color w:val="auto"/>
          <w:highlight w:val="none"/>
          <w:lang w:eastAsia="zh-CN"/>
        </w:rPr>
      </w:pPr>
    </w:p>
    <w:p w14:paraId="5FD92FEB">
      <w:pPr>
        <w:keepNext w:val="0"/>
        <w:keepLines w:val="0"/>
        <w:pageBreakBefore w:val="0"/>
        <w:widowControl/>
        <w:kinsoku w:val="0"/>
        <w:wordWrap/>
        <w:overflowPunct/>
        <w:topLinePunct w:val="0"/>
        <w:autoSpaceDE w:val="0"/>
        <w:autoSpaceDN w:val="0"/>
        <w:bidi w:val="0"/>
        <w:adjustRightInd w:val="0"/>
        <w:snapToGrid w:val="0"/>
        <w:spacing w:before="78" w:line="440" w:lineRule="exact"/>
        <w:ind w:left="4"/>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各潜在</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w:t>
      </w:r>
    </w:p>
    <w:p w14:paraId="2AC0C6AD">
      <w:pPr>
        <w:keepNext w:val="0"/>
        <w:keepLines w:val="0"/>
        <w:pageBreakBefore w:val="0"/>
        <w:widowControl/>
        <w:kinsoku w:val="0"/>
        <w:wordWrap/>
        <w:overflowPunct/>
        <w:topLinePunct w:val="0"/>
        <w:autoSpaceDE w:val="0"/>
        <w:autoSpaceDN w:val="0"/>
        <w:bidi w:val="0"/>
        <w:adjustRightInd w:val="0"/>
        <w:snapToGrid w:val="0"/>
        <w:spacing w:before="216" w:line="440" w:lineRule="exact"/>
        <w:ind w:left="4" w:right="99" w:firstLine="504"/>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以下环节是此采购文件中需要重点关注的环节，对以下内容的忽视，可能</w:t>
      </w:r>
      <w:r>
        <w:rPr>
          <w:rFonts w:ascii="宋体" w:hAnsi="宋体" w:eastAsia="宋体" w:cs="宋体"/>
          <w:color w:val="auto"/>
          <w:spacing w:val="-4"/>
          <w:sz w:val="24"/>
          <w:szCs w:val="24"/>
          <w:highlight w:val="none"/>
          <w:lang w:eastAsia="zh-CN"/>
        </w:rPr>
        <w:t>是影响</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贵公司中标的重要因素。请在编制相应文件参与政府采购时高度重视。</w:t>
      </w:r>
    </w:p>
    <w:p w14:paraId="440DAFD8">
      <w:pPr>
        <w:keepNext w:val="0"/>
        <w:keepLines w:val="0"/>
        <w:pageBreakBefore w:val="0"/>
        <w:widowControl/>
        <w:kinsoku w:val="0"/>
        <w:wordWrap/>
        <w:overflowPunct/>
        <w:topLinePunct w:val="0"/>
        <w:autoSpaceDE w:val="0"/>
        <w:autoSpaceDN w:val="0"/>
        <w:bidi w:val="0"/>
        <w:adjustRightInd w:val="0"/>
        <w:snapToGrid w:val="0"/>
        <w:spacing w:before="36" w:line="440" w:lineRule="exact"/>
        <w:ind w:right="99" w:firstLine="498"/>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1.采购文件应通过焦作市公共资源交易中心网站会员系统进行网上下载；未使用</w:t>
      </w:r>
      <w:r>
        <w:rPr>
          <w:rFonts w:ascii="宋体" w:hAnsi="宋体" w:eastAsia="宋体" w:cs="宋体"/>
          <w:color w:val="auto"/>
          <w:spacing w:val="10"/>
          <w:sz w:val="24"/>
          <w:szCs w:val="24"/>
          <w:highlight w:val="none"/>
          <w:lang w:eastAsia="zh-CN"/>
        </w:rPr>
        <w:t xml:space="preserve"> </w:t>
      </w:r>
      <w:r>
        <w:rPr>
          <w:rFonts w:ascii="宋体" w:hAnsi="宋体" w:eastAsia="宋体" w:cs="宋体"/>
          <w:color w:val="auto"/>
          <w:spacing w:val="-2"/>
          <w:sz w:val="24"/>
          <w:szCs w:val="24"/>
          <w:highlight w:val="none"/>
          <w:lang w:eastAsia="zh-CN"/>
        </w:rPr>
        <w:t>企业 CA 密匙登录焦作市公共资源交易中心网站会员系统进行网上下载文件的，</w:t>
      </w:r>
      <w:r>
        <w:rPr>
          <w:rFonts w:ascii="宋体" w:hAnsi="宋体" w:eastAsia="宋体" w:cs="宋体"/>
          <w:color w:val="auto"/>
          <w:spacing w:val="-3"/>
          <w:sz w:val="24"/>
          <w:szCs w:val="24"/>
          <w:highlight w:val="none"/>
          <w:lang w:eastAsia="zh-CN"/>
        </w:rPr>
        <w:t>投标</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视为无效；</w:t>
      </w:r>
    </w:p>
    <w:p w14:paraId="4A7CA159">
      <w:pPr>
        <w:keepNext w:val="0"/>
        <w:keepLines w:val="0"/>
        <w:pageBreakBefore w:val="0"/>
        <w:widowControl/>
        <w:kinsoku w:val="0"/>
        <w:wordWrap/>
        <w:overflowPunct/>
        <w:topLinePunct w:val="0"/>
        <w:autoSpaceDE w:val="0"/>
        <w:autoSpaceDN w:val="0"/>
        <w:bidi w:val="0"/>
        <w:adjustRightInd w:val="0"/>
        <w:snapToGrid w:val="0"/>
        <w:spacing w:before="30" w:line="440" w:lineRule="exact"/>
        <w:ind w:right="88" w:firstLine="484"/>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2.本项目采用“远程不见面</w:t>
      </w:r>
      <w:r>
        <w:rPr>
          <w:rFonts w:ascii="宋体" w:hAnsi="宋体" w:eastAsia="宋体" w:cs="宋体"/>
          <w:color w:val="auto"/>
          <w:spacing w:val="-88"/>
          <w:sz w:val="24"/>
          <w:szCs w:val="24"/>
          <w:highlight w:val="none"/>
          <w:lang w:eastAsia="zh-CN"/>
        </w:rPr>
        <w:t xml:space="preserve"> </w:t>
      </w:r>
      <w:r>
        <w:rPr>
          <w:rFonts w:ascii="宋体" w:hAnsi="宋体" w:eastAsia="宋体" w:cs="宋体"/>
          <w:color w:val="auto"/>
          <w:spacing w:val="-3"/>
          <w:sz w:val="24"/>
          <w:szCs w:val="24"/>
          <w:highlight w:val="none"/>
          <w:lang w:eastAsia="zh-CN"/>
        </w:rPr>
        <w:t>”的开标方式，潜在</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可提前在</w:t>
      </w:r>
      <w:r>
        <w:rPr>
          <w:rFonts w:ascii="宋体" w:hAnsi="宋体" w:eastAsia="宋体" w:cs="宋体"/>
          <w:color w:val="auto"/>
          <w:spacing w:val="-4"/>
          <w:sz w:val="24"/>
          <w:szCs w:val="24"/>
          <w:highlight w:val="none"/>
          <w:lang w:eastAsia="zh-CN"/>
        </w:rPr>
        <w:t>焦作市交易中心</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官网首页---下载中心--下载《焦作市电子招投标系统操作手册》和《焦作市公共资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源交易平台不见面开标操作手册》、《投标文件制作工作工具》等，查看操作说明，</w:t>
      </w:r>
      <w:r>
        <w:rPr>
          <w:rFonts w:ascii="宋体" w:hAnsi="宋体" w:eastAsia="宋体" w:cs="宋体"/>
          <w:color w:val="auto"/>
          <w:spacing w:val="7"/>
          <w:sz w:val="24"/>
          <w:szCs w:val="24"/>
          <w:highlight w:val="none"/>
          <w:lang w:eastAsia="zh-CN"/>
        </w:rPr>
        <w:t xml:space="preserve"> </w:t>
      </w:r>
      <w:r>
        <w:rPr>
          <w:rFonts w:ascii="宋体" w:hAnsi="宋体" w:eastAsia="宋体" w:cs="宋体"/>
          <w:color w:val="auto"/>
          <w:spacing w:val="-2"/>
          <w:sz w:val="24"/>
          <w:szCs w:val="24"/>
          <w:highlight w:val="none"/>
          <w:lang w:eastAsia="zh-CN"/>
        </w:rPr>
        <w:t>按要求进行投标文件制作和上传等。为避免网络拥堵等不可控因素影响投</w:t>
      </w:r>
      <w:r>
        <w:rPr>
          <w:rFonts w:ascii="宋体" w:hAnsi="宋体" w:eastAsia="宋体" w:cs="宋体"/>
          <w:color w:val="auto"/>
          <w:spacing w:val="-3"/>
          <w:sz w:val="24"/>
          <w:szCs w:val="24"/>
          <w:highlight w:val="none"/>
          <w:lang w:eastAsia="zh-CN"/>
        </w:rPr>
        <w:t>标文件的上</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传，请提前上传投标文件，按要求解密投标文件。因文件未及时上传导致</w:t>
      </w:r>
      <w:r>
        <w:rPr>
          <w:rFonts w:ascii="宋体" w:hAnsi="宋体" w:eastAsia="宋体" w:cs="宋体"/>
          <w:color w:val="auto"/>
          <w:spacing w:val="-3"/>
          <w:sz w:val="24"/>
          <w:szCs w:val="24"/>
          <w:highlight w:val="none"/>
          <w:lang w:eastAsia="zh-CN"/>
        </w:rPr>
        <w:t>投标失败的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6"/>
          <w:sz w:val="24"/>
          <w:szCs w:val="24"/>
          <w:highlight w:val="none"/>
          <w:lang w:eastAsia="zh-CN"/>
        </w:rPr>
        <w:t>责任由</w:t>
      </w:r>
      <w:r>
        <w:rPr>
          <w:rFonts w:hint="eastAsia" w:ascii="宋体" w:hAnsi="宋体" w:eastAsia="宋体" w:cs="宋体"/>
          <w:color w:val="auto"/>
          <w:spacing w:val="16"/>
          <w:sz w:val="24"/>
          <w:szCs w:val="24"/>
          <w:highlight w:val="none"/>
          <w:lang w:eastAsia="zh-CN"/>
        </w:rPr>
        <w:t>投标人</w:t>
      </w:r>
      <w:r>
        <w:rPr>
          <w:rFonts w:ascii="宋体" w:hAnsi="宋体" w:eastAsia="宋体" w:cs="宋体"/>
          <w:color w:val="auto"/>
          <w:spacing w:val="16"/>
          <w:sz w:val="24"/>
          <w:szCs w:val="24"/>
          <w:highlight w:val="none"/>
          <w:lang w:eastAsia="zh-CN"/>
        </w:rPr>
        <w:t>自行承担</w:t>
      </w:r>
      <w:r>
        <w:rPr>
          <w:rFonts w:ascii="宋体" w:hAnsi="宋体" w:eastAsia="宋体" w:cs="宋体"/>
          <w:color w:val="auto"/>
          <w:spacing w:val="-53"/>
          <w:sz w:val="24"/>
          <w:szCs w:val="24"/>
          <w:highlight w:val="none"/>
          <w:lang w:eastAsia="zh-CN"/>
        </w:rPr>
        <w:t xml:space="preserve"> </w:t>
      </w:r>
      <w:r>
        <w:rPr>
          <w:rFonts w:ascii="宋体" w:hAnsi="宋体" w:eastAsia="宋体" w:cs="宋体"/>
          <w:color w:val="auto"/>
          <w:spacing w:val="16"/>
          <w:sz w:val="24"/>
          <w:szCs w:val="24"/>
          <w:highlight w:val="none"/>
          <w:lang w:eastAsia="zh-CN"/>
        </w:rPr>
        <w:t>，具体要求详见招标文件</w:t>
      </w:r>
      <w:r>
        <w:rPr>
          <w:rFonts w:ascii="宋体" w:hAnsi="宋体" w:eastAsia="宋体" w:cs="宋体"/>
          <w:color w:val="auto"/>
          <w:spacing w:val="-63"/>
          <w:sz w:val="24"/>
          <w:szCs w:val="24"/>
          <w:highlight w:val="none"/>
          <w:lang w:eastAsia="zh-CN"/>
        </w:rPr>
        <w:t xml:space="preserve"> </w:t>
      </w:r>
      <w:r>
        <w:rPr>
          <w:rFonts w:ascii="宋体" w:hAnsi="宋体" w:eastAsia="宋体" w:cs="宋体"/>
          <w:color w:val="auto"/>
          <w:spacing w:val="16"/>
          <w:sz w:val="24"/>
          <w:szCs w:val="24"/>
          <w:highlight w:val="none"/>
          <w:lang w:eastAsia="zh-CN"/>
        </w:rPr>
        <w:t>。</w:t>
      </w:r>
      <w:r>
        <w:rPr>
          <w:rFonts w:ascii="宋体" w:hAnsi="宋体" w:eastAsia="宋体" w:cs="宋体"/>
          <w:color w:val="auto"/>
          <w:spacing w:val="54"/>
          <w:sz w:val="24"/>
          <w:szCs w:val="24"/>
          <w:highlight w:val="none"/>
          <w:lang w:eastAsia="zh-CN"/>
        </w:rPr>
        <w:t xml:space="preserve"> </w:t>
      </w:r>
      <w:r>
        <w:rPr>
          <w:rFonts w:ascii="宋体" w:hAnsi="宋体" w:eastAsia="宋体" w:cs="宋体"/>
          <w:color w:val="auto"/>
          <w:spacing w:val="16"/>
          <w:sz w:val="24"/>
          <w:szCs w:val="24"/>
          <w:highlight w:val="none"/>
          <w:lang w:eastAsia="zh-CN"/>
        </w:rPr>
        <w:t>平台统一技术服务电话：</w:t>
      </w:r>
      <w:r>
        <w:rPr>
          <w:rFonts w:ascii="宋体" w:hAnsi="宋体" w:eastAsia="宋体" w:cs="宋体"/>
          <w:color w:val="auto"/>
          <w:sz w:val="24"/>
          <w:szCs w:val="24"/>
          <w:highlight w:val="none"/>
          <w:lang w:eastAsia="zh-CN"/>
        </w:rPr>
        <w:t xml:space="preserve"> 400-998-0000，服务 QQ：4008503300，服务时间：周一至周日 8：</w:t>
      </w:r>
      <w:r>
        <w:rPr>
          <w:rFonts w:ascii="宋体" w:hAnsi="宋体" w:eastAsia="宋体" w:cs="宋体"/>
          <w:color w:val="auto"/>
          <w:spacing w:val="-1"/>
          <w:sz w:val="24"/>
          <w:szCs w:val="24"/>
          <w:highlight w:val="none"/>
          <w:lang w:eastAsia="zh-CN"/>
        </w:rPr>
        <w:t>00-17：30。</w:t>
      </w:r>
    </w:p>
    <w:p w14:paraId="18368900">
      <w:pPr>
        <w:keepNext w:val="0"/>
        <w:keepLines w:val="0"/>
        <w:pageBreakBefore w:val="0"/>
        <w:widowControl/>
        <w:kinsoku w:val="0"/>
        <w:wordWrap/>
        <w:overflowPunct/>
        <w:topLinePunct w:val="0"/>
        <w:autoSpaceDE w:val="0"/>
        <w:autoSpaceDN w:val="0"/>
        <w:bidi w:val="0"/>
        <w:adjustRightInd w:val="0"/>
        <w:snapToGrid w:val="0"/>
        <w:spacing w:before="35" w:line="440" w:lineRule="exact"/>
        <w:ind w:left="2" w:right="99" w:firstLine="481"/>
        <w:textAlignment w:val="baseline"/>
        <w:rPr>
          <w:rFonts w:ascii="宋体" w:hAnsi="宋体" w:eastAsia="宋体" w:cs="宋体"/>
          <w:color w:val="auto"/>
          <w:sz w:val="24"/>
          <w:szCs w:val="24"/>
          <w:highlight w:val="none"/>
          <w:lang w:eastAsia="zh-CN"/>
        </w:rPr>
      </w:pP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无需到现场参加开标会议，无需到达现场提</w:t>
      </w:r>
      <w:r>
        <w:rPr>
          <w:rFonts w:ascii="宋体" w:hAnsi="宋体" w:eastAsia="宋体" w:cs="宋体"/>
          <w:color w:val="auto"/>
          <w:spacing w:val="-3"/>
          <w:sz w:val="24"/>
          <w:szCs w:val="24"/>
          <w:highlight w:val="none"/>
          <w:lang w:eastAsia="zh-CN"/>
        </w:rPr>
        <w:t>交原件资料。</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应当准时</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参加开标活动并进行文件解密、答疑澄清等。加密电子投标文件须在</w:t>
      </w:r>
      <w:r>
        <w:rPr>
          <w:rFonts w:ascii="宋体" w:hAnsi="宋体" w:eastAsia="宋体" w:cs="宋体"/>
          <w:color w:val="auto"/>
          <w:spacing w:val="-3"/>
          <w:sz w:val="24"/>
          <w:szCs w:val="24"/>
          <w:highlight w:val="none"/>
          <w:lang w:eastAsia="zh-CN"/>
        </w:rPr>
        <w:t>焦作市公共资源</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交易中心电子交易平台中加密上传，上传时必须得到电脑“上传成功</w:t>
      </w:r>
      <w:r>
        <w:rPr>
          <w:rFonts w:ascii="宋体" w:hAnsi="宋体" w:eastAsia="宋体" w:cs="宋体"/>
          <w:color w:val="auto"/>
          <w:spacing w:val="-88"/>
          <w:sz w:val="24"/>
          <w:szCs w:val="24"/>
          <w:highlight w:val="none"/>
          <w:lang w:eastAsia="zh-CN"/>
        </w:rPr>
        <w:t xml:space="preserve"> </w:t>
      </w:r>
      <w:r>
        <w:rPr>
          <w:rFonts w:ascii="宋体" w:hAnsi="宋体" w:eastAsia="宋体" w:cs="宋体"/>
          <w:color w:val="auto"/>
          <w:spacing w:val="-3"/>
          <w:sz w:val="24"/>
          <w:szCs w:val="24"/>
          <w:highlight w:val="none"/>
          <w:lang w:eastAsia="zh-CN"/>
        </w:rPr>
        <w:t>”的确认回</w:t>
      </w:r>
      <w:r>
        <w:rPr>
          <w:rFonts w:ascii="宋体" w:hAnsi="宋体" w:eastAsia="宋体" w:cs="宋体"/>
          <w:color w:val="auto"/>
          <w:spacing w:val="-4"/>
          <w:sz w:val="24"/>
          <w:szCs w:val="24"/>
          <w:highlight w:val="none"/>
          <w:lang w:eastAsia="zh-CN"/>
        </w:rPr>
        <w:t>复后</w:t>
      </w:r>
      <w:r>
        <w:rPr>
          <w:rFonts w:ascii="宋体" w:hAnsi="宋体" w:eastAsia="宋体" w:cs="宋体"/>
          <w:color w:val="auto"/>
          <w:sz w:val="24"/>
          <w:szCs w:val="24"/>
          <w:highlight w:val="none"/>
          <w:lang w:eastAsia="zh-CN"/>
        </w:rPr>
        <w:t xml:space="preserve"> 方为上传成功。在规定时间内投标文件未解密</w:t>
      </w:r>
      <w:r>
        <w:rPr>
          <w:rFonts w:ascii="宋体" w:hAnsi="宋体" w:eastAsia="宋体" w:cs="宋体"/>
          <w:color w:val="auto"/>
          <w:spacing w:val="-1"/>
          <w:sz w:val="24"/>
          <w:szCs w:val="24"/>
          <w:highlight w:val="none"/>
          <w:lang w:eastAsia="zh-CN"/>
        </w:rPr>
        <w:t>的</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，视为放弃投标。</w:t>
      </w:r>
    </w:p>
    <w:p w14:paraId="757F79DE">
      <w:pPr>
        <w:keepNext w:val="0"/>
        <w:keepLines w:val="0"/>
        <w:pageBreakBefore w:val="0"/>
        <w:widowControl/>
        <w:kinsoku w:val="0"/>
        <w:wordWrap/>
        <w:overflowPunct/>
        <w:topLinePunct w:val="0"/>
        <w:autoSpaceDE w:val="0"/>
        <w:autoSpaceDN w:val="0"/>
        <w:bidi w:val="0"/>
        <w:adjustRightInd w:val="0"/>
        <w:snapToGrid w:val="0"/>
        <w:spacing w:before="35" w:line="440" w:lineRule="exact"/>
        <w:ind w:left="486"/>
        <w:textAlignment w:val="baseline"/>
        <w:outlineLvl w:val="1"/>
        <w:rPr>
          <w:rFonts w:ascii="宋体" w:hAnsi="宋体" w:eastAsia="宋体" w:cs="宋体"/>
          <w:color w:val="auto"/>
          <w:sz w:val="24"/>
          <w:szCs w:val="24"/>
          <w:highlight w:val="none"/>
          <w:lang w:eastAsia="zh-CN"/>
        </w:rPr>
      </w:pPr>
      <w:bookmarkStart w:id="8" w:name="_Toc17280"/>
      <w:r>
        <w:rPr>
          <w:rFonts w:ascii="宋体" w:hAnsi="宋体" w:eastAsia="宋体" w:cs="宋体"/>
          <w:color w:val="auto"/>
          <w:spacing w:val="-1"/>
          <w:sz w:val="24"/>
          <w:szCs w:val="24"/>
          <w:highlight w:val="none"/>
          <w:lang w:eastAsia="zh-CN"/>
        </w:rPr>
        <w:t>3.有下列情形之一的，将作为自动放弃、无效投标或废标处理：</w:t>
      </w:r>
      <w:bookmarkEnd w:id="8"/>
    </w:p>
    <w:p w14:paraId="0D936B40">
      <w:pPr>
        <w:keepNext w:val="0"/>
        <w:keepLines w:val="0"/>
        <w:pageBreakBefore w:val="0"/>
        <w:widowControl/>
        <w:kinsoku w:val="0"/>
        <w:wordWrap/>
        <w:overflowPunct/>
        <w:topLinePunct w:val="0"/>
        <w:autoSpaceDE w:val="0"/>
        <w:autoSpaceDN w:val="0"/>
        <w:bidi w:val="0"/>
        <w:adjustRightInd w:val="0"/>
        <w:snapToGrid w:val="0"/>
        <w:spacing w:before="214" w:line="440" w:lineRule="exact"/>
        <w:jc w:val="right"/>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（1）在投标文件中对同一采购项目有两个或多个报价，且未</w:t>
      </w:r>
      <w:r>
        <w:rPr>
          <w:rFonts w:ascii="宋体" w:hAnsi="宋体" w:eastAsia="宋体" w:cs="宋体"/>
          <w:color w:val="auto"/>
          <w:spacing w:val="-5"/>
          <w:sz w:val="24"/>
          <w:szCs w:val="24"/>
          <w:highlight w:val="none"/>
          <w:lang w:eastAsia="zh-CN"/>
        </w:rPr>
        <w:t>声明哪一个有效的；</w:t>
      </w:r>
    </w:p>
    <w:p w14:paraId="768197D9">
      <w:pPr>
        <w:keepNext w:val="0"/>
        <w:keepLines w:val="0"/>
        <w:pageBreakBefore w:val="0"/>
        <w:widowControl/>
        <w:kinsoku w:val="0"/>
        <w:wordWrap/>
        <w:overflowPunct/>
        <w:topLinePunct w:val="0"/>
        <w:autoSpaceDE w:val="0"/>
        <w:autoSpaceDN w:val="0"/>
        <w:bidi w:val="0"/>
        <w:adjustRightInd w:val="0"/>
        <w:snapToGrid w:val="0"/>
        <w:spacing w:before="218" w:line="440" w:lineRule="exact"/>
        <w:ind w:left="5" w:firstLine="487"/>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（2）响应文件的关键内容（采购报价</w:t>
      </w:r>
      <w:r>
        <w:rPr>
          <w:rFonts w:hint="eastAsia" w:ascii="宋体" w:hAnsi="宋体" w:eastAsia="宋体" w:cs="宋体"/>
          <w:color w:val="auto"/>
          <w:spacing w:val="-3"/>
          <w:sz w:val="24"/>
          <w:szCs w:val="24"/>
          <w:highlight w:val="none"/>
          <w:lang w:eastAsia="zh-CN"/>
        </w:rPr>
        <w:t>、</w:t>
      </w:r>
      <w:r>
        <w:rPr>
          <w:rFonts w:hint="eastAsia" w:ascii="宋体" w:hAnsi="宋体" w:eastAsia="宋体" w:cs="宋体"/>
          <w:color w:val="auto"/>
          <w:spacing w:val="-3"/>
          <w:sz w:val="24"/>
          <w:szCs w:val="24"/>
          <w:highlight w:val="none"/>
          <w:lang w:val="en-US" w:eastAsia="zh-CN"/>
        </w:rPr>
        <w:t>合同履行期限</w:t>
      </w:r>
      <w:r>
        <w:rPr>
          <w:rFonts w:ascii="宋体" w:hAnsi="宋体" w:eastAsia="宋体" w:cs="宋体"/>
          <w:color w:val="auto"/>
          <w:spacing w:val="-3"/>
          <w:sz w:val="24"/>
          <w:szCs w:val="24"/>
          <w:highlight w:val="none"/>
          <w:lang w:eastAsia="zh-CN"/>
        </w:rPr>
        <w:t>、质量标准、品牌</w:t>
      </w:r>
      <w:r>
        <w:rPr>
          <w:rFonts w:ascii="宋体" w:hAnsi="宋体" w:eastAsia="宋体" w:cs="宋体"/>
          <w:color w:val="auto"/>
          <w:spacing w:val="-4"/>
          <w:sz w:val="24"/>
          <w:szCs w:val="24"/>
          <w:highlight w:val="none"/>
          <w:lang w:eastAsia="zh-CN"/>
        </w:rPr>
        <w:t>、型号等）</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未填写或填写字迹模糊无法辨认的；</w:t>
      </w:r>
    </w:p>
    <w:p w14:paraId="26B83645">
      <w:pPr>
        <w:keepNext w:val="0"/>
        <w:keepLines w:val="0"/>
        <w:pageBreakBefore w:val="0"/>
        <w:widowControl/>
        <w:kinsoku w:val="0"/>
        <w:wordWrap/>
        <w:overflowPunct/>
        <w:topLinePunct w:val="0"/>
        <w:autoSpaceDE w:val="0"/>
        <w:autoSpaceDN w:val="0"/>
        <w:bidi w:val="0"/>
        <w:adjustRightInd w:val="0"/>
        <w:snapToGrid w:val="0"/>
        <w:spacing w:before="214" w:line="440" w:lineRule="exact"/>
        <w:ind w:left="493"/>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（3）采购报价超出控制价的；</w:t>
      </w:r>
    </w:p>
    <w:p w14:paraId="26517D1D">
      <w:pPr>
        <w:keepNext w:val="0"/>
        <w:keepLines w:val="0"/>
        <w:pageBreakBefore w:val="0"/>
        <w:widowControl/>
        <w:kinsoku w:val="0"/>
        <w:wordWrap/>
        <w:overflowPunct/>
        <w:topLinePunct w:val="0"/>
        <w:autoSpaceDE w:val="0"/>
        <w:autoSpaceDN w:val="0"/>
        <w:bidi w:val="0"/>
        <w:adjustRightInd w:val="0"/>
        <w:snapToGrid w:val="0"/>
        <w:spacing w:before="218" w:line="440" w:lineRule="exact"/>
        <w:ind w:left="493"/>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（4）投标文件中附有采购人不能接受的条件的；</w:t>
      </w:r>
    </w:p>
    <w:p w14:paraId="2E2A845B">
      <w:pPr>
        <w:keepNext w:val="0"/>
        <w:keepLines w:val="0"/>
        <w:pageBreakBefore w:val="0"/>
        <w:widowControl/>
        <w:kinsoku w:val="0"/>
        <w:wordWrap/>
        <w:overflowPunct/>
        <w:topLinePunct w:val="0"/>
        <w:autoSpaceDE w:val="0"/>
        <w:autoSpaceDN w:val="0"/>
        <w:bidi w:val="0"/>
        <w:adjustRightInd w:val="0"/>
        <w:snapToGrid w:val="0"/>
        <w:spacing w:before="214" w:line="440" w:lineRule="exact"/>
        <w:ind w:left="493"/>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（5）投标文件有明显不符合采购文件其它要求和有关法律法规的；</w:t>
      </w:r>
    </w:p>
    <w:p w14:paraId="623967BD">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宋体" w:hAnsi="宋体" w:eastAsia="宋体" w:cs="宋体"/>
          <w:color w:val="auto"/>
          <w:sz w:val="24"/>
          <w:szCs w:val="24"/>
          <w:highlight w:val="none"/>
          <w:lang w:eastAsia="zh-CN"/>
        </w:rPr>
        <w:sectPr>
          <w:footerReference r:id="rId4" w:type="default"/>
          <w:pgSz w:w="11907" w:h="16840"/>
          <w:pgMar w:top="1431" w:right="1420" w:bottom="1139" w:left="1584" w:header="0" w:footer="977" w:gutter="0"/>
          <w:cols w:space="720" w:num="1"/>
        </w:sectPr>
      </w:pPr>
    </w:p>
    <w:p w14:paraId="68A04815">
      <w:pPr>
        <w:keepNext w:val="0"/>
        <w:keepLines w:val="0"/>
        <w:pageBreakBefore w:val="0"/>
        <w:widowControl/>
        <w:kinsoku w:val="0"/>
        <w:wordWrap/>
        <w:overflowPunct/>
        <w:topLinePunct w:val="0"/>
        <w:autoSpaceDE w:val="0"/>
        <w:autoSpaceDN w:val="0"/>
        <w:bidi w:val="0"/>
        <w:adjustRightInd w:val="0"/>
        <w:snapToGrid w:val="0"/>
        <w:spacing w:before="203" w:line="440" w:lineRule="exact"/>
        <w:ind w:firstLine="490"/>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（6）如因两个或两个以上</w:t>
      </w:r>
      <w:r>
        <w:rPr>
          <w:rFonts w:hint="eastAsia" w:ascii="宋体" w:hAnsi="宋体" w:eastAsia="宋体" w:cs="宋体"/>
          <w:color w:val="auto"/>
          <w:spacing w:val="-4"/>
          <w:sz w:val="24"/>
          <w:szCs w:val="24"/>
          <w:highlight w:val="none"/>
          <w:lang w:eastAsia="zh-CN"/>
        </w:rPr>
        <w:t>投标人</w:t>
      </w:r>
      <w:r>
        <w:rPr>
          <w:rFonts w:ascii="宋体" w:hAnsi="宋体" w:eastAsia="宋体" w:cs="宋体"/>
          <w:color w:val="auto"/>
          <w:spacing w:val="-4"/>
          <w:sz w:val="24"/>
          <w:szCs w:val="24"/>
          <w:highlight w:val="none"/>
          <w:lang w:eastAsia="zh-CN"/>
        </w:rPr>
        <w:t>使用同一台计算或同一个</w:t>
      </w:r>
      <w:r>
        <w:rPr>
          <w:rFonts w:ascii="宋体" w:hAnsi="宋体" w:eastAsia="宋体" w:cs="宋体"/>
          <w:color w:val="auto"/>
          <w:spacing w:val="-19"/>
          <w:sz w:val="24"/>
          <w:szCs w:val="24"/>
          <w:highlight w:val="none"/>
          <w:lang w:eastAsia="zh-CN"/>
        </w:rPr>
        <w:t xml:space="preserve"> </w:t>
      </w:r>
      <w:r>
        <w:rPr>
          <w:rFonts w:ascii="宋体" w:hAnsi="宋体" w:eastAsia="宋体" w:cs="宋体"/>
          <w:color w:val="auto"/>
          <w:spacing w:val="-4"/>
          <w:sz w:val="24"/>
          <w:szCs w:val="24"/>
          <w:highlight w:val="none"/>
          <w:lang w:eastAsia="zh-CN"/>
        </w:rPr>
        <w:t>IP</w:t>
      </w:r>
      <w:r>
        <w:rPr>
          <w:rFonts w:ascii="宋体" w:hAnsi="宋体" w:eastAsia="宋体" w:cs="宋体"/>
          <w:color w:val="auto"/>
          <w:spacing w:val="-49"/>
          <w:sz w:val="24"/>
          <w:szCs w:val="24"/>
          <w:highlight w:val="none"/>
          <w:lang w:eastAsia="zh-CN"/>
        </w:rPr>
        <w:t xml:space="preserve"> </w:t>
      </w:r>
      <w:r>
        <w:rPr>
          <w:rFonts w:ascii="宋体" w:hAnsi="宋体" w:eastAsia="宋体" w:cs="宋体"/>
          <w:color w:val="auto"/>
          <w:spacing w:val="-4"/>
          <w:sz w:val="24"/>
          <w:szCs w:val="24"/>
          <w:highlight w:val="none"/>
          <w:lang w:eastAsia="zh-CN"/>
        </w:rPr>
        <w:t>上传响应文件，被</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不见面开标系统提示为“投标文件制作机器码一致</w:t>
      </w:r>
      <w:r>
        <w:rPr>
          <w:rFonts w:ascii="宋体" w:hAnsi="宋体" w:eastAsia="宋体" w:cs="宋体"/>
          <w:color w:val="auto"/>
          <w:spacing w:val="-88"/>
          <w:sz w:val="24"/>
          <w:szCs w:val="24"/>
          <w:highlight w:val="none"/>
          <w:lang w:eastAsia="zh-CN"/>
        </w:rPr>
        <w:t xml:space="preserve"> </w:t>
      </w:r>
      <w:r>
        <w:rPr>
          <w:rFonts w:ascii="宋体" w:hAnsi="宋体" w:eastAsia="宋体" w:cs="宋体"/>
          <w:color w:val="auto"/>
          <w:spacing w:val="-3"/>
          <w:sz w:val="24"/>
          <w:szCs w:val="24"/>
          <w:highlight w:val="none"/>
          <w:lang w:eastAsia="zh-CN"/>
        </w:rPr>
        <w:t>”的，则视其投标无效。若经</w:t>
      </w:r>
      <w:r>
        <w:rPr>
          <w:rFonts w:ascii="宋体" w:hAnsi="宋体" w:eastAsia="宋体" w:cs="宋体"/>
          <w:color w:val="auto"/>
          <w:spacing w:val="-4"/>
          <w:sz w:val="24"/>
          <w:szCs w:val="24"/>
          <w:highlight w:val="none"/>
          <w:lang w:eastAsia="zh-CN"/>
        </w:rPr>
        <w:t>查实</w:t>
      </w:r>
      <w:r>
        <w:rPr>
          <w:rFonts w:ascii="宋体" w:hAnsi="宋体" w:eastAsia="宋体" w:cs="宋体"/>
          <w:color w:val="auto"/>
          <w:sz w:val="24"/>
          <w:szCs w:val="24"/>
          <w:highlight w:val="none"/>
          <w:lang w:eastAsia="zh-CN"/>
        </w:rPr>
        <w:t xml:space="preserve"> 有《政府采购法实施条例》第七十四条情形，</w:t>
      </w:r>
      <w:r>
        <w:rPr>
          <w:rFonts w:ascii="宋体" w:hAnsi="宋体" w:eastAsia="宋体" w:cs="宋体"/>
          <w:color w:val="auto"/>
          <w:spacing w:val="-1"/>
          <w:sz w:val="24"/>
          <w:szCs w:val="24"/>
          <w:highlight w:val="none"/>
          <w:lang w:eastAsia="zh-CN"/>
        </w:rPr>
        <w:t>监管部门将依法做出处理；</w:t>
      </w:r>
    </w:p>
    <w:p w14:paraId="70B63C52">
      <w:pPr>
        <w:keepNext w:val="0"/>
        <w:keepLines w:val="0"/>
        <w:pageBreakBefore w:val="0"/>
        <w:widowControl/>
        <w:kinsoku w:val="0"/>
        <w:wordWrap/>
        <w:overflowPunct/>
        <w:topLinePunct w:val="0"/>
        <w:autoSpaceDE w:val="0"/>
        <w:autoSpaceDN w:val="0"/>
        <w:bidi w:val="0"/>
        <w:adjustRightInd w:val="0"/>
        <w:snapToGrid w:val="0"/>
        <w:spacing w:before="217" w:line="440" w:lineRule="exact"/>
        <w:ind w:firstLine="491"/>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（7）在评标过程中，评标委员会发现投标单位的报价明显低于</w:t>
      </w:r>
      <w:r>
        <w:rPr>
          <w:rFonts w:ascii="宋体" w:hAnsi="宋体" w:eastAsia="宋体" w:cs="宋体"/>
          <w:color w:val="auto"/>
          <w:sz w:val="24"/>
          <w:szCs w:val="24"/>
          <w:highlight w:val="none"/>
          <w:lang w:eastAsia="zh-CN"/>
        </w:rPr>
        <w:t xml:space="preserve">其它采购报价， </w:t>
      </w:r>
      <w:r>
        <w:rPr>
          <w:rFonts w:ascii="宋体" w:hAnsi="宋体" w:eastAsia="宋体" w:cs="宋体"/>
          <w:color w:val="auto"/>
          <w:spacing w:val="-2"/>
          <w:sz w:val="24"/>
          <w:szCs w:val="24"/>
          <w:highlight w:val="none"/>
          <w:lang w:eastAsia="zh-CN"/>
        </w:rPr>
        <w:t>使得其采购报价可能低于其个别成本的，应当要求该</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作出书面说</w:t>
      </w:r>
      <w:r>
        <w:rPr>
          <w:rFonts w:ascii="宋体" w:hAnsi="宋体" w:eastAsia="宋体" w:cs="宋体"/>
          <w:color w:val="auto"/>
          <w:spacing w:val="-3"/>
          <w:sz w:val="24"/>
          <w:szCs w:val="24"/>
          <w:highlight w:val="none"/>
          <w:lang w:eastAsia="zh-CN"/>
        </w:rPr>
        <w:t>明并提供相关</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证明材料。</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不能合理说明或者不能提供相关证明材料的，由评标</w:t>
      </w:r>
      <w:r>
        <w:rPr>
          <w:rFonts w:ascii="宋体" w:hAnsi="宋体" w:eastAsia="宋体" w:cs="宋体"/>
          <w:color w:val="auto"/>
          <w:spacing w:val="-3"/>
          <w:sz w:val="24"/>
          <w:szCs w:val="24"/>
          <w:highlight w:val="none"/>
          <w:lang w:eastAsia="zh-CN"/>
        </w:rPr>
        <w:t>委员会认定该</w:t>
      </w:r>
      <w:r>
        <w:rPr>
          <w:rFonts w:ascii="宋体" w:hAnsi="宋体" w:eastAsia="宋体" w:cs="宋体"/>
          <w:color w:val="auto"/>
          <w:sz w:val="24"/>
          <w:szCs w:val="24"/>
          <w:highlight w:val="none"/>
          <w:lang w:eastAsia="zh-CN"/>
        </w:rPr>
        <w:t xml:space="preserve">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以低于成本报价竞标的。</w:t>
      </w:r>
    </w:p>
    <w:p w14:paraId="136150A5">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宋体" w:hAnsi="宋体" w:eastAsia="宋体" w:cs="宋体"/>
          <w:color w:val="auto"/>
          <w:sz w:val="24"/>
          <w:szCs w:val="24"/>
          <w:highlight w:val="none"/>
          <w:lang w:eastAsia="zh-CN"/>
        </w:rPr>
        <w:sectPr>
          <w:footerReference r:id="rId5" w:type="default"/>
          <w:pgSz w:w="11907" w:h="16840"/>
          <w:pgMar w:top="1431" w:right="1519" w:bottom="1139" w:left="1586" w:header="0" w:footer="976" w:gutter="0"/>
          <w:cols w:space="720" w:num="1"/>
        </w:sectPr>
      </w:pPr>
    </w:p>
    <w:p w14:paraId="70E34CE8">
      <w:pPr>
        <w:spacing w:before="136" w:line="223" w:lineRule="auto"/>
        <w:ind w:left="3481"/>
        <w:outlineLvl w:val="0"/>
        <w:rPr>
          <w:rFonts w:ascii="宋体" w:hAnsi="宋体" w:eastAsia="宋体" w:cs="宋体"/>
          <w:color w:val="auto"/>
          <w:sz w:val="31"/>
          <w:szCs w:val="31"/>
          <w:highlight w:val="none"/>
          <w:lang w:eastAsia="zh-CN"/>
        </w:rPr>
      </w:pPr>
      <w:bookmarkStart w:id="9" w:name="bookmark3"/>
      <w:bookmarkEnd w:id="9"/>
      <w:bookmarkStart w:id="10" w:name="_Toc3283"/>
      <w:r>
        <w:rPr>
          <w:rFonts w:ascii="宋体" w:hAnsi="宋体" w:eastAsia="宋体" w:cs="宋体"/>
          <w:b/>
          <w:bCs/>
          <w:color w:val="auto"/>
          <w:spacing w:val="5"/>
          <w:sz w:val="31"/>
          <w:szCs w:val="31"/>
          <w:highlight w:val="none"/>
          <w:lang w:eastAsia="zh-CN"/>
        </w:rPr>
        <w:t>第一章</w:t>
      </w:r>
      <w:r>
        <w:rPr>
          <w:rFonts w:ascii="宋体" w:hAnsi="宋体" w:eastAsia="宋体" w:cs="宋体"/>
          <w:color w:val="auto"/>
          <w:spacing w:val="5"/>
          <w:sz w:val="31"/>
          <w:szCs w:val="31"/>
          <w:highlight w:val="none"/>
          <w:lang w:eastAsia="zh-CN"/>
        </w:rPr>
        <w:t xml:space="preserve">   </w:t>
      </w:r>
      <w:r>
        <w:rPr>
          <w:rFonts w:ascii="宋体" w:hAnsi="宋体" w:eastAsia="宋体" w:cs="宋体"/>
          <w:b/>
          <w:bCs/>
          <w:color w:val="auto"/>
          <w:spacing w:val="5"/>
          <w:sz w:val="31"/>
          <w:szCs w:val="31"/>
          <w:highlight w:val="none"/>
          <w:lang w:eastAsia="zh-CN"/>
        </w:rPr>
        <w:t>招标公告</w:t>
      </w:r>
      <w:bookmarkEnd w:id="10"/>
    </w:p>
    <w:p w14:paraId="291E3ED6">
      <w:pPr>
        <w:pStyle w:val="5"/>
        <w:spacing w:line="343" w:lineRule="auto"/>
        <w:rPr>
          <w:color w:val="auto"/>
          <w:highlight w:val="none"/>
          <w:lang w:eastAsia="zh-CN"/>
        </w:rPr>
      </w:pPr>
    </w:p>
    <w:p w14:paraId="6A40011A">
      <w:pPr>
        <w:spacing w:before="91" w:line="254" w:lineRule="auto"/>
        <w:ind w:left="2705" w:right="209" w:hanging="2530"/>
        <w:jc w:val="center"/>
        <w:outlineLvl w:val="1"/>
        <w:rPr>
          <w:rFonts w:hint="eastAsia" w:ascii="宋体" w:hAnsi="宋体" w:eastAsia="宋体" w:cs="宋体"/>
          <w:b/>
          <w:bCs/>
          <w:color w:val="auto"/>
          <w:spacing w:val="-2"/>
          <w:sz w:val="28"/>
          <w:szCs w:val="28"/>
          <w:highlight w:val="none"/>
          <w:lang w:eastAsia="zh-CN"/>
        </w:rPr>
      </w:pPr>
      <w:bookmarkStart w:id="11" w:name="_Toc28966"/>
      <w:r>
        <w:rPr>
          <w:rFonts w:hint="eastAsia" w:ascii="宋体" w:hAnsi="宋体" w:eastAsia="宋体" w:cs="宋体"/>
          <w:b/>
          <w:bCs/>
          <w:color w:val="auto"/>
          <w:spacing w:val="-2"/>
          <w:sz w:val="28"/>
          <w:szCs w:val="28"/>
          <w:highlight w:val="none"/>
          <w:lang w:eastAsia="zh-CN"/>
        </w:rPr>
        <w:t>博爱县县直幼儿园功能室设备及室外场地活动设施采购项目</w:t>
      </w:r>
      <w:bookmarkEnd w:id="11"/>
    </w:p>
    <w:p w14:paraId="6CA1ADF7">
      <w:pPr>
        <w:spacing w:before="91" w:line="254" w:lineRule="auto"/>
        <w:ind w:left="2705" w:right="209" w:hanging="2530"/>
        <w:jc w:val="center"/>
        <w:rPr>
          <w:rFonts w:ascii="宋体" w:hAnsi="宋体" w:eastAsia="宋体" w:cs="宋体"/>
          <w:color w:val="auto"/>
          <w:sz w:val="24"/>
          <w:szCs w:val="24"/>
          <w:highlight w:val="none"/>
          <w:lang w:eastAsia="zh-CN"/>
        </w:rPr>
      </w:pPr>
      <w:r>
        <w:rPr>
          <w:rFonts w:ascii="宋体" w:hAnsi="宋体" w:eastAsia="宋体" w:cs="宋体"/>
          <w:b/>
          <w:bCs/>
          <w:color w:val="auto"/>
          <w:spacing w:val="-4"/>
          <w:sz w:val="28"/>
          <w:szCs w:val="28"/>
          <w:highlight w:val="none"/>
          <w:lang w:eastAsia="zh-CN"/>
        </w:rPr>
        <w:t>招标公告（不见面开标）</w:t>
      </w:r>
    </w:p>
    <w:tbl>
      <w:tblPr>
        <w:tblStyle w:val="16"/>
        <w:tblpPr w:leftFromText="180" w:rightFromText="180" w:vertAnchor="text" w:horzAnchor="margin" w:tblpY="48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31"/>
      </w:tblGrid>
      <w:tr w14:paraId="00D0EB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31" w:type="dxa"/>
          </w:tcPr>
          <w:p w14:paraId="5EFCA1CF">
            <w:pPr>
              <w:keepNext w:val="0"/>
              <w:keepLines w:val="0"/>
              <w:pageBreakBefore w:val="0"/>
              <w:widowControl w:val="0"/>
              <w:kinsoku w:val="0"/>
              <w:wordWrap/>
              <w:overflowPunct/>
              <w:topLinePunct w:val="0"/>
              <w:autoSpaceDE w:val="0"/>
              <w:autoSpaceDN w:val="0"/>
              <w:bidi w:val="0"/>
              <w:adjustRightInd w:val="0"/>
              <w:snapToGrid w:val="0"/>
              <w:spacing w:line="440" w:lineRule="exact"/>
              <w:ind w:firstLine="476" w:firstLineChars="200"/>
              <w:jc w:val="both"/>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项目概况：博爱县县直幼儿园功能室设备及室外场地活动设施采购项目的潜在</w:t>
            </w:r>
            <w:r>
              <w:rPr>
                <w:rFonts w:hint="eastAsia" w:ascii="宋体" w:hAnsi="宋体" w:eastAsia="宋体" w:cs="宋体"/>
                <w:color w:val="auto"/>
                <w:spacing w:val="-1"/>
                <w:sz w:val="24"/>
                <w:szCs w:val="24"/>
                <w:highlight w:val="none"/>
                <w:lang w:val="en-US" w:eastAsia="zh-CN"/>
              </w:rPr>
              <w:t>投标人</w:t>
            </w:r>
            <w:r>
              <w:rPr>
                <w:rFonts w:hint="eastAsia" w:ascii="宋体" w:hAnsi="宋体" w:eastAsia="宋体" w:cs="宋体"/>
                <w:color w:val="auto"/>
                <w:spacing w:val="-1"/>
                <w:sz w:val="24"/>
                <w:szCs w:val="24"/>
                <w:highlight w:val="none"/>
                <w:lang w:eastAsia="zh-CN"/>
              </w:rPr>
              <w:t>应在焦作市公共资源交易中心网站获取招标文件，并于2024</w:t>
            </w:r>
            <w:r>
              <w:rPr>
                <w:rFonts w:hint="eastAsia" w:ascii="宋体" w:hAnsi="宋体" w:eastAsia="宋体" w:cs="宋体"/>
                <w:color w:val="auto"/>
                <w:spacing w:val="-1"/>
                <w:sz w:val="24"/>
                <w:szCs w:val="24"/>
                <w:highlight w:val="none"/>
                <w:lang w:eastAsia="zh-CN"/>
              </w:rPr>
              <w:t>年</w:t>
            </w:r>
            <w:r>
              <w:rPr>
                <w:rFonts w:hint="eastAsia" w:ascii="宋体" w:hAnsi="宋体" w:eastAsia="宋体" w:cs="宋体"/>
                <w:color w:val="auto"/>
                <w:spacing w:val="-1"/>
                <w:sz w:val="24"/>
                <w:szCs w:val="24"/>
                <w:highlight w:val="none"/>
                <w:lang w:val="en-US" w:eastAsia="zh-CN"/>
              </w:rPr>
              <w:t>12</w:t>
            </w:r>
            <w:r>
              <w:rPr>
                <w:rFonts w:hint="eastAsia" w:ascii="宋体" w:hAnsi="宋体" w:eastAsia="宋体" w:cs="宋体"/>
                <w:color w:val="auto"/>
                <w:spacing w:val="-1"/>
                <w:sz w:val="24"/>
                <w:szCs w:val="24"/>
                <w:highlight w:val="none"/>
                <w:lang w:eastAsia="zh-CN"/>
              </w:rPr>
              <w:t>月</w:t>
            </w:r>
            <w:r>
              <w:rPr>
                <w:rFonts w:hint="eastAsia" w:ascii="宋体" w:hAnsi="宋体" w:eastAsia="宋体" w:cs="宋体"/>
                <w:color w:val="auto"/>
                <w:spacing w:val="-1"/>
                <w:sz w:val="24"/>
                <w:szCs w:val="24"/>
                <w:highlight w:val="none"/>
                <w:lang w:val="en-US" w:eastAsia="zh-CN"/>
              </w:rPr>
              <w:t>03</w:t>
            </w:r>
            <w:r>
              <w:rPr>
                <w:rFonts w:hint="eastAsia" w:ascii="宋体" w:hAnsi="宋体" w:eastAsia="宋体" w:cs="宋体"/>
                <w:color w:val="auto"/>
                <w:spacing w:val="-1"/>
                <w:sz w:val="24"/>
                <w:szCs w:val="24"/>
                <w:highlight w:val="none"/>
                <w:lang w:eastAsia="zh-CN"/>
              </w:rPr>
              <w:t>日</w:t>
            </w:r>
            <w:r>
              <w:rPr>
                <w:rFonts w:hint="eastAsia" w:ascii="宋体" w:hAnsi="宋体" w:eastAsia="宋体" w:cs="宋体"/>
                <w:color w:val="auto"/>
                <w:spacing w:val="-1"/>
                <w:sz w:val="24"/>
                <w:szCs w:val="24"/>
                <w:highlight w:val="none"/>
                <w:lang w:eastAsia="zh-CN"/>
              </w:rPr>
              <w:t>09时00分（北京时间）前递交响应文件。</w:t>
            </w:r>
          </w:p>
        </w:tc>
      </w:tr>
    </w:tbl>
    <w:p w14:paraId="58B99BBC">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1"/>
        <w:rPr>
          <w:rFonts w:hint="eastAsia" w:ascii="宋体" w:hAnsi="宋体" w:eastAsia="宋体" w:cs="宋体"/>
          <w:color w:val="auto"/>
          <w:spacing w:val="-1"/>
          <w:sz w:val="24"/>
          <w:szCs w:val="24"/>
          <w:highlight w:val="none"/>
          <w:lang w:eastAsia="zh-CN"/>
        </w:rPr>
      </w:pPr>
      <w:bookmarkStart w:id="12" w:name="_Toc13115"/>
      <w:r>
        <w:rPr>
          <w:rFonts w:hint="eastAsia" w:ascii="宋体" w:hAnsi="宋体" w:eastAsia="宋体" w:cs="宋体"/>
          <w:color w:val="auto"/>
          <w:spacing w:val="-1"/>
          <w:sz w:val="24"/>
          <w:szCs w:val="24"/>
          <w:highlight w:val="none"/>
          <w:lang w:eastAsia="zh-CN"/>
        </w:rPr>
        <w:t>一、项目基本情况</w:t>
      </w:r>
      <w:bookmarkEnd w:id="12"/>
    </w:p>
    <w:p w14:paraId="127313A5">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1、</w:t>
      </w:r>
      <w:r>
        <w:rPr>
          <w:rFonts w:hint="eastAsia" w:ascii="宋体" w:hAnsi="宋体" w:eastAsia="宋体" w:cs="宋体"/>
          <w:color w:val="auto"/>
          <w:spacing w:val="-1"/>
          <w:sz w:val="24"/>
          <w:szCs w:val="24"/>
          <w:highlight w:val="none"/>
          <w:lang w:val="en-US" w:eastAsia="zh-CN"/>
        </w:rPr>
        <w:t>项目</w:t>
      </w:r>
      <w:r>
        <w:rPr>
          <w:rFonts w:hint="eastAsia" w:ascii="宋体" w:hAnsi="宋体" w:eastAsia="宋体" w:cs="宋体"/>
          <w:color w:val="auto"/>
          <w:spacing w:val="-1"/>
          <w:sz w:val="24"/>
          <w:szCs w:val="24"/>
          <w:highlight w:val="none"/>
          <w:lang w:eastAsia="zh-CN"/>
        </w:rPr>
        <w:t>编号： 博</w:t>
      </w:r>
      <w:r>
        <w:rPr>
          <w:rFonts w:hint="eastAsia" w:ascii="宋体" w:hAnsi="宋体" w:eastAsia="宋体" w:cs="宋体"/>
          <w:color w:val="auto"/>
          <w:spacing w:val="-1"/>
          <w:sz w:val="24"/>
          <w:szCs w:val="24"/>
          <w:highlight w:val="none"/>
          <w:lang w:val="en-US" w:eastAsia="zh-CN"/>
        </w:rPr>
        <w:t>财招标</w:t>
      </w:r>
      <w:r>
        <w:rPr>
          <w:rFonts w:hint="eastAsia" w:ascii="宋体" w:hAnsi="宋体" w:eastAsia="宋体" w:cs="宋体"/>
          <w:color w:val="auto"/>
          <w:spacing w:val="-1"/>
          <w:sz w:val="24"/>
          <w:szCs w:val="24"/>
          <w:highlight w:val="none"/>
          <w:lang w:eastAsia="zh-CN"/>
        </w:rPr>
        <w:t>采购2024</w:t>
      </w:r>
      <w:r>
        <w:rPr>
          <w:rFonts w:hint="eastAsia" w:ascii="宋体" w:hAnsi="宋体" w:eastAsia="宋体" w:cs="宋体"/>
          <w:color w:val="auto"/>
          <w:spacing w:val="-1"/>
          <w:sz w:val="24"/>
          <w:szCs w:val="24"/>
          <w:highlight w:val="none"/>
          <w:lang w:val="en-US" w:eastAsia="zh-CN"/>
        </w:rPr>
        <w:t>-35</w:t>
      </w:r>
      <w:r>
        <w:rPr>
          <w:rFonts w:hint="eastAsia" w:ascii="宋体" w:hAnsi="宋体" w:eastAsia="宋体" w:cs="宋体"/>
          <w:color w:val="auto"/>
          <w:spacing w:val="-1"/>
          <w:sz w:val="24"/>
          <w:szCs w:val="24"/>
          <w:highlight w:val="none"/>
          <w:lang w:eastAsia="zh-CN"/>
        </w:rPr>
        <w:t>号</w:t>
      </w:r>
    </w:p>
    <w:p w14:paraId="7CA64FC7">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2、项目名称：博爱县县直幼儿园功能室设备及室外场地活动设施采购项目</w:t>
      </w:r>
    </w:p>
    <w:p w14:paraId="574608EB">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3、采购方式：公开招标</w:t>
      </w:r>
    </w:p>
    <w:p w14:paraId="1433C2C0">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4、预算金额：2137978.00元</w:t>
      </w:r>
    </w:p>
    <w:p w14:paraId="4BDCB95C">
      <w:pPr>
        <w:keepNext w:val="0"/>
        <w:keepLines w:val="0"/>
        <w:pageBreakBefore w:val="0"/>
        <w:kinsoku w:val="0"/>
        <w:wordWrap/>
        <w:overflowPunct/>
        <w:topLinePunct w:val="0"/>
        <w:autoSpaceDE w:val="0"/>
        <w:autoSpaceDN w:val="0"/>
        <w:bidi w:val="0"/>
        <w:adjustRightInd w:val="0"/>
        <w:snapToGrid w:val="0"/>
        <w:spacing w:line="440" w:lineRule="exact"/>
        <w:ind w:firstLine="714" w:firstLineChars="3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最高限价：2137978.00元</w:t>
      </w:r>
    </w:p>
    <w:tbl>
      <w:tblPr>
        <w:tblStyle w:val="16"/>
        <w:tblpPr w:leftFromText="180" w:rightFromText="180" w:vertAnchor="text" w:horzAnchor="page" w:tblpX="1019" w:tblpY="145"/>
        <w:tblOverlap w:val="never"/>
        <w:tblW w:w="950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7"/>
        <w:gridCol w:w="2150"/>
        <w:gridCol w:w="3328"/>
        <w:gridCol w:w="1550"/>
        <w:gridCol w:w="1817"/>
      </w:tblGrid>
      <w:tr w14:paraId="7F94F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657" w:type="dxa"/>
            <w:tcBorders>
              <w:top w:val="single" w:color="auto" w:sz="4" w:space="0"/>
              <w:left w:val="single" w:color="auto" w:sz="4" w:space="0"/>
              <w:bottom w:val="single" w:color="auto" w:sz="4" w:space="0"/>
              <w:right w:val="single" w:color="auto" w:sz="4" w:space="0"/>
            </w:tcBorders>
            <w:vAlign w:val="center"/>
          </w:tcPr>
          <w:p w14:paraId="0D2309B0">
            <w:pPr>
              <w:keepNext w:val="0"/>
              <w:keepLines w:val="0"/>
              <w:pageBreakBefore w:val="0"/>
              <w:widowControl w:val="0"/>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val="en-US" w:eastAsia="zh-CN"/>
              </w:rPr>
              <w:t>序</w:t>
            </w:r>
            <w:r>
              <w:rPr>
                <w:rFonts w:hint="eastAsia" w:ascii="宋体" w:hAnsi="宋体" w:eastAsia="宋体" w:cs="宋体"/>
                <w:color w:val="auto"/>
                <w:spacing w:val="-1"/>
                <w:sz w:val="24"/>
                <w:szCs w:val="24"/>
                <w:highlight w:val="none"/>
                <w:lang w:eastAsia="zh-CN"/>
              </w:rPr>
              <w:t>号</w:t>
            </w:r>
          </w:p>
        </w:tc>
        <w:tc>
          <w:tcPr>
            <w:tcW w:w="2150" w:type="dxa"/>
            <w:tcBorders>
              <w:top w:val="single" w:color="auto" w:sz="4" w:space="0"/>
              <w:left w:val="single" w:color="auto" w:sz="4" w:space="0"/>
              <w:bottom w:val="single" w:color="auto" w:sz="4" w:space="0"/>
              <w:right w:val="single" w:color="auto" w:sz="4" w:space="0"/>
            </w:tcBorders>
            <w:vAlign w:val="center"/>
          </w:tcPr>
          <w:p w14:paraId="5685E43C">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包号</w:t>
            </w:r>
          </w:p>
        </w:tc>
        <w:tc>
          <w:tcPr>
            <w:tcW w:w="3328" w:type="dxa"/>
            <w:tcBorders>
              <w:top w:val="single" w:color="auto" w:sz="4" w:space="0"/>
              <w:left w:val="single" w:color="auto" w:sz="4" w:space="0"/>
              <w:bottom w:val="single" w:color="auto" w:sz="4" w:space="0"/>
              <w:right w:val="single" w:color="auto" w:sz="4" w:space="0"/>
            </w:tcBorders>
            <w:vAlign w:val="center"/>
          </w:tcPr>
          <w:p w14:paraId="4CB76020">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包名称</w:t>
            </w:r>
          </w:p>
        </w:tc>
        <w:tc>
          <w:tcPr>
            <w:tcW w:w="1550" w:type="dxa"/>
            <w:tcBorders>
              <w:top w:val="single" w:color="auto" w:sz="4" w:space="0"/>
              <w:left w:val="single" w:color="auto" w:sz="4" w:space="0"/>
              <w:bottom w:val="single" w:color="auto" w:sz="4" w:space="0"/>
              <w:right w:val="single" w:color="auto" w:sz="4" w:space="0"/>
            </w:tcBorders>
            <w:vAlign w:val="center"/>
          </w:tcPr>
          <w:p w14:paraId="4F8C062A">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包预算</w:t>
            </w:r>
          </w:p>
          <w:p w14:paraId="752F99D7">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（元）</w:t>
            </w:r>
          </w:p>
        </w:tc>
        <w:tc>
          <w:tcPr>
            <w:tcW w:w="1817" w:type="dxa"/>
            <w:tcBorders>
              <w:top w:val="single" w:color="auto" w:sz="4" w:space="0"/>
              <w:left w:val="single" w:color="auto" w:sz="4" w:space="0"/>
              <w:bottom w:val="single" w:color="auto" w:sz="4" w:space="0"/>
              <w:right w:val="single" w:color="auto" w:sz="4" w:space="0"/>
            </w:tcBorders>
            <w:vAlign w:val="center"/>
          </w:tcPr>
          <w:p w14:paraId="3ABF9796">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包最高限价</w:t>
            </w:r>
          </w:p>
          <w:p w14:paraId="0E1EF935">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（元）</w:t>
            </w:r>
          </w:p>
        </w:tc>
      </w:tr>
      <w:tr w14:paraId="495C2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657" w:type="dxa"/>
            <w:tcBorders>
              <w:top w:val="single" w:color="auto" w:sz="4" w:space="0"/>
              <w:left w:val="single" w:color="auto" w:sz="4" w:space="0"/>
              <w:bottom w:val="single" w:color="auto" w:sz="4" w:space="0"/>
              <w:right w:val="single" w:color="auto" w:sz="4" w:space="0"/>
            </w:tcBorders>
            <w:vAlign w:val="center"/>
          </w:tcPr>
          <w:p w14:paraId="1134918F">
            <w:pPr>
              <w:keepNext w:val="0"/>
              <w:keepLines w:val="0"/>
              <w:pageBreakBefore w:val="0"/>
              <w:widowControl w:val="0"/>
              <w:tabs>
                <w:tab w:val="center" w:pos="167"/>
              </w:tabs>
              <w:kinsoku w:val="0"/>
              <w:wordWrap/>
              <w:overflowPunct/>
              <w:topLinePunct w:val="0"/>
              <w:autoSpaceDE w:val="0"/>
              <w:autoSpaceDN w:val="0"/>
              <w:bidi w:val="0"/>
              <w:adjustRightInd w:val="0"/>
              <w:snapToGrid w:val="0"/>
              <w:spacing w:line="440" w:lineRule="exact"/>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1</w:t>
            </w:r>
          </w:p>
        </w:tc>
        <w:tc>
          <w:tcPr>
            <w:tcW w:w="2150" w:type="dxa"/>
            <w:tcBorders>
              <w:top w:val="single" w:color="auto" w:sz="4" w:space="0"/>
              <w:left w:val="single" w:color="auto" w:sz="4" w:space="0"/>
              <w:bottom w:val="single" w:color="auto" w:sz="4" w:space="0"/>
              <w:right w:val="single" w:color="auto" w:sz="4" w:space="0"/>
            </w:tcBorders>
            <w:vAlign w:val="center"/>
          </w:tcPr>
          <w:p w14:paraId="1E2C040F">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default" w:ascii="宋体" w:hAnsi="宋体" w:eastAsia="宋体" w:cs="宋体"/>
                <w:color w:val="auto"/>
                <w:spacing w:val="-1"/>
                <w:sz w:val="24"/>
                <w:szCs w:val="24"/>
                <w:highlight w:val="none"/>
                <w:lang w:val="en-US" w:eastAsia="zh-CN"/>
              </w:rPr>
            </w:pPr>
            <w:r>
              <w:rPr>
                <w:rFonts w:hint="eastAsia" w:ascii="宋体" w:hAnsi="宋体" w:eastAsia="宋体" w:cs="宋体"/>
                <w:color w:val="auto"/>
                <w:spacing w:val="-1"/>
                <w:sz w:val="24"/>
                <w:szCs w:val="24"/>
                <w:highlight w:val="none"/>
                <w:lang w:eastAsia="zh-CN"/>
              </w:rPr>
              <w:t>博政采购（2024）120号</w:t>
            </w:r>
            <w:r>
              <w:rPr>
                <w:rFonts w:hint="eastAsia" w:ascii="宋体" w:hAnsi="宋体" w:eastAsia="宋体" w:cs="宋体"/>
                <w:color w:val="auto"/>
                <w:spacing w:val="-1"/>
                <w:sz w:val="24"/>
                <w:szCs w:val="24"/>
                <w:highlight w:val="none"/>
                <w:lang w:val="en-US" w:eastAsia="zh-CN"/>
              </w:rPr>
              <w:t>-1</w:t>
            </w:r>
          </w:p>
        </w:tc>
        <w:tc>
          <w:tcPr>
            <w:tcW w:w="3328" w:type="dxa"/>
            <w:tcBorders>
              <w:top w:val="single" w:color="auto" w:sz="4" w:space="0"/>
              <w:left w:val="single" w:color="auto" w:sz="4" w:space="0"/>
              <w:bottom w:val="single" w:color="auto" w:sz="4" w:space="0"/>
              <w:right w:val="single" w:color="auto" w:sz="4" w:space="0"/>
            </w:tcBorders>
            <w:vAlign w:val="center"/>
          </w:tcPr>
          <w:p w14:paraId="0D3CB254">
            <w:pPr>
              <w:keepNext w:val="0"/>
              <w:keepLines w:val="0"/>
              <w:pageBreakBefore w:val="0"/>
              <w:widowControl w:val="0"/>
              <w:kinsoku w:val="0"/>
              <w:wordWrap/>
              <w:overflowPunct/>
              <w:topLinePunct w:val="0"/>
              <w:autoSpaceDE w:val="0"/>
              <w:autoSpaceDN w:val="0"/>
              <w:bidi w:val="0"/>
              <w:adjustRightInd w:val="0"/>
              <w:snapToGrid w:val="0"/>
              <w:spacing w:before="156" w:line="440" w:lineRule="exact"/>
              <w:ind w:left="122" w:leftChars="0" w:right="161" w:rightChars="0"/>
              <w:jc w:val="center"/>
              <w:textAlignment w:val="baseline"/>
              <w:rPr>
                <w:rFonts w:hint="default" w:ascii="宋体" w:hAnsi="宋体" w:eastAsia="宋体" w:cs="宋体"/>
                <w:color w:val="auto"/>
                <w:spacing w:val="-1"/>
                <w:sz w:val="24"/>
                <w:szCs w:val="24"/>
                <w:highlight w:val="none"/>
                <w:lang w:val="en-US" w:eastAsia="zh-CN"/>
              </w:rPr>
            </w:pPr>
            <w:r>
              <w:rPr>
                <w:rFonts w:hint="eastAsia" w:ascii="宋体" w:hAnsi="宋体" w:eastAsia="宋体" w:cs="宋体"/>
                <w:color w:val="auto"/>
                <w:spacing w:val="-1"/>
                <w:sz w:val="24"/>
                <w:szCs w:val="24"/>
                <w:highlight w:val="none"/>
                <w:lang w:eastAsia="zh-CN"/>
              </w:rPr>
              <w:t>博爱县县直幼儿园功能室设备及室外场地活动设施采购项目（</w:t>
            </w:r>
            <w:r>
              <w:rPr>
                <w:rFonts w:hint="eastAsia" w:ascii="宋体" w:hAnsi="宋体" w:eastAsia="宋体" w:cs="宋体"/>
                <w:color w:val="auto"/>
                <w:spacing w:val="-1"/>
                <w:sz w:val="24"/>
                <w:szCs w:val="24"/>
                <w:highlight w:val="none"/>
                <w:lang w:val="en-US" w:eastAsia="zh-CN"/>
              </w:rPr>
              <w:t>一标段）</w:t>
            </w:r>
          </w:p>
        </w:tc>
        <w:tc>
          <w:tcPr>
            <w:tcW w:w="1550" w:type="dxa"/>
            <w:tcBorders>
              <w:top w:val="single" w:color="auto" w:sz="4" w:space="0"/>
              <w:left w:val="single" w:color="auto" w:sz="4" w:space="0"/>
              <w:bottom w:val="single" w:color="auto" w:sz="4" w:space="0"/>
              <w:right w:val="single" w:color="auto" w:sz="4" w:space="0"/>
            </w:tcBorders>
            <w:vAlign w:val="center"/>
          </w:tcPr>
          <w:p w14:paraId="10CADEBF">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default" w:ascii="宋体" w:hAnsi="宋体" w:eastAsia="宋体" w:cs="宋体"/>
                <w:color w:val="auto"/>
                <w:spacing w:val="-1"/>
                <w:sz w:val="24"/>
                <w:szCs w:val="24"/>
                <w:highlight w:val="none"/>
                <w:lang w:val="en-US" w:eastAsia="zh-CN"/>
              </w:rPr>
            </w:pPr>
            <w:r>
              <w:rPr>
                <w:rFonts w:hint="eastAsia" w:ascii="宋体" w:hAnsi="宋体" w:eastAsia="宋体" w:cs="宋体"/>
                <w:color w:val="auto"/>
                <w:spacing w:val="-1"/>
                <w:sz w:val="24"/>
                <w:szCs w:val="24"/>
                <w:highlight w:val="none"/>
                <w:lang w:val="en-US" w:eastAsia="zh-CN"/>
              </w:rPr>
              <w:t>2027978.00</w:t>
            </w:r>
          </w:p>
        </w:tc>
        <w:tc>
          <w:tcPr>
            <w:tcW w:w="1817" w:type="dxa"/>
            <w:tcBorders>
              <w:top w:val="single" w:color="auto" w:sz="4" w:space="0"/>
              <w:left w:val="single" w:color="auto" w:sz="4" w:space="0"/>
              <w:bottom w:val="single" w:color="auto" w:sz="4" w:space="0"/>
              <w:right w:val="single" w:color="auto" w:sz="4" w:space="0"/>
            </w:tcBorders>
            <w:vAlign w:val="center"/>
          </w:tcPr>
          <w:p w14:paraId="6C70DA33">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val="en-US" w:eastAsia="zh-CN"/>
              </w:rPr>
              <w:t>2027978.00</w:t>
            </w:r>
          </w:p>
        </w:tc>
      </w:tr>
      <w:tr w14:paraId="53C5F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657" w:type="dxa"/>
            <w:tcBorders>
              <w:top w:val="single" w:color="auto" w:sz="4" w:space="0"/>
              <w:left w:val="single" w:color="auto" w:sz="4" w:space="0"/>
              <w:bottom w:val="single" w:color="auto" w:sz="4" w:space="0"/>
              <w:right w:val="single" w:color="auto" w:sz="4" w:space="0"/>
            </w:tcBorders>
            <w:vAlign w:val="center"/>
          </w:tcPr>
          <w:p w14:paraId="717A07D6">
            <w:pPr>
              <w:keepNext w:val="0"/>
              <w:keepLines w:val="0"/>
              <w:pageBreakBefore w:val="0"/>
              <w:widowControl w:val="0"/>
              <w:tabs>
                <w:tab w:val="center" w:pos="167"/>
              </w:tabs>
              <w:kinsoku w:val="0"/>
              <w:wordWrap/>
              <w:overflowPunct/>
              <w:topLinePunct w:val="0"/>
              <w:autoSpaceDE w:val="0"/>
              <w:autoSpaceDN w:val="0"/>
              <w:bidi w:val="0"/>
              <w:adjustRightInd w:val="0"/>
              <w:snapToGrid w:val="0"/>
              <w:spacing w:line="440" w:lineRule="exact"/>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val="en-US" w:eastAsia="zh-CN"/>
              </w:rPr>
              <w:t>2</w:t>
            </w:r>
          </w:p>
        </w:tc>
        <w:tc>
          <w:tcPr>
            <w:tcW w:w="2150" w:type="dxa"/>
            <w:tcBorders>
              <w:top w:val="single" w:color="auto" w:sz="4" w:space="0"/>
              <w:left w:val="single" w:color="auto" w:sz="4" w:space="0"/>
              <w:bottom w:val="single" w:color="auto" w:sz="4" w:space="0"/>
              <w:right w:val="single" w:color="auto" w:sz="4" w:space="0"/>
            </w:tcBorders>
            <w:vAlign w:val="center"/>
          </w:tcPr>
          <w:p w14:paraId="7FA65A1C">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default" w:ascii="宋体" w:hAnsi="宋体" w:eastAsia="宋体" w:cs="宋体"/>
                <w:color w:val="auto"/>
                <w:spacing w:val="-1"/>
                <w:sz w:val="24"/>
                <w:szCs w:val="24"/>
                <w:highlight w:val="none"/>
                <w:lang w:val="en-US" w:eastAsia="zh-CN"/>
              </w:rPr>
            </w:pPr>
            <w:r>
              <w:rPr>
                <w:rFonts w:hint="eastAsia" w:ascii="宋体" w:hAnsi="宋体" w:eastAsia="宋体" w:cs="宋体"/>
                <w:color w:val="auto"/>
                <w:spacing w:val="-1"/>
                <w:sz w:val="24"/>
                <w:szCs w:val="24"/>
                <w:highlight w:val="none"/>
                <w:lang w:eastAsia="zh-CN"/>
              </w:rPr>
              <w:t>博政采购（2024）120号</w:t>
            </w:r>
            <w:r>
              <w:rPr>
                <w:rFonts w:hint="eastAsia" w:ascii="宋体" w:hAnsi="宋体" w:eastAsia="宋体" w:cs="宋体"/>
                <w:color w:val="auto"/>
                <w:spacing w:val="-1"/>
                <w:sz w:val="24"/>
                <w:szCs w:val="24"/>
                <w:highlight w:val="none"/>
                <w:lang w:val="en-US" w:eastAsia="zh-CN"/>
              </w:rPr>
              <w:t>-2</w:t>
            </w:r>
          </w:p>
        </w:tc>
        <w:tc>
          <w:tcPr>
            <w:tcW w:w="3328" w:type="dxa"/>
            <w:tcBorders>
              <w:top w:val="single" w:color="auto" w:sz="4" w:space="0"/>
              <w:left w:val="single" w:color="auto" w:sz="4" w:space="0"/>
              <w:bottom w:val="single" w:color="auto" w:sz="4" w:space="0"/>
              <w:right w:val="single" w:color="auto" w:sz="4" w:space="0"/>
            </w:tcBorders>
            <w:vAlign w:val="center"/>
          </w:tcPr>
          <w:p w14:paraId="769CFD47">
            <w:pPr>
              <w:keepNext w:val="0"/>
              <w:keepLines w:val="0"/>
              <w:pageBreakBefore w:val="0"/>
              <w:widowControl w:val="0"/>
              <w:kinsoku w:val="0"/>
              <w:wordWrap/>
              <w:overflowPunct/>
              <w:topLinePunct w:val="0"/>
              <w:autoSpaceDE w:val="0"/>
              <w:autoSpaceDN w:val="0"/>
              <w:bidi w:val="0"/>
              <w:adjustRightInd w:val="0"/>
              <w:snapToGrid w:val="0"/>
              <w:spacing w:before="156" w:line="440" w:lineRule="exact"/>
              <w:ind w:left="122" w:leftChars="0" w:right="161" w:rightChars="0"/>
              <w:jc w:val="center"/>
              <w:textAlignment w:val="baseline"/>
              <w:rPr>
                <w:rFonts w:hint="default" w:ascii="宋体" w:hAnsi="宋体" w:eastAsia="宋体" w:cs="宋体"/>
                <w:color w:val="auto"/>
                <w:spacing w:val="-1"/>
                <w:sz w:val="24"/>
                <w:szCs w:val="24"/>
                <w:highlight w:val="none"/>
                <w:lang w:val="en-US" w:eastAsia="zh-CN"/>
              </w:rPr>
            </w:pPr>
            <w:r>
              <w:rPr>
                <w:rFonts w:hint="eastAsia" w:ascii="宋体" w:hAnsi="宋体" w:eastAsia="宋体" w:cs="宋体"/>
                <w:color w:val="auto"/>
                <w:spacing w:val="-1"/>
                <w:sz w:val="24"/>
                <w:szCs w:val="24"/>
                <w:highlight w:val="none"/>
                <w:lang w:eastAsia="zh-CN"/>
              </w:rPr>
              <w:t>博爱县县直幼儿园功能室设备及室外场地活动设施采购项目（</w:t>
            </w:r>
            <w:r>
              <w:rPr>
                <w:rFonts w:hint="eastAsia" w:ascii="宋体" w:hAnsi="宋体" w:eastAsia="宋体" w:cs="宋体"/>
                <w:color w:val="auto"/>
                <w:spacing w:val="-1"/>
                <w:sz w:val="24"/>
                <w:szCs w:val="24"/>
                <w:highlight w:val="none"/>
                <w:lang w:val="en-US" w:eastAsia="zh-CN"/>
              </w:rPr>
              <w:t>二标段）</w:t>
            </w:r>
          </w:p>
        </w:tc>
        <w:tc>
          <w:tcPr>
            <w:tcW w:w="1550" w:type="dxa"/>
            <w:tcBorders>
              <w:top w:val="single" w:color="auto" w:sz="4" w:space="0"/>
              <w:left w:val="single" w:color="auto" w:sz="4" w:space="0"/>
              <w:bottom w:val="single" w:color="auto" w:sz="4" w:space="0"/>
              <w:right w:val="single" w:color="auto" w:sz="4" w:space="0"/>
            </w:tcBorders>
            <w:vAlign w:val="center"/>
          </w:tcPr>
          <w:p w14:paraId="0042F31C">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default" w:ascii="宋体" w:hAnsi="宋体" w:eastAsia="宋体" w:cs="宋体"/>
                <w:color w:val="auto"/>
                <w:spacing w:val="-1"/>
                <w:sz w:val="24"/>
                <w:szCs w:val="24"/>
                <w:highlight w:val="none"/>
                <w:lang w:val="en-US" w:eastAsia="zh-CN"/>
              </w:rPr>
            </w:pPr>
            <w:r>
              <w:rPr>
                <w:rFonts w:hint="eastAsia" w:ascii="宋体" w:hAnsi="宋体" w:eastAsia="宋体" w:cs="宋体"/>
                <w:color w:val="auto"/>
                <w:spacing w:val="-1"/>
                <w:sz w:val="24"/>
                <w:szCs w:val="24"/>
                <w:highlight w:val="none"/>
                <w:lang w:val="en-US" w:eastAsia="zh-CN"/>
              </w:rPr>
              <w:t>110000.00</w:t>
            </w:r>
          </w:p>
        </w:tc>
        <w:tc>
          <w:tcPr>
            <w:tcW w:w="1817" w:type="dxa"/>
            <w:tcBorders>
              <w:top w:val="single" w:color="auto" w:sz="4" w:space="0"/>
              <w:left w:val="single" w:color="auto" w:sz="4" w:space="0"/>
              <w:bottom w:val="single" w:color="auto" w:sz="4" w:space="0"/>
              <w:right w:val="single" w:color="auto" w:sz="4" w:space="0"/>
            </w:tcBorders>
            <w:vAlign w:val="center"/>
          </w:tcPr>
          <w:p w14:paraId="4F400BF1">
            <w:pPr>
              <w:keepNext w:val="0"/>
              <w:keepLines w:val="0"/>
              <w:pageBreakBefore w:val="0"/>
              <w:widowControl w:val="0"/>
              <w:kinsoku w:val="0"/>
              <w:wordWrap/>
              <w:overflowPunct/>
              <w:topLinePunct w:val="0"/>
              <w:autoSpaceDE w:val="0"/>
              <w:autoSpaceDN w:val="0"/>
              <w:bidi w:val="0"/>
              <w:adjustRightInd w:val="0"/>
              <w:snapToGrid w:val="0"/>
              <w:spacing w:line="440" w:lineRule="exact"/>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val="en-US" w:eastAsia="zh-CN"/>
              </w:rPr>
              <w:t>110000.00</w:t>
            </w:r>
          </w:p>
        </w:tc>
      </w:tr>
    </w:tbl>
    <w:p w14:paraId="28C78743">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5、采购需求（包括但不限于标的的名称、数量、简要技术需求或服务要求等）：</w:t>
      </w:r>
    </w:p>
    <w:p w14:paraId="4C90C397">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val="en-US" w:eastAsia="zh-CN"/>
        </w:rPr>
      </w:pPr>
      <w:r>
        <w:rPr>
          <w:rFonts w:hint="eastAsia" w:ascii="宋体" w:hAnsi="宋体" w:eastAsia="宋体" w:cs="宋体"/>
          <w:color w:val="auto"/>
          <w:spacing w:val="-1"/>
          <w:sz w:val="24"/>
          <w:szCs w:val="24"/>
          <w:highlight w:val="none"/>
          <w:lang w:val="en-US" w:eastAsia="zh-CN"/>
        </w:rPr>
        <w:t>一标段：采购书柜、角色书屋、表演舞台、顶部装饰物品等设备器材及用品；多功能报告厅设备；建设竹工坊、干沙游戏区、玩耍水系、湿沙塑性区等室外自然生态活动区；</w:t>
      </w:r>
    </w:p>
    <w:p w14:paraId="4B7D6CB9">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val="en-US" w:eastAsia="zh-CN"/>
        </w:rPr>
        <w:t>二标段：采购图书2790册</w:t>
      </w:r>
      <w:r>
        <w:rPr>
          <w:rFonts w:hint="eastAsia" w:ascii="宋体" w:hAnsi="宋体" w:eastAsia="宋体" w:cs="宋体"/>
          <w:color w:val="auto"/>
          <w:spacing w:val="-1"/>
          <w:sz w:val="24"/>
          <w:szCs w:val="24"/>
          <w:highlight w:val="none"/>
          <w:lang w:eastAsia="zh-CN"/>
        </w:rPr>
        <w:t>（详见招标文件）。</w:t>
      </w:r>
    </w:p>
    <w:p w14:paraId="4A528A73">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default" w:ascii="宋体" w:hAnsi="宋体" w:eastAsia="宋体" w:cs="宋体"/>
          <w:color w:val="auto"/>
          <w:spacing w:val="-1"/>
          <w:sz w:val="24"/>
          <w:szCs w:val="24"/>
          <w:highlight w:val="none"/>
          <w:lang w:val="en-US" w:eastAsia="zh-CN"/>
        </w:rPr>
      </w:pPr>
      <w:r>
        <w:rPr>
          <w:rFonts w:hint="eastAsia" w:ascii="宋体" w:hAnsi="宋体" w:eastAsia="宋体" w:cs="宋体"/>
          <w:color w:val="auto"/>
          <w:spacing w:val="-1"/>
          <w:sz w:val="24"/>
          <w:szCs w:val="24"/>
          <w:highlight w:val="none"/>
          <w:lang w:eastAsia="zh-CN"/>
        </w:rPr>
        <w:t>6、合同履行期限：</w:t>
      </w:r>
      <w:r>
        <w:rPr>
          <w:rFonts w:hint="eastAsia" w:ascii="宋体" w:hAnsi="宋体" w:eastAsia="宋体" w:cs="宋体"/>
          <w:color w:val="auto"/>
          <w:spacing w:val="-1"/>
          <w:sz w:val="24"/>
          <w:szCs w:val="24"/>
          <w:highlight w:val="none"/>
          <w:lang w:val="en-US" w:eastAsia="zh-CN"/>
        </w:rPr>
        <w:t>30日历天。</w:t>
      </w:r>
    </w:p>
    <w:p w14:paraId="1891434C">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7、质量要求：合格，符合国家及行业规范标准。</w:t>
      </w:r>
    </w:p>
    <w:p w14:paraId="43EE9DB3">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8、质保期限：一年。</w:t>
      </w:r>
    </w:p>
    <w:p w14:paraId="6DA9C847">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9、本项目是否接受联合体投标：否</w:t>
      </w:r>
    </w:p>
    <w:p w14:paraId="3BBB2EB3">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10、是否接受进口产品：否</w:t>
      </w:r>
    </w:p>
    <w:p w14:paraId="11648E70">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11、是否专门面向中小企业：否</w:t>
      </w:r>
    </w:p>
    <w:p w14:paraId="54AC780A">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1"/>
        <w:rPr>
          <w:rFonts w:hint="eastAsia" w:ascii="宋体" w:hAnsi="宋体" w:eastAsia="宋体" w:cs="宋体"/>
          <w:color w:val="auto"/>
          <w:spacing w:val="-1"/>
          <w:sz w:val="24"/>
          <w:szCs w:val="24"/>
          <w:highlight w:val="none"/>
          <w:lang w:eastAsia="zh-CN"/>
        </w:rPr>
      </w:pPr>
      <w:bookmarkStart w:id="13" w:name="_Toc20480"/>
      <w:r>
        <w:rPr>
          <w:rFonts w:hint="eastAsia" w:ascii="宋体" w:hAnsi="宋体" w:eastAsia="宋体" w:cs="宋体"/>
          <w:color w:val="auto"/>
          <w:spacing w:val="-1"/>
          <w:sz w:val="24"/>
          <w:szCs w:val="24"/>
          <w:highlight w:val="none"/>
          <w:lang w:eastAsia="zh-CN"/>
        </w:rPr>
        <w:t>二、申请人资格要求：</w:t>
      </w:r>
      <w:bookmarkEnd w:id="13"/>
    </w:p>
    <w:p w14:paraId="58C5E0BC">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val="en-US" w:eastAsia="zh-CN"/>
        </w:rPr>
      </w:pPr>
      <w:bookmarkStart w:id="14" w:name="_Toc18"/>
      <w:r>
        <w:rPr>
          <w:rFonts w:hint="eastAsia" w:ascii="宋体" w:hAnsi="宋体" w:eastAsia="宋体" w:cs="宋体"/>
          <w:color w:val="auto"/>
          <w:spacing w:val="-1"/>
          <w:sz w:val="24"/>
          <w:szCs w:val="24"/>
          <w:highlight w:val="none"/>
          <w:lang w:val="en-US" w:eastAsia="zh-CN"/>
        </w:rPr>
        <w:t>一标段：</w:t>
      </w:r>
    </w:p>
    <w:p w14:paraId="0A5272FB">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1、满足《中华人民共和国政府采购法》第二十二条规定；</w:t>
      </w:r>
      <w:bookmarkEnd w:id="14"/>
    </w:p>
    <w:p w14:paraId="2ADC00CC">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2、落实政府采购政策满足的资格要求：促进中小企业和监狱企业发展扶持政策、 政府强制采购节能产品、节能产品及环境标志产品优先采购。</w:t>
      </w:r>
    </w:p>
    <w:p w14:paraId="011B6D9B">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eastAsia="zh-CN"/>
        </w:rPr>
      </w:pPr>
      <w:bookmarkStart w:id="15" w:name="_Toc3690"/>
      <w:r>
        <w:rPr>
          <w:rFonts w:hint="eastAsia" w:ascii="宋体" w:hAnsi="宋体" w:eastAsia="宋体" w:cs="宋体"/>
          <w:color w:val="auto"/>
          <w:spacing w:val="-1"/>
          <w:sz w:val="24"/>
          <w:szCs w:val="24"/>
          <w:highlight w:val="none"/>
          <w:lang w:eastAsia="zh-CN"/>
        </w:rPr>
        <w:t>3、本项目的特定资格要求</w:t>
      </w:r>
      <w:bookmarkEnd w:id="15"/>
      <w:r>
        <w:rPr>
          <w:rFonts w:hint="eastAsia" w:ascii="宋体" w:hAnsi="宋体" w:eastAsia="宋体" w:cs="宋体"/>
          <w:color w:val="auto"/>
          <w:spacing w:val="-1"/>
          <w:sz w:val="24"/>
          <w:szCs w:val="24"/>
          <w:highlight w:val="none"/>
          <w:lang w:eastAsia="zh-CN"/>
        </w:rPr>
        <w:t>：</w:t>
      </w:r>
    </w:p>
    <w:p w14:paraId="5542FC91">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3.1 投标人须具有有效的营业执照，并具有实施完成本项目的经营实力和完善的售后服务体系；</w:t>
      </w:r>
    </w:p>
    <w:p w14:paraId="5D1728C5">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3.2 信誉要求：按照《财政部关于在政府采购活动中查询及使用信用记录有关问题的通知》（财库〔2016〕 125 号 ）的要求 ，根据开标 当 日 “ 信用中国 ”网站 （www.creditchina.gov.cn）、中国政府采购网（www.ccgp.gov.cn）的信息，对列入失信被执行人、重大税收违法失信主体、政府采购严重违法失信行为记录名单的投标人，拒绝参与政府采购活动，同时对信用信息查询记录和证据进行打印存档。</w:t>
      </w:r>
    </w:p>
    <w:p w14:paraId="51C7C5B3">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3.3 本项目不接受联合体投标；</w:t>
      </w:r>
    </w:p>
    <w:p w14:paraId="2FEB6F7A">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3.4 资格审查方式：资格后审。</w:t>
      </w:r>
    </w:p>
    <w:p w14:paraId="0756BBE0">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val="en-US" w:eastAsia="zh-CN"/>
        </w:rPr>
      </w:pPr>
      <w:r>
        <w:rPr>
          <w:rFonts w:hint="eastAsia" w:ascii="宋体" w:hAnsi="宋体" w:eastAsia="宋体" w:cs="宋体"/>
          <w:color w:val="auto"/>
          <w:spacing w:val="-1"/>
          <w:sz w:val="24"/>
          <w:szCs w:val="24"/>
          <w:highlight w:val="none"/>
          <w:lang w:val="en-US" w:eastAsia="zh-CN"/>
        </w:rPr>
        <w:t>二标段：</w:t>
      </w:r>
    </w:p>
    <w:p w14:paraId="7E760D85">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1、满足《中华人民共和国政府采购法》第二十二条规定；</w:t>
      </w:r>
    </w:p>
    <w:p w14:paraId="07FEAC5E">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2、落实政府采购政策满足的资格要求：促进中小企业和监狱企业发展扶持政策、 政府强制采购节能产品、节能产品及环境标志产品优先采购。</w:t>
      </w:r>
    </w:p>
    <w:p w14:paraId="6699A818">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3、本项目的特定资格要求：</w:t>
      </w:r>
    </w:p>
    <w:p w14:paraId="6C90700B">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3.1 投标人须具有有效的营业执照、</w:t>
      </w:r>
      <w:r>
        <w:rPr>
          <w:rFonts w:hint="eastAsia" w:ascii="宋体" w:hAnsi="宋体" w:eastAsia="宋体" w:cs="宋体"/>
          <w:color w:val="000000" w:themeColor="text1"/>
          <w:sz w:val="24"/>
          <w:szCs w:val="24"/>
          <w:highlight w:val="none"/>
          <w:lang w:val="en-US" w:eastAsia="zh-CN"/>
          <w14:textFill>
            <w14:solidFill>
              <w14:schemeClr w14:val="tx1"/>
            </w14:solidFill>
          </w14:textFill>
        </w:rPr>
        <w:t>《出版物经营许可证》</w:t>
      </w:r>
      <w:r>
        <w:rPr>
          <w:rFonts w:hint="eastAsia" w:ascii="宋体" w:hAnsi="宋体" w:eastAsia="宋体" w:cs="宋体"/>
          <w:color w:val="auto"/>
          <w:spacing w:val="-1"/>
          <w:sz w:val="24"/>
          <w:szCs w:val="24"/>
          <w:highlight w:val="none"/>
          <w:lang w:eastAsia="zh-CN"/>
        </w:rPr>
        <w:t>，并具有实施完成本项目的经营实力和完善的售后服务体系；</w:t>
      </w:r>
    </w:p>
    <w:p w14:paraId="5FB8ACDF">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3.2 信誉要求：按照《财政部关于在政府采购活动中查询及使用信用记录有关问题的通知》（财库〔2016〕 125 号 ）的要求 ，根据开标 当 日 “ 信用中国 ”网站 （www.creditchina.gov.cn）、中国政府采购网（www.ccgp.gov.cn）的信息，对列入失信被执行人、重大税收违法失信主体、政府采购严重违法失信行为记录名单的投标人，拒绝参与政府采购活动，同时对信用信息查询记录和证据进行打印存档。</w:t>
      </w:r>
    </w:p>
    <w:p w14:paraId="563CEB5E">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3.3 本项目不接受联合体投标；</w:t>
      </w:r>
    </w:p>
    <w:p w14:paraId="17BDC1B0">
      <w:pPr>
        <w:pStyle w:val="1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40" w:lineRule="exact"/>
        <w:ind w:right="0" w:firstLine="476" w:firstLineChars="200"/>
        <w:textAlignment w:val="auto"/>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3.4 资格审查方式：资格后审。</w:t>
      </w:r>
    </w:p>
    <w:p w14:paraId="79C9017F">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1"/>
        <w:rPr>
          <w:rFonts w:hint="eastAsia" w:ascii="宋体" w:hAnsi="宋体" w:eastAsia="宋体" w:cs="宋体"/>
          <w:color w:val="auto"/>
          <w:spacing w:val="-1"/>
          <w:sz w:val="24"/>
          <w:szCs w:val="24"/>
          <w:highlight w:val="none"/>
          <w:lang w:eastAsia="zh-CN"/>
        </w:rPr>
      </w:pPr>
      <w:bookmarkStart w:id="16" w:name="_Toc12968"/>
      <w:r>
        <w:rPr>
          <w:rFonts w:hint="eastAsia" w:ascii="宋体" w:hAnsi="宋体" w:eastAsia="宋体" w:cs="宋体"/>
          <w:color w:val="auto"/>
          <w:spacing w:val="-1"/>
          <w:sz w:val="24"/>
          <w:szCs w:val="24"/>
          <w:highlight w:val="none"/>
          <w:lang w:eastAsia="zh-CN"/>
        </w:rPr>
        <w:t>三、获取</w:t>
      </w:r>
      <w:r>
        <w:rPr>
          <w:rFonts w:hint="eastAsia" w:ascii="宋体" w:hAnsi="宋体" w:eastAsia="宋体" w:cs="宋体"/>
          <w:color w:val="auto"/>
          <w:spacing w:val="-1"/>
          <w:sz w:val="24"/>
          <w:szCs w:val="24"/>
          <w:highlight w:val="none"/>
          <w:lang w:val="en-US" w:eastAsia="zh-CN"/>
        </w:rPr>
        <w:t>招标</w:t>
      </w:r>
      <w:r>
        <w:rPr>
          <w:rFonts w:hint="eastAsia" w:ascii="宋体" w:hAnsi="宋体" w:eastAsia="宋体" w:cs="宋体"/>
          <w:color w:val="auto"/>
          <w:spacing w:val="-1"/>
          <w:sz w:val="24"/>
          <w:szCs w:val="24"/>
          <w:highlight w:val="none"/>
          <w:lang w:eastAsia="zh-CN"/>
        </w:rPr>
        <w:t>文件</w:t>
      </w:r>
      <w:bookmarkEnd w:id="16"/>
    </w:p>
    <w:p w14:paraId="140267E2">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1.时间：2024年</w:t>
      </w:r>
      <w:r>
        <w:rPr>
          <w:rFonts w:hint="eastAsia" w:ascii="宋体" w:hAnsi="宋体" w:eastAsia="宋体" w:cs="宋体"/>
          <w:color w:val="auto"/>
          <w:spacing w:val="-1"/>
          <w:sz w:val="24"/>
          <w:szCs w:val="24"/>
          <w:highlight w:val="none"/>
          <w:lang w:val="en-US" w:eastAsia="zh-CN"/>
        </w:rPr>
        <w:t>11</w:t>
      </w:r>
      <w:r>
        <w:rPr>
          <w:rFonts w:hint="eastAsia" w:ascii="宋体" w:hAnsi="宋体" w:eastAsia="宋体" w:cs="宋体"/>
          <w:color w:val="auto"/>
          <w:spacing w:val="-1"/>
          <w:sz w:val="24"/>
          <w:szCs w:val="24"/>
          <w:highlight w:val="none"/>
          <w:lang w:eastAsia="zh-CN"/>
        </w:rPr>
        <w:t>月</w:t>
      </w:r>
      <w:r>
        <w:rPr>
          <w:rFonts w:hint="eastAsia" w:ascii="宋体" w:hAnsi="宋体" w:eastAsia="宋体" w:cs="宋体"/>
          <w:color w:val="auto"/>
          <w:spacing w:val="-1"/>
          <w:sz w:val="24"/>
          <w:szCs w:val="24"/>
          <w:highlight w:val="none"/>
          <w:lang w:val="en-US" w:eastAsia="zh-CN"/>
        </w:rPr>
        <w:t>04</w:t>
      </w:r>
      <w:r>
        <w:rPr>
          <w:rFonts w:hint="eastAsia" w:ascii="宋体" w:hAnsi="宋体" w:eastAsia="宋体" w:cs="宋体"/>
          <w:color w:val="auto"/>
          <w:spacing w:val="-1"/>
          <w:sz w:val="24"/>
          <w:szCs w:val="24"/>
          <w:highlight w:val="none"/>
          <w:lang w:eastAsia="zh-CN"/>
        </w:rPr>
        <w:t>日至2024年</w:t>
      </w:r>
      <w:r>
        <w:rPr>
          <w:rFonts w:hint="eastAsia" w:ascii="宋体" w:hAnsi="宋体" w:eastAsia="宋体" w:cs="宋体"/>
          <w:color w:val="auto"/>
          <w:spacing w:val="-1"/>
          <w:sz w:val="24"/>
          <w:szCs w:val="24"/>
          <w:highlight w:val="none"/>
          <w:lang w:val="en-US" w:eastAsia="zh-CN"/>
        </w:rPr>
        <w:t>11</w:t>
      </w:r>
      <w:r>
        <w:rPr>
          <w:rFonts w:hint="eastAsia" w:ascii="宋体" w:hAnsi="宋体" w:eastAsia="宋体" w:cs="宋体"/>
          <w:color w:val="auto"/>
          <w:spacing w:val="-1"/>
          <w:sz w:val="24"/>
          <w:szCs w:val="24"/>
          <w:highlight w:val="none"/>
          <w:lang w:eastAsia="zh-CN"/>
        </w:rPr>
        <w:t>月</w:t>
      </w:r>
      <w:r>
        <w:rPr>
          <w:rFonts w:hint="eastAsia" w:ascii="宋体" w:hAnsi="宋体" w:eastAsia="宋体" w:cs="宋体"/>
          <w:color w:val="auto"/>
          <w:spacing w:val="-1"/>
          <w:sz w:val="24"/>
          <w:szCs w:val="24"/>
          <w:highlight w:val="none"/>
          <w:lang w:val="en-US" w:eastAsia="zh-CN"/>
        </w:rPr>
        <w:t>08</w:t>
      </w:r>
      <w:r>
        <w:rPr>
          <w:rFonts w:hint="eastAsia" w:ascii="宋体" w:hAnsi="宋体" w:eastAsia="宋体" w:cs="宋体"/>
          <w:color w:val="auto"/>
          <w:spacing w:val="-1"/>
          <w:sz w:val="24"/>
          <w:szCs w:val="24"/>
          <w:highlight w:val="none"/>
          <w:lang w:eastAsia="zh-CN"/>
        </w:rPr>
        <w:t>日，每天上午0</w:t>
      </w:r>
      <w:r>
        <w:rPr>
          <w:rFonts w:hint="eastAsia" w:ascii="宋体" w:hAnsi="宋体" w:eastAsia="宋体" w:cs="宋体"/>
          <w:color w:val="auto"/>
          <w:spacing w:val="-1"/>
          <w:sz w:val="24"/>
          <w:szCs w:val="24"/>
          <w:highlight w:val="none"/>
          <w:lang w:val="en-US" w:eastAsia="zh-CN"/>
        </w:rPr>
        <w:t>0</w:t>
      </w:r>
      <w:r>
        <w:rPr>
          <w:rFonts w:hint="eastAsia" w:ascii="宋体" w:hAnsi="宋体" w:eastAsia="宋体" w:cs="宋体"/>
          <w:color w:val="auto"/>
          <w:spacing w:val="-1"/>
          <w:sz w:val="24"/>
          <w:szCs w:val="24"/>
          <w:highlight w:val="none"/>
          <w:lang w:eastAsia="zh-CN"/>
        </w:rPr>
        <w:t>:00至12:00，下午12:00至23:</w:t>
      </w:r>
      <w:r>
        <w:rPr>
          <w:rFonts w:hint="eastAsia" w:ascii="宋体" w:hAnsi="宋体" w:eastAsia="宋体" w:cs="宋体"/>
          <w:color w:val="auto"/>
          <w:spacing w:val="-1"/>
          <w:sz w:val="24"/>
          <w:szCs w:val="24"/>
          <w:highlight w:val="none"/>
          <w:lang w:val="en-US" w:eastAsia="zh-CN"/>
        </w:rPr>
        <w:t>59</w:t>
      </w:r>
      <w:r>
        <w:rPr>
          <w:rFonts w:hint="eastAsia" w:ascii="宋体" w:hAnsi="宋体" w:eastAsia="宋体" w:cs="宋体"/>
          <w:color w:val="auto"/>
          <w:spacing w:val="-1"/>
          <w:sz w:val="24"/>
          <w:szCs w:val="24"/>
          <w:highlight w:val="none"/>
          <w:lang w:eastAsia="zh-CN"/>
        </w:rPr>
        <w:t>（北京时间，法定节假日除外。）</w:t>
      </w:r>
    </w:p>
    <w:p w14:paraId="2DF2C041">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eastAsia="zh-CN"/>
        </w:rPr>
      </w:pPr>
      <w:bookmarkStart w:id="17" w:name="_Toc5965"/>
      <w:r>
        <w:rPr>
          <w:rFonts w:hint="eastAsia" w:ascii="宋体" w:hAnsi="宋体" w:eastAsia="宋体" w:cs="宋体"/>
          <w:color w:val="auto"/>
          <w:spacing w:val="-1"/>
          <w:sz w:val="24"/>
          <w:szCs w:val="24"/>
          <w:highlight w:val="none"/>
          <w:lang w:eastAsia="zh-CN"/>
        </w:rPr>
        <w:t>2.地点：焦作市公共资源交易中心网站；</w:t>
      </w:r>
      <w:bookmarkEnd w:id="17"/>
    </w:p>
    <w:p w14:paraId="6DA0DCBF">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3.方式：本项目采用电子开评标（不见面开标），凡有意参加投标者，请登陆焦作市公共资源交易中心网站交易平台“交易主体登录”栏目下载</w:t>
      </w:r>
      <w:r>
        <w:rPr>
          <w:rFonts w:hint="eastAsia" w:ascii="宋体" w:hAnsi="宋体" w:eastAsia="宋体" w:cs="宋体"/>
          <w:color w:val="auto"/>
          <w:spacing w:val="-1"/>
          <w:sz w:val="24"/>
          <w:szCs w:val="24"/>
          <w:highlight w:val="none"/>
          <w:lang w:val="en-US" w:eastAsia="zh-CN"/>
        </w:rPr>
        <w:t>招标</w:t>
      </w:r>
      <w:r>
        <w:rPr>
          <w:rFonts w:hint="eastAsia" w:ascii="宋体" w:hAnsi="宋体" w:eastAsia="宋体" w:cs="宋体"/>
          <w:color w:val="auto"/>
          <w:spacing w:val="-1"/>
          <w:sz w:val="24"/>
          <w:szCs w:val="24"/>
          <w:highlight w:val="none"/>
          <w:lang w:eastAsia="zh-CN"/>
        </w:rPr>
        <w:t>文件。</w:t>
      </w:r>
    </w:p>
    <w:p w14:paraId="6D5DFB07">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eastAsia="zh-CN"/>
        </w:rPr>
      </w:pPr>
      <w:bookmarkStart w:id="18" w:name="_Toc30644"/>
      <w:r>
        <w:rPr>
          <w:rFonts w:hint="eastAsia" w:ascii="宋体" w:hAnsi="宋体" w:eastAsia="宋体" w:cs="宋体"/>
          <w:color w:val="auto"/>
          <w:spacing w:val="-1"/>
          <w:sz w:val="24"/>
          <w:szCs w:val="24"/>
          <w:highlight w:val="none"/>
          <w:lang w:eastAsia="zh-CN"/>
        </w:rPr>
        <w:t>4.售价：0元</w:t>
      </w:r>
      <w:bookmarkEnd w:id="18"/>
    </w:p>
    <w:p w14:paraId="46D7AE1F">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1"/>
        <w:rPr>
          <w:rFonts w:hint="eastAsia" w:ascii="宋体" w:hAnsi="宋体" w:eastAsia="宋体" w:cs="宋体"/>
          <w:color w:val="auto"/>
          <w:spacing w:val="-1"/>
          <w:sz w:val="24"/>
          <w:szCs w:val="24"/>
          <w:highlight w:val="none"/>
          <w:lang w:val="en-US" w:eastAsia="zh-CN"/>
        </w:rPr>
      </w:pPr>
      <w:bookmarkStart w:id="19" w:name="_Toc25642"/>
      <w:r>
        <w:rPr>
          <w:rFonts w:hint="eastAsia" w:ascii="宋体" w:hAnsi="宋体" w:eastAsia="宋体" w:cs="宋体"/>
          <w:color w:val="auto"/>
          <w:spacing w:val="-1"/>
          <w:sz w:val="24"/>
          <w:szCs w:val="24"/>
          <w:highlight w:val="none"/>
          <w:lang w:eastAsia="zh-CN"/>
        </w:rPr>
        <w:t>四、</w:t>
      </w:r>
      <w:bookmarkEnd w:id="19"/>
      <w:r>
        <w:rPr>
          <w:rFonts w:hint="eastAsia" w:ascii="宋体" w:hAnsi="宋体" w:eastAsia="宋体" w:cs="宋体"/>
          <w:color w:val="auto"/>
          <w:spacing w:val="-1"/>
          <w:sz w:val="24"/>
          <w:szCs w:val="24"/>
          <w:highlight w:val="none"/>
          <w:lang w:val="en-US" w:eastAsia="zh-CN"/>
        </w:rPr>
        <w:t>投标截止时间及地点</w:t>
      </w:r>
    </w:p>
    <w:p w14:paraId="0F137FAD">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1.时间：</w:t>
      </w:r>
      <w:r>
        <w:rPr>
          <w:rFonts w:hint="eastAsia" w:ascii="宋体" w:hAnsi="宋体" w:eastAsia="宋体" w:cs="宋体"/>
          <w:color w:val="auto"/>
          <w:spacing w:val="-1"/>
          <w:sz w:val="24"/>
          <w:szCs w:val="24"/>
          <w:highlight w:val="none"/>
          <w:lang w:eastAsia="zh-CN"/>
        </w:rPr>
        <w:t>2024年</w:t>
      </w:r>
      <w:r>
        <w:rPr>
          <w:rFonts w:hint="eastAsia" w:ascii="宋体" w:hAnsi="宋体" w:eastAsia="宋体" w:cs="宋体"/>
          <w:color w:val="auto"/>
          <w:spacing w:val="-1"/>
          <w:sz w:val="24"/>
          <w:szCs w:val="24"/>
          <w:highlight w:val="none"/>
          <w:lang w:val="en-US" w:eastAsia="zh-CN"/>
        </w:rPr>
        <w:t>12</w:t>
      </w:r>
      <w:r>
        <w:rPr>
          <w:rFonts w:hint="eastAsia" w:ascii="宋体" w:hAnsi="宋体" w:eastAsia="宋体" w:cs="宋体"/>
          <w:color w:val="auto"/>
          <w:spacing w:val="-1"/>
          <w:sz w:val="24"/>
          <w:szCs w:val="24"/>
          <w:highlight w:val="none"/>
          <w:lang w:eastAsia="zh-CN"/>
        </w:rPr>
        <w:t>月</w:t>
      </w:r>
      <w:r>
        <w:rPr>
          <w:rFonts w:hint="eastAsia" w:ascii="宋体" w:hAnsi="宋体" w:eastAsia="宋体" w:cs="宋体"/>
          <w:color w:val="auto"/>
          <w:spacing w:val="-1"/>
          <w:sz w:val="24"/>
          <w:szCs w:val="24"/>
          <w:highlight w:val="none"/>
          <w:lang w:val="en-US" w:eastAsia="zh-CN"/>
        </w:rPr>
        <w:t>03</w:t>
      </w:r>
      <w:r>
        <w:rPr>
          <w:rFonts w:hint="eastAsia" w:ascii="宋体" w:hAnsi="宋体" w:eastAsia="宋体" w:cs="宋体"/>
          <w:color w:val="auto"/>
          <w:spacing w:val="-1"/>
          <w:sz w:val="24"/>
          <w:szCs w:val="24"/>
          <w:highlight w:val="none"/>
          <w:lang w:eastAsia="zh-CN"/>
        </w:rPr>
        <w:t>日</w:t>
      </w:r>
      <w:r>
        <w:rPr>
          <w:rFonts w:hint="eastAsia" w:ascii="宋体" w:hAnsi="宋体" w:eastAsia="宋体" w:cs="宋体"/>
          <w:color w:val="auto"/>
          <w:spacing w:val="-1"/>
          <w:sz w:val="24"/>
          <w:szCs w:val="24"/>
          <w:highlight w:val="none"/>
          <w:lang w:val="en-US" w:eastAsia="zh-CN"/>
        </w:rPr>
        <w:t>上午</w:t>
      </w:r>
      <w:r>
        <w:rPr>
          <w:rFonts w:hint="eastAsia" w:ascii="宋体" w:hAnsi="宋体" w:eastAsia="宋体" w:cs="宋体"/>
          <w:color w:val="auto"/>
          <w:spacing w:val="-1"/>
          <w:sz w:val="24"/>
          <w:szCs w:val="24"/>
          <w:highlight w:val="none"/>
          <w:lang w:eastAsia="zh-CN"/>
        </w:rPr>
        <w:t>9时00分（北京时间）</w:t>
      </w:r>
    </w:p>
    <w:p w14:paraId="58D4A42B">
      <w:pPr>
        <w:adjustRightInd w:val="0"/>
        <w:snapToGrid w:val="0"/>
        <w:spacing w:line="440" w:lineRule="exact"/>
        <w:ind w:firstLine="476" w:firstLineChars="200"/>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2.地点：</w:t>
      </w:r>
      <w:r>
        <w:rPr>
          <w:rFonts w:ascii="宋体" w:hAnsi="宋体" w:cs="宋体"/>
          <w:kern w:val="0"/>
          <w:sz w:val="24"/>
          <w:highlight w:val="none"/>
        </w:rPr>
        <w:t>加密电子响应性文件须在响应性文件提交截止时间前通过“焦作市公共资源交易中心（https://ggzy.jiaozuo.gov.cn/）”网站-交易平台加密上传。</w:t>
      </w:r>
    </w:p>
    <w:p w14:paraId="3131E5F1">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1"/>
        <w:rPr>
          <w:rFonts w:hint="eastAsia" w:ascii="宋体" w:hAnsi="宋体" w:eastAsia="宋体" w:cs="宋体"/>
          <w:color w:val="auto"/>
          <w:spacing w:val="-1"/>
          <w:sz w:val="24"/>
          <w:szCs w:val="24"/>
          <w:highlight w:val="none"/>
          <w:lang w:val="en-US" w:eastAsia="zh-CN"/>
        </w:rPr>
      </w:pPr>
      <w:bookmarkStart w:id="20" w:name="_Toc2995"/>
      <w:r>
        <w:rPr>
          <w:rFonts w:hint="eastAsia" w:ascii="宋体" w:hAnsi="宋体" w:eastAsia="宋体" w:cs="宋体"/>
          <w:color w:val="auto"/>
          <w:spacing w:val="-1"/>
          <w:sz w:val="24"/>
          <w:szCs w:val="24"/>
          <w:highlight w:val="none"/>
          <w:lang w:eastAsia="zh-CN"/>
        </w:rPr>
        <w:t>五、</w:t>
      </w:r>
      <w:bookmarkEnd w:id="20"/>
      <w:r>
        <w:rPr>
          <w:rFonts w:hint="eastAsia" w:ascii="宋体" w:hAnsi="宋体" w:eastAsia="宋体" w:cs="宋体"/>
          <w:color w:val="auto"/>
          <w:spacing w:val="-1"/>
          <w:sz w:val="24"/>
          <w:szCs w:val="24"/>
          <w:highlight w:val="none"/>
          <w:lang w:val="en-US" w:eastAsia="zh-CN"/>
        </w:rPr>
        <w:t>开标时间及地点</w:t>
      </w:r>
    </w:p>
    <w:p w14:paraId="27114ED5">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1.时间：</w:t>
      </w:r>
      <w:r>
        <w:rPr>
          <w:rFonts w:hint="eastAsia" w:ascii="宋体" w:hAnsi="宋体" w:eastAsia="宋体" w:cs="宋体"/>
          <w:color w:val="auto"/>
          <w:spacing w:val="-1"/>
          <w:sz w:val="24"/>
          <w:szCs w:val="24"/>
          <w:highlight w:val="none"/>
          <w:lang w:eastAsia="zh-CN"/>
        </w:rPr>
        <w:t>2024年</w:t>
      </w:r>
      <w:r>
        <w:rPr>
          <w:rFonts w:hint="eastAsia" w:ascii="宋体" w:hAnsi="宋体" w:eastAsia="宋体" w:cs="宋体"/>
          <w:color w:val="auto"/>
          <w:spacing w:val="-1"/>
          <w:sz w:val="24"/>
          <w:szCs w:val="24"/>
          <w:highlight w:val="none"/>
          <w:lang w:val="en-US" w:eastAsia="zh-CN"/>
        </w:rPr>
        <w:t>12</w:t>
      </w:r>
      <w:r>
        <w:rPr>
          <w:rFonts w:hint="eastAsia" w:ascii="宋体" w:hAnsi="宋体" w:eastAsia="宋体" w:cs="宋体"/>
          <w:color w:val="auto"/>
          <w:spacing w:val="-1"/>
          <w:sz w:val="24"/>
          <w:szCs w:val="24"/>
          <w:highlight w:val="none"/>
          <w:lang w:eastAsia="zh-CN"/>
        </w:rPr>
        <w:t>月</w:t>
      </w:r>
      <w:r>
        <w:rPr>
          <w:rFonts w:hint="eastAsia" w:ascii="宋体" w:hAnsi="宋体" w:eastAsia="宋体" w:cs="宋体"/>
          <w:color w:val="auto"/>
          <w:spacing w:val="-1"/>
          <w:sz w:val="24"/>
          <w:szCs w:val="24"/>
          <w:highlight w:val="none"/>
          <w:lang w:val="en-US" w:eastAsia="zh-CN"/>
        </w:rPr>
        <w:t>03</w:t>
      </w:r>
      <w:r>
        <w:rPr>
          <w:rFonts w:hint="eastAsia" w:ascii="宋体" w:hAnsi="宋体" w:eastAsia="宋体" w:cs="宋体"/>
          <w:color w:val="auto"/>
          <w:spacing w:val="-1"/>
          <w:sz w:val="24"/>
          <w:szCs w:val="24"/>
          <w:highlight w:val="none"/>
          <w:lang w:eastAsia="zh-CN"/>
        </w:rPr>
        <w:t>日</w:t>
      </w:r>
      <w:r>
        <w:rPr>
          <w:rFonts w:hint="eastAsia" w:ascii="宋体" w:hAnsi="宋体" w:eastAsia="宋体" w:cs="宋体"/>
          <w:color w:val="auto"/>
          <w:spacing w:val="-1"/>
          <w:sz w:val="24"/>
          <w:szCs w:val="24"/>
          <w:highlight w:val="none"/>
          <w:lang w:val="en-US" w:eastAsia="zh-CN"/>
        </w:rPr>
        <w:t>上午</w:t>
      </w:r>
      <w:r>
        <w:rPr>
          <w:rFonts w:hint="eastAsia" w:ascii="宋体" w:hAnsi="宋体" w:eastAsia="宋体" w:cs="宋体"/>
          <w:color w:val="auto"/>
          <w:spacing w:val="-1"/>
          <w:sz w:val="24"/>
          <w:szCs w:val="24"/>
          <w:highlight w:val="none"/>
          <w:lang w:eastAsia="zh-CN"/>
        </w:rPr>
        <w:t>9时00分（北京时间）</w:t>
      </w:r>
    </w:p>
    <w:p w14:paraId="2EFDB2CB">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2.地点：博爱县公共资源交易中心二楼不见面开标二室。</w:t>
      </w:r>
    </w:p>
    <w:p w14:paraId="2C37373E">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1"/>
        <w:rPr>
          <w:rFonts w:hint="eastAsia" w:ascii="宋体" w:hAnsi="宋体" w:eastAsia="宋体" w:cs="宋体"/>
          <w:color w:val="auto"/>
          <w:spacing w:val="-1"/>
          <w:sz w:val="24"/>
          <w:szCs w:val="24"/>
          <w:highlight w:val="none"/>
          <w:lang w:eastAsia="zh-CN"/>
        </w:rPr>
      </w:pPr>
      <w:bookmarkStart w:id="21" w:name="_Toc19595"/>
      <w:r>
        <w:rPr>
          <w:rFonts w:hint="eastAsia" w:ascii="宋体" w:hAnsi="宋体" w:eastAsia="宋体" w:cs="宋体"/>
          <w:color w:val="auto"/>
          <w:spacing w:val="-1"/>
          <w:sz w:val="24"/>
          <w:szCs w:val="24"/>
          <w:highlight w:val="none"/>
          <w:lang w:eastAsia="zh-CN"/>
        </w:rPr>
        <w:t>六、发布公告的媒介及招标公告期限</w:t>
      </w:r>
      <w:bookmarkEnd w:id="21"/>
    </w:p>
    <w:p w14:paraId="7A9CEE6E">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本次招标公告在中国招标投标公共服务平台、河南省政府采购网、焦作市政府采购网、焦作市公共资源交易中心网、博爱县人民政府网、博爱县公共资源交易中心网 http://ggzy.boai.gov.cn/上发布。招标公告期限为五个工作日。</w:t>
      </w:r>
    </w:p>
    <w:p w14:paraId="7976C484">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1"/>
        <w:rPr>
          <w:rFonts w:hint="eastAsia" w:ascii="宋体" w:hAnsi="宋体" w:eastAsia="宋体" w:cs="宋体"/>
          <w:color w:val="auto"/>
          <w:spacing w:val="-1"/>
          <w:sz w:val="24"/>
          <w:szCs w:val="24"/>
          <w:highlight w:val="none"/>
          <w:lang w:eastAsia="zh-CN"/>
        </w:rPr>
      </w:pPr>
      <w:bookmarkStart w:id="22" w:name="_Toc10522"/>
      <w:r>
        <w:rPr>
          <w:rFonts w:hint="eastAsia" w:ascii="宋体" w:hAnsi="宋体" w:eastAsia="宋体" w:cs="宋体"/>
          <w:color w:val="auto"/>
          <w:spacing w:val="-1"/>
          <w:sz w:val="24"/>
          <w:szCs w:val="24"/>
          <w:highlight w:val="none"/>
          <w:lang w:eastAsia="zh-CN"/>
        </w:rPr>
        <w:t>七、其他补充事宜</w:t>
      </w:r>
      <w:bookmarkEnd w:id="22"/>
    </w:p>
    <w:p w14:paraId="3B9BC653">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1.本项目采用“远程不见面”的开标方式，潜在投标人可提前在焦作市交易中心官网首页---下载中心--下载《焦作市电子招投标系统操作手册》和《焦作市公共资源交易平台不见面开标操作手册》、《投标文件制作工作工具》等，查看操作说明，按要求进行投标文件制作和上传等。为避免网络拥堵等不可控因素影响投标文件的上传，请提前上传投标文件，并在开标截止时间前登录不见面开标大厅</w:t>
      </w:r>
      <w:bookmarkStart w:id="23" w:name="undefined"/>
      <w:bookmarkEnd w:id="23"/>
    </w:p>
    <w:p w14:paraId="418B8EEC">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w:t>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HYPERLINK "http://ggzy.jiaozuo.gov.cn/BidOpeningHall/bidhall/default/login" </w:instrText>
      </w:r>
      <w:r>
        <w:rPr>
          <w:rFonts w:hint="eastAsia" w:ascii="宋体" w:hAnsi="宋体" w:eastAsia="宋体" w:cs="宋体"/>
          <w:sz w:val="24"/>
          <w:szCs w:val="24"/>
          <w:highlight w:val="none"/>
        </w:rPr>
        <w:fldChar w:fldCharType="separate"/>
      </w:r>
      <w:r>
        <w:rPr>
          <w:rStyle w:val="18"/>
          <w:rFonts w:hint="eastAsia" w:ascii="宋体" w:hAnsi="宋体" w:eastAsia="宋体" w:cs="宋体"/>
          <w:color w:val="auto"/>
          <w:spacing w:val="-1"/>
          <w:sz w:val="24"/>
          <w:szCs w:val="24"/>
          <w:highlight w:val="none"/>
          <w:lang w:eastAsia="zh-CN"/>
        </w:rPr>
        <w:t>http://ggzy.jiaozuo.gov.cn/BidOpeningHall/bidhall/default/login</w:t>
      </w:r>
      <w:r>
        <w:rPr>
          <w:rStyle w:val="18"/>
          <w:rFonts w:hint="eastAsia" w:ascii="宋体" w:hAnsi="宋体" w:eastAsia="宋体" w:cs="宋体"/>
          <w:color w:val="auto"/>
          <w:spacing w:val="-1"/>
          <w:sz w:val="24"/>
          <w:szCs w:val="24"/>
          <w:highlight w:val="none"/>
          <w:lang w:eastAsia="zh-CN"/>
        </w:rPr>
        <w:fldChar w:fldCharType="end"/>
      </w:r>
      <w:r>
        <w:rPr>
          <w:rFonts w:hint="eastAsia" w:ascii="宋体" w:hAnsi="宋体" w:eastAsia="宋体" w:cs="宋体"/>
          <w:color w:val="auto"/>
          <w:spacing w:val="-1"/>
          <w:sz w:val="24"/>
          <w:szCs w:val="24"/>
          <w:highlight w:val="none"/>
          <w:lang w:eastAsia="zh-CN"/>
        </w:rPr>
        <w:t>）进行签到，按要求解密投标文件。因文件未及时上传导致投标失败的责任由投标人自行承担，具体要求详见招标文件。平台统一技术服务电话：400-998-0000，服务QQ：4008503300，服务时间：周一至周日8：00-17：30。</w:t>
      </w:r>
    </w:p>
    <w:p w14:paraId="3198AA50">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2.</w:t>
      </w:r>
      <w:r>
        <w:rPr>
          <w:rFonts w:hint="eastAsia" w:ascii="宋体" w:hAnsi="宋体" w:eastAsia="宋体" w:cs="宋体"/>
          <w:color w:val="auto"/>
          <w:spacing w:val="-1"/>
          <w:sz w:val="24"/>
          <w:szCs w:val="24"/>
          <w:highlight w:val="none"/>
          <w:lang w:val="en-US" w:eastAsia="zh-CN"/>
        </w:rPr>
        <w:t>投标人</w:t>
      </w:r>
      <w:r>
        <w:rPr>
          <w:rFonts w:hint="eastAsia" w:ascii="宋体" w:hAnsi="宋体" w:eastAsia="宋体" w:cs="宋体"/>
          <w:color w:val="auto"/>
          <w:spacing w:val="-1"/>
          <w:sz w:val="24"/>
          <w:szCs w:val="24"/>
          <w:highlight w:val="none"/>
          <w:lang w:eastAsia="zh-CN"/>
        </w:rPr>
        <w:t>无需到现场参加开标会议，无需到达现场提交原件资料。</w:t>
      </w:r>
      <w:r>
        <w:rPr>
          <w:rFonts w:hint="eastAsia" w:ascii="宋体" w:hAnsi="宋体" w:eastAsia="宋体" w:cs="宋体"/>
          <w:color w:val="auto"/>
          <w:spacing w:val="-1"/>
          <w:sz w:val="24"/>
          <w:szCs w:val="24"/>
          <w:highlight w:val="none"/>
          <w:lang w:val="en-US" w:eastAsia="zh-CN"/>
        </w:rPr>
        <w:t>投标人</w:t>
      </w:r>
      <w:r>
        <w:rPr>
          <w:rFonts w:hint="eastAsia" w:ascii="宋体" w:hAnsi="宋体" w:eastAsia="宋体" w:cs="宋体"/>
          <w:color w:val="auto"/>
          <w:spacing w:val="-1"/>
          <w:sz w:val="24"/>
          <w:szCs w:val="24"/>
          <w:highlight w:val="none"/>
          <w:lang w:eastAsia="zh-CN"/>
        </w:rPr>
        <w:t>应当在投标截止前，登录远程开标大厅进行签到，在线准时参加开标活动并进行文件解密、答疑澄清等。加密电子投标文件须在焦作市公共资源交易中心电子交易平台中加密上传，上传时必须得到电脑“上传成功”的确认回复后方为上传成功。在规定时间内投标文件未解密的投标人，视为放弃投标。</w:t>
      </w:r>
    </w:p>
    <w:p w14:paraId="0D964540">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1"/>
        <w:rPr>
          <w:rFonts w:hint="eastAsia" w:ascii="宋体" w:hAnsi="宋体" w:eastAsia="宋体" w:cs="宋体"/>
          <w:color w:val="auto"/>
          <w:spacing w:val="-1"/>
          <w:sz w:val="24"/>
          <w:szCs w:val="24"/>
          <w:highlight w:val="none"/>
          <w:lang w:eastAsia="zh-CN"/>
        </w:rPr>
      </w:pPr>
      <w:bookmarkStart w:id="24" w:name="_Toc9687"/>
      <w:r>
        <w:rPr>
          <w:rFonts w:hint="eastAsia" w:ascii="宋体" w:hAnsi="宋体" w:eastAsia="宋体" w:cs="宋体"/>
          <w:color w:val="auto"/>
          <w:spacing w:val="-1"/>
          <w:sz w:val="24"/>
          <w:szCs w:val="24"/>
          <w:highlight w:val="none"/>
          <w:lang w:eastAsia="zh-CN"/>
        </w:rPr>
        <w:t>八、凡对本次招标提出询问，请按照以下方式联系</w:t>
      </w:r>
      <w:bookmarkEnd w:id="24"/>
    </w:p>
    <w:p w14:paraId="734B3532">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eastAsia="zh-CN"/>
        </w:rPr>
      </w:pPr>
      <w:bookmarkStart w:id="25" w:name="_Toc26969"/>
      <w:r>
        <w:rPr>
          <w:rFonts w:hint="eastAsia" w:ascii="宋体" w:hAnsi="宋体" w:eastAsia="宋体" w:cs="宋体"/>
          <w:color w:val="auto"/>
          <w:spacing w:val="-1"/>
          <w:sz w:val="24"/>
          <w:szCs w:val="24"/>
          <w:highlight w:val="none"/>
          <w:lang w:eastAsia="zh-CN"/>
        </w:rPr>
        <w:t>1. 采购人信息</w:t>
      </w:r>
      <w:bookmarkEnd w:id="25"/>
    </w:p>
    <w:p w14:paraId="09A5AFAB">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 xml:space="preserve">采购人：博爱县县直幼儿园 </w:t>
      </w:r>
    </w:p>
    <w:p w14:paraId="30A1C3EF">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地址：博爱县鸿昌街道清化街与团结路交汇处东</w:t>
      </w:r>
    </w:p>
    <w:p w14:paraId="0A213E51">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联系人：程女士</w:t>
      </w:r>
    </w:p>
    <w:p w14:paraId="57881A2F">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电话：13949682315</w:t>
      </w:r>
    </w:p>
    <w:p w14:paraId="32696716">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eastAsia="zh-CN"/>
        </w:rPr>
      </w:pPr>
      <w:bookmarkStart w:id="26" w:name="_Toc24278"/>
      <w:r>
        <w:rPr>
          <w:rFonts w:hint="eastAsia" w:ascii="宋体" w:hAnsi="宋体" w:eastAsia="宋体" w:cs="宋体"/>
          <w:color w:val="auto"/>
          <w:spacing w:val="-1"/>
          <w:sz w:val="24"/>
          <w:szCs w:val="24"/>
          <w:highlight w:val="none"/>
          <w:lang w:eastAsia="zh-CN"/>
        </w:rPr>
        <w:t>2.采购代理机构信息（如有）</w:t>
      </w:r>
      <w:bookmarkEnd w:id="26"/>
    </w:p>
    <w:p w14:paraId="0BCAB3DF">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名称：河南海普工程管理有限公司</w:t>
      </w:r>
    </w:p>
    <w:p w14:paraId="4832AEC8">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地址：焦作市山阳区嘉隆国际2号楼6层北侧</w:t>
      </w:r>
    </w:p>
    <w:p w14:paraId="066BFC07">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联系人：李女士</w:t>
      </w:r>
    </w:p>
    <w:p w14:paraId="5AF68042">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联系方式：13253870281</w:t>
      </w:r>
    </w:p>
    <w:p w14:paraId="3588DF59">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outlineLvl w:val="2"/>
        <w:rPr>
          <w:rFonts w:hint="eastAsia" w:ascii="宋体" w:hAnsi="宋体" w:eastAsia="宋体" w:cs="宋体"/>
          <w:color w:val="auto"/>
          <w:spacing w:val="-1"/>
          <w:sz w:val="24"/>
          <w:szCs w:val="24"/>
          <w:highlight w:val="none"/>
          <w:lang w:eastAsia="zh-CN"/>
        </w:rPr>
      </w:pPr>
      <w:bookmarkStart w:id="27" w:name="_Toc14020"/>
      <w:r>
        <w:rPr>
          <w:rFonts w:hint="eastAsia" w:ascii="宋体" w:hAnsi="宋体" w:eastAsia="宋体" w:cs="宋体"/>
          <w:color w:val="auto"/>
          <w:spacing w:val="-1"/>
          <w:sz w:val="24"/>
          <w:szCs w:val="24"/>
          <w:highlight w:val="none"/>
          <w:lang w:eastAsia="zh-CN"/>
        </w:rPr>
        <w:t>3.项目联系方式</w:t>
      </w:r>
      <w:bookmarkEnd w:id="27"/>
    </w:p>
    <w:p w14:paraId="7E8102B9">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项目联系人：程女士</w:t>
      </w:r>
    </w:p>
    <w:p w14:paraId="34217E98">
      <w:pPr>
        <w:keepNext w:val="0"/>
        <w:keepLines w:val="0"/>
        <w:pageBreakBefore w:val="0"/>
        <w:kinsoku w:val="0"/>
        <w:wordWrap/>
        <w:overflowPunct/>
        <w:topLinePunct w:val="0"/>
        <w:autoSpaceDE w:val="0"/>
        <w:autoSpaceDN w:val="0"/>
        <w:bidi w:val="0"/>
        <w:adjustRightInd w:val="0"/>
        <w:snapToGrid w:val="0"/>
        <w:spacing w:line="440" w:lineRule="exact"/>
        <w:ind w:firstLine="476" w:firstLineChars="200"/>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联系方式：13949682315</w:t>
      </w:r>
    </w:p>
    <w:p w14:paraId="6EC8A69F">
      <w:pPr>
        <w:keepNext w:val="0"/>
        <w:keepLines w:val="0"/>
        <w:pageBreakBefore w:val="0"/>
        <w:kinsoku w:val="0"/>
        <w:wordWrap/>
        <w:overflowPunct/>
        <w:topLinePunct w:val="0"/>
        <w:autoSpaceDE w:val="0"/>
        <w:autoSpaceDN w:val="0"/>
        <w:bidi w:val="0"/>
        <w:adjustRightInd w:val="0"/>
        <w:snapToGrid w:val="0"/>
        <w:spacing w:line="440" w:lineRule="exact"/>
        <w:textAlignment w:val="baseline"/>
        <w:rPr>
          <w:rFonts w:hint="eastAsia" w:ascii="宋体" w:hAnsi="宋体" w:eastAsia="宋体" w:cs="宋体"/>
          <w:color w:val="auto"/>
          <w:spacing w:val="-1"/>
          <w:sz w:val="24"/>
          <w:szCs w:val="24"/>
          <w:highlight w:val="none"/>
          <w:lang w:eastAsia="zh-CN"/>
        </w:rPr>
      </w:pPr>
    </w:p>
    <w:p w14:paraId="39BDBEBB">
      <w:pPr>
        <w:keepNext w:val="0"/>
        <w:keepLines w:val="0"/>
        <w:pageBreakBefore w:val="0"/>
        <w:kinsoku w:val="0"/>
        <w:wordWrap/>
        <w:overflowPunct/>
        <w:topLinePunct w:val="0"/>
        <w:autoSpaceDE w:val="0"/>
        <w:autoSpaceDN w:val="0"/>
        <w:bidi w:val="0"/>
        <w:adjustRightInd w:val="0"/>
        <w:snapToGrid w:val="0"/>
        <w:spacing w:line="440" w:lineRule="exact"/>
        <w:ind w:right="956"/>
        <w:jc w:val="center"/>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 xml:space="preserve">                                   采   购   人：博爱县县直幼儿园</w:t>
      </w:r>
    </w:p>
    <w:p w14:paraId="514774F4">
      <w:pPr>
        <w:keepNext w:val="0"/>
        <w:keepLines w:val="0"/>
        <w:pageBreakBefore w:val="0"/>
        <w:kinsoku w:val="0"/>
        <w:wordWrap/>
        <w:overflowPunct/>
        <w:topLinePunct w:val="0"/>
        <w:autoSpaceDE w:val="0"/>
        <w:autoSpaceDN w:val="0"/>
        <w:bidi w:val="0"/>
        <w:adjustRightInd w:val="0"/>
        <w:snapToGrid w:val="0"/>
        <w:spacing w:line="440" w:lineRule="exact"/>
        <w:jc w:val="right"/>
        <w:textAlignment w:val="baseline"/>
        <w:rPr>
          <w:rFonts w:hint="eastAsia" w:ascii="宋体" w:hAnsi="宋体" w:eastAsia="宋体" w:cs="宋体"/>
          <w:color w:val="auto"/>
          <w:spacing w:val="-1"/>
          <w:sz w:val="24"/>
          <w:szCs w:val="24"/>
          <w:highlight w:val="none"/>
          <w:lang w:eastAsia="zh-CN"/>
        </w:rPr>
      </w:pPr>
      <w:r>
        <w:rPr>
          <w:rFonts w:hint="eastAsia" w:ascii="宋体" w:hAnsi="宋体" w:eastAsia="宋体" w:cs="宋体"/>
          <w:color w:val="auto"/>
          <w:spacing w:val="-1"/>
          <w:sz w:val="24"/>
          <w:szCs w:val="24"/>
          <w:highlight w:val="none"/>
          <w:lang w:eastAsia="zh-CN"/>
        </w:rPr>
        <w:t>采购代理机构：河南海普工程管理有限公司</w:t>
      </w:r>
    </w:p>
    <w:p w14:paraId="22A30894">
      <w:pPr>
        <w:keepNext w:val="0"/>
        <w:keepLines w:val="0"/>
        <w:pageBreakBefore w:val="0"/>
        <w:kinsoku w:val="0"/>
        <w:wordWrap/>
        <w:overflowPunct/>
        <w:topLinePunct w:val="0"/>
        <w:autoSpaceDE w:val="0"/>
        <w:autoSpaceDN w:val="0"/>
        <w:bidi w:val="0"/>
        <w:adjustRightInd w:val="0"/>
        <w:snapToGrid w:val="0"/>
        <w:spacing w:line="440" w:lineRule="exact"/>
        <w:ind w:right="960"/>
        <w:jc w:val="center"/>
        <w:textAlignment w:val="baseline"/>
        <w:rPr>
          <w:rFonts w:ascii="宋体" w:hAnsi="宋体" w:eastAsia="宋体" w:cs="宋体"/>
          <w:color w:val="auto"/>
          <w:spacing w:val="-1"/>
          <w:sz w:val="24"/>
          <w:szCs w:val="24"/>
          <w:highlight w:val="none"/>
          <w:lang w:eastAsia="zh-CN"/>
        </w:rPr>
        <w:sectPr>
          <w:footerReference r:id="rId6" w:type="default"/>
          <w:pgSz w:w="11907" w:h="16840"/>
          <w:pgMar w:top="1431" w:right="1508" w:bottom="1136" w:left="1584" w:header="0" w:footer="977" w:gutter="0"/>
          <w:cols w:space="720" w:num="1"/>
        </w:sectPr>
      </w:pPr>
      <w:r>
        <w:rPr>
          <w:rFonts w:hint="eastAsia" w:ascii="宋体" w:hAnsi="宋体" w:eastAsia="宋体" w:cs="宋体"/>
          <w:color w:val="auto"/>
          <w:spacing w:val="-1"/>
          <w:sz w:val="24"/>
          <w:szCs w:val="24"/>
          <w:highlight w:val="none"/>
          <w:lang w:eastAsia="zh-CN"/>
        </w:rPr>
        <w:t xml:space="preserve">                               发布时间：</w:t>
      </w:r>
      <w:r>
        <w:rPr>
          <w:rFonts w:hint="eastAsia" w:ascii="宋体" w:hAnsi="宋体" w:eastAsia="宋体" w:cs="宋体"/>
          <w:color w:val="auto"/>
          <w:spacing w:val="-1"/>
          <w:sz w:val="24"/>
          <w:szCs w:val="24"/>
          <w:highlight w:val="none"/>
          <w:lang w:eastAsia="zh-CN"/>
        </w:rPr>
        <w:t>2024年</w:t>
      </w:r>
      <w:r>
        <w:rPr>
          <w:rFonts w:hint="eastAsia" w:ascii="宋体" w:hAnsi="宋体" w:eastAsia="宋体" w:cs="宋体"/>
          <w:color w:val="auto"/>
          <w:spacing w:val="-1"/>
          <w:sz w:val="24"/>
          <w:szCs w:val="24"/>
          <w:highlight w:val="none"/>
          <w:lang w:val="en-US" w:eastAsia="zh-CN"/>
        </w:rPr>
        <w:t>11</w:t>
      </w:r>
      <w:r>
        <w:rPr>
          <w:rFonts w:hint="eastAsia" w:ascii="宋体" w:hAnsi="宋体" w:eastAsia="宋体" w:cs="宋体"/>
          <w:color w:val="auto"/>
          <w:spacing w:val="-1"/>
          <w:sz w:val="24"/>
          <w:szCs w:val="24"/>
          <w:highlight w:val="none"/>
          <w:lang w:eastAsia="zh-CN"/>
        </w:rPr>
        <w:t>月</w:t>
      </w:r>
      <w:r>
        <w:rPr>
          <w:rFonts w:hint="eastAsia" w:ascii="宋体" w:hAnsi="宋体" w:eastAsia="宋体" w:cs="宋体"/>
          <w:color w:val="auto"/>
          <w:spacing w:val="-1"/>
          <w:sz w:val="24"/>
          <w:szCs w:val="24"/>
          <w:highlight w:val="none"/>
          <w:lang w:val="en-US" w:eastAsia="zh-CN"/>
        </w:rPr>
        <w:t>15</w:t>
      </w:r>
      <w:r>
        <w:rPr>
          <w:rFonts w:hint="eastAsia" w:ascii="宋体" w:hAnsi="宋体" w:eastAsia="宋体" w:cs="宋体"/>
          <w:color w:val="auto"/>
          <w:spacing w:val="-1"/>
          <w:sz w:val="24"/>
          <w:szCs w:val="24"/>
          <w:highlight w:val="none"/>
          <w:lang w:eastAsia="zh-CN"/>
        </w:rPr>
        <w:t>日</w:t>
      </w:r>
    </w:p>
    <w:p w14:paraId="2A2801EC">
      <w:pPr>
        <w:spacing w:before="136" w:line="224" w:lineRule="auto"/>
        <w:ind w:left="3269"/>
        <w:outlineLvl w:val="0"/>
        <w:rPr>
          <w:rFonts w:ascii="宋体" w:hAnsi="宋体" w:eastAsia="宋体" w:cs="宋体"/>
          <w:color w:val="auto"/>
          <w:sz w:val="31"/>
          <w:szCs w:val="31"/>
          <w:highlight w:val="none"/>
          <w:lang w:eastAsia="zh-CN"/>
        </w:rPr>
      </w:pPr>
      <w:bookmarkStart w:id="28" w:name="_Toc23671"/>
      <w:r>
        <w:rPr>
          <w:rFonts w:ascii="宋体" w:hAnsi="宋体" w:eastAsia="宋体" w:cs="宋体"/>
          <w:b/>
          <w:bCs/>
          <w:color w:val="auto"/>
          <w:spacing w:val="5"/>
          <w:sz w:val="31"/>
          <w:szCs w:val="31"/>
          <w:highlight w:val="none"/>
          <w:lang w:eastAsia="zh-CN"/>
        </w:rPr>
        <w:t>第二章</w:t>
      </w:r>
      <w:r>
        <w:rPr>
          <w:rFonts w:ascii="宋体" w:hAnsi="宋体" w:eastAsia="宋体" w:cs="宋体"/>
          <w:color w:val="auto"/>
          <w:spacing w:val="5"/>
          <w:sz w:val="31"/>
          <w:szCs w:val="31"/>
          <w:highlight w:val="none"/>
          <w:lang w:eastAsia="zh-CN"/>
        </w:rPr>
        <w:t xml:space="preserve">  </w:t>
      </w:r>
      <w:r>
        <w:rPr>
          <w:rFonts w:hint="eastAsia" w:ascii="宋体" w:hAnsi="宋体" w:eastAsia="宋体" w:cs="宋体"/>
          <w:b/>
          <w:bCs/>
          <w:color w:val="auto"/>
          <w:spacing w:val="5"/>
          <w:sz w:val="31"/>
          <w:szCs w:val="31"/>
          <w:highlight w:val="none"/>
          <w:lang w:val="en-US" w:eastAsia="zh-CN"/>
        </w:rPr>
        <w:t>投标人</w:t>
      </w:r>
      <w:r>
        <w:rPr>
          <w:rFonts w:ascii="宋体" w:hAnsi="宋体" w:eastAsia="宋体" w:cs="宋体"/>
          <w:b/>
          <w:bCs/>
          <w:color w:val="auto"/>
          <w:spacing w:val="5"/>
          <w:sz w:val="31"/>
          <w:szCs w:val="31"/>
          <w:highlight w:val="none"/>
          <w:lang w:eastAsia="zh-CN"/>
        </w:rPr>
        <w:t>须知</w:t>
      </w:r>
      <w:bookmarkEnd w:id="28"/>
    </w:p>
    <w:p w14:paraId="1D5E516D">
      <w:pPr>
        <w:pStyle w:val="5"/>
        <w:spacing w:line="367" w:lineRule="auto"/>
        <w:rPr>
          <w:color w:val="auto"/>
          <w:highlight w:val="none"/>
          <w:lang w:eastAsia="zh-CN"/>
        </w:rPr>
      </w:pPr>
    </w:p>
    <w:p w14:paraId="40A0AA05">
      <w:pPr>
        <w:spacing w:before="98" w:line="219" w:lineRule="auto"/>
        <w:ind w:left="3508"/>
        <w:outlineLvl w:val="1"/>
        <w:rPr>
          <w:rFonts w:ascii="宋体" w:hAnsi="宋体" w:eastAsia="宋体" w:cs="宋体"/>
          <w:color w:val="auto"/>
          <w:sz w:val="30"/>
          <w:szCs w:val="30"/>
          <w:highlight w:val="none"/>
          <w:lang w:eastAsia="zh-CN"/>
        </w:rPr>
      </w:pPr>
      <w:bookmarkStart w:id="29" w:name="_Toc7892"/>
      <w:r>
        <w:rPr>
          <w:rFonts w:hint="eastAsia" w:ascii="宋体" w:hAnsi="宋体" w:eastAsia="宋体" w:cs="宋体"/>
          <w:b/>
          <w:bCs/>
          <w:color w:val="auto"/>
          <w:spacing w:val="-4"/>
          <w:sz w:val="30"/>
          <w:szCs w:val="30"/>
          <w:highlight w:val="none"/>
          <w:lang w:val="en-US" w:eastAsia="zh-CN"/>
        </w:rPr>
        <w:t>投标人</w:t>
      </w:r>
      <w:r>
        <w:rPr>
          <w:rFonts w:ascii="宋体" w:hAnsi="宋体" w:eastAsia="宋体" w:cs="宋体"/>
          <w:b/>
          <w:bCs/>
          <w:color w:val="auto"/>
          <w:spacing w:val="-4"/>
          <w:sz w:val="30"/>
          <w:szCs w:val="30"/>
          <w:highlight w:val="none"/>
          <w:lang w:eastAsia="zh-CN"/>
        </w:rPr>
        <w:t>须知前附表</w:t>
      </w:r>
      <w:bookmarkEnd w:id="29"/>
    </w:p>
    <w:p w14:paraId="62180805">
      <w:pPr>
        <w:spacing w:line="27" w:lineRule="auto"/>
        <w:rPr>
          <w:color w:val="auto"/>
          <w:sz w:val="2"/>
          <w:highlight w:val="none"/>
          <w:lang w:eastAsia="zh-CN"/>
        </w:rPr>
      </w:pPr>
    </w:p>
    <w:p w14:paraId="58F7C4C5">
      <w:pPr>
        <w:spacing w:line="89" w:lineRule="auto"/>
        <w:rPr>
          <w:color w:val="auto"/>
          <w:sz w:val="2"/>
          <w:highlight w:val="none"/>
          <w:lang w:eastAsia="zh-CN"/>
        </w:rPr>
      </w:pPr>
    </w:p>
    <w:p w14:paraId="750B8BC8">
      <w:pPr>
        <w:spacing w:line="89" w:lineRule="auto"/>
        <w:rPr>
          <w:color w:val="auto"/>
          <w:sz w:val="2"/>
          <w:highlight w:val="none"/>
          <w:lang w:eastAsia="zh-CN"/>
        </w:rPr>
      </w:pPr>
    </w:p>
    <w:p w14:paraId="7673F60E">
      <w:pPr>
        <w:spacing w:line="89" w:lineRule="auto"/>
        <w:rPr>
          <w:color w:val="auto"/>
          <w:sz w:val="2"/>
          <w:highlight w:val="none"/>
          <w:lang w:eastAsia="zh-CN"/>
        </w:rPr>
      </w:pPr>
    </w:p>
    <w:tbl>
      <w:tblPr>
        <w:tblStyle w:val="15"/>
        <w:tblW w:w="954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5"/>
        <w:gridCol w:w="2018"/>
        <w:gridCol w:w="6562"/>
      </w:tblGrid>
      <w:tr w14:paraId="1F337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43A64826">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b/>
                <w:sz w:val="24"/>
                <w:szCs w:val="24"/>
                <w:highlight w:val="none"/>
              </w:rPr>
            </w:pPr>
            <w:r>
              <w:rPr>
                <w:rFonts w:asciiTheme="minorEastAsia" w:hAnsiTheme="minorEastAsia" w:eastAsiaTheme="minorEastAsia" w:cstheme="minorEastAsia"/>
                <w:b/>
                <w:sz w:val="24"/>
                <w:szCs w:val="24"/>
                <w:highlight w:val="none"/>
              </w:rPr>
              <w:t>条款号</w:t>
            </w:r>
          </w:p>
        </w:tc>
        <w:tc>
          <w:tcPr>
            <w:tcW w:w="2018" w:type="dxa"/>
            <w:vAlign w:val="center"/>
          </w:tcPr>
          <w:p w14:paraId="44BE7EF3">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b/>
                <w:sz w:val="24"/>
                <w:szCs w:val="24"/>
                <w:highlight w:val="none"/>
              </w:rPr>
            </w:pPr>
            <w:r>
              <w:rPr>
                <w:rFonts w:asciiTheme="minorEastAsia" w:hAnsiTheme="minorEastAsia" w:eastAsiaTheme="minorEastAsia" w:cstheme="minorEastAsia"/>
                <w:b/>
                <w:sz w:val="24"/>
                <w:szCs w:val="24"/>
                <w:highlight w:val="none"/>
              </w:rPr>
              <w:t>条款名称</w:t>
            </w:r>
          </w:p>
        </w:tc>
        <w:tc>
          <w:tcPr>
            <w:tcW w:w="6562" w:type="dxa"/>
            <w:vAlign w:val="center"/>
          </w:tcPr>
          <w:p w14:paraId="69C42DB6">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b/>
                <w:sz w:val="24"/>
                <w:szCs w:val="24"/>
                <w:highlight w:val="none"/>
              </w:rPr>
            </w:pPr>
            <w:r>
              <w:rPr>
                <w:rFonts w:asciiTheme="minorEastAsia" w:hAnsiTheme="minorEastAsia" w:eastAsiaTheme="minorEastAsia" w:cstheme="minorEastAsia"/>
                <w:b/>
                <w:sz w:val="24"/>
                <w:szCs w:val="24"/>
                <w:highlight w:val="none"/>
              </w:rPr>
              <w:t>编列内容</w:t>
            </w:r>
          </w:p>
        </w:tc>
      </w:tr>
      <w:tr w14:paraId="2446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2C5A8E76">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1.1.2</w:t>
            </w:r>
          </w:p>
        </w:tc>
        <w:tc>
          <w:tcPr>
            <w:tcW w:w="2018" w:type="dxa"/>
            <w:vAlign w:val="center"/>
          </w:tcPr>
          <w:p w14:paraId="45801AE9">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采购人</w:t>
            </w:r>
          </w:p>
        </w:tc>
        <w:tc>
          <w:tcPr>
            <w:tcW w:w="6562" w:type="dxa"/>
            <w:vAlign w:val="center"/>
          </w:tcPr>
          <w:p w14:paraId="737FDA94">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hint="eastAsia" w:asciiTheme="minorEastAsia" w:hAnsiTheme="minorEastAsia" w:cstheme="minorEastAsia"/>
                <w:sz w:val="24"/>
                <w:szCs w:val="24"/>
                <w:highlight w:val="none"/>
                <w:lang w:val="en-US" w:eastAsia="zh-CN"/>
              </w:rPr>
              <w:t>采购人</w:t>
            </w:r>
            <w:r>
              <w:rPr>
                <w:rFonts w:asciiTheme="minorEastAsia" w:hAnsiTheme="minorEastAsia" w:eastAsiaTheme="minorEastAsia" w:cstheme="minorEastAsia"/>
                <w:sz w:val="24"/>
                <w:szCs w:val="24"/>
                <w:highlight w:val="none"/>
              </w:rPr>
              <w:t>：</w:t>
            </w:r>
            <w:r>
              <w:rPr>
                <w:rFonts w:hint="eastAsia"/>
                <w:color w:val="auto"/>
                <w:spacing w:val="-1"/>
                <w:sz w:val="24"/>
                <w:szCs w:val="24"/>
                <w:highlight w:val="none"/>
                <w:lang w:eastAsia="zh-CN"/>
              </w:rPr>
              <w:t>博爱县县直幼儿园</w:t>
            </w:r>
          </w:p>
          <w:p w14:paraId="42016DB1">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联系人：</w:t>
            </w:r>
            <w:r>
              <w:rPr>
                <w:rFonts w:hint="eastAsia"/>
                <w:color w:val="auto"/>
                <w:spacing w:val="-2"/>
                <w:sz w:val="24"/>
                <w:szCs w:val="24"/>
                <w:highlight w:val="none"/>
                <w:lang w:eastAsia="zh-CN"/>
              </w:rPr>
              <w:t>程女士</w:t>
            </w:r>
          </w:p>
          <w:p w14:paraId="200DFBEC">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电话：</w:t>
            </w:r>
            <w:r>
              <w:rPr>
                <w:rFonts w:hint="eastAsia"/>
                <w:color w:val="auto"/>
                <w:spacing w:val="-3"/>
                <w:sz w:val="24"/>
                <w:szCs w:val="24"/>
                <w:highlight w:val="none"/>
                <w:lang w:eastAsia="zh-CN"/>
              </w:rPr>
              <w:t>13949682315</w:t>
            </w:r>
          </w:p>
        </w:tc>
      </w:tr>
      <w:tr w14:paraId="11561D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5B046B71">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1.1.3</w:t>
            </w:r>
          </w:p>
        </w:tc>
        <w:tc>
          <w:tcPr>
            <w:tcW w:w="2018" w:type="dxa"/>
            <w:vAlign w:val="center"/>
          </w:tcPr>
          <w:p w14:paraId="187324F5">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采购代理机构</w:t>
            </w:r>
          </w:p>
        </w:tc>
        <w:tc>
          <w:tcPr>
            <w:tcW w:w="6562" w:type="dxa"/>
            <w:vAlign w:val="center"/>
          </w:tcPr>
          <w:p w14:paraId="0B7EBFF0">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采购代理机构：</w:t>
            </w:r>
            <w:r>
              <w:rPr>
                <w:rFonts w:hint="eastAsia"/>
                <w:color w:val="auto"/>
                <w:spacing w:val="-1"/>
                <w:sz w:val="24"/>
                <w:szCs w:val="24"/>
                <w:highlight w:val="none"/>
                <w:lang w:eastAsia="zh-CN"/>
              </w:rPr>
              <w:t>河南海普工程管理有限公司</w:t>
            </w:r>
          </w:p>
          <w:p w14:paraId="2913A480">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联系人：</w:t>
            </w:r>
            <w:r>
              <w:rPr>
                <w:rFonts w:hint="eastAsia"/>
                <w:color w:val="auto"/>
                <w:spacing w:val="-1"/>
                <w:sz w:val="24"/>
                <w:szCs w:val="24"/>
                <w:highlight w:val="none"/>
                <w:lang w:eastAsia="zh-CN"/>
              </w:rPr>
              <w:t>李女士</w:t>
            </w:r>
          </w:p>
          <w:p w14:paraId="2B300551">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电话：</w:t>
            </w:r>
            <w:r>
              <w:rPr>
                <w:rFonts w:hint="eastAsia"/>
                <w:color w:val="auto"/>
                <w:spacing w:val="-1"/>
                <w:sz w:val="24"/>
                <w:szCs w:val="24"/>
                <w:highlight w:val="none"/>
                <w:lang w:eastAsia="zh-CN"/>
              </w:rPr>
              <w:t>13253870281</w:t>
            </w:r>
          </w:p>
        </w:tc>
      </w:tr>
      <w:tr w14:paraId="40645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65" w:type="dxa"/>
            <w:vAlign w:val="center"/>
          </w:tcPr>
          <w:p w14:paraId="093D24AC">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1.1.4</w:t>
            </w:r>
          </w:p>
        </w:tc>
        <w:tc>
          <w:tcPr>
            <w:tcW w:w="2018" w:type="dxa"/>
            <w:vAlign w:val="center"/>
          </w:tcPr>
          <w:p w14:paraId="4B1B8247">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项目名称</w:t>
            </w:r>
          </w:p>
        </w:tc>
        <w:tc>
          <w:tcPr>
            <w:tcW w:w="6562" w:type="dxa"/>
            <w:vAlign w:val="center"/>
          </w:tcPr>
          <w:p w14:paraId="3DDC5095">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lang w:val="en-US" w:eastAsia="zh-CN"/>
              </w:rPr>
            </w:pPr>
            <w:r>
              <w:rPr>
                <w:rFonts w:hint="eastAsia"/>
                <w:color w:val="auto"/>
                <w:spacing w:val="-1"/>
                <w:sz w:val="24"/>
                <w:szCs w:val="24"/>
                <w:highlight w:val="none"/>
                <w:lang w:eastAsia="zh-CN"/>
              </w:rPr>
              <w:t>博爱县县直幼儿园功能室设备及室外场地活动设施采购项目（</w:t>
            </w:r>
            <w:r>
              <w:rPr>
                <w:rFonts w:hint="eastAsia"/>
                <w:color w:val="auto"/>
                <w:spacing w:val="-1"/>
                <w:sz w:val="24"/>
                <w:szCs w:val="24"/>
                <w:highlight w:val="none"/>
                <w:lang w:val="en-US" w:eastAsia="zh-CN"/>
              </w:rPr>
              <w:t>一标段）</w:t>
            </w:r>
          </w:p>
        </w:tc>
      </w:tr>
      <w:tr w14:paraId="6BFAEC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65" w:type="dxa"/>
            <w:vAlign w:val="center"/>
          </w:tcPr>
          <w:p w14:paraId="45A80F10">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1.1.5</w:t>
            </w:r>
          </w:p>
        </w:tc>
        <w:tc>
          <w:tcPr>
            <w:tcW w:w="2018" w:type="dxa"/>
            <w:vAlign w:val="center"/>
          </w:tcPr>
          <w:p w14:paraId="7CA81B2E">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bCs/>
                <w:iCs/>
                <w:sz w:val="24"/>
                <w:szCs w:val="24"/>
                <w:highlight w:val="none"/>
              </w:rPr>
              <w:t>项目地点</w:t>
            </w:r>
          </w:p>
        </w:tc>
        <w:tc>
          <w:tcPr>
            <w:tcW w:w="6562" w:type="dxa"/>
            <w:vAlign w:val="center"/>
          </w:tcPr>
          <w:p w14:paraId="08CDEA9A">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采购人指定地点</w:t>
            </w:r>
          </w:p>
        </w:tc>
      </w:tr>
      <w:tr w14:paraId="01306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2CA9B714">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1.2.1</w:t>
            </w:r>
          </w:p>
        </w:tc>
        <w:tc>
          <w:tcPr>
            <w:tcW w:w="2018" w:type="dxa"/>
            <w:vAlign w:val="center"/>
          </w:tcPr>
          <w:p w14:paraId="055A154E">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资金来源</w:t>
            </w:r>
          </w:p>
        </w:tc>
        <w:tc>
          <w:tcPr>
            <w:tcW w:w="6562" w:type="dxa"/>
            <w:vAlign w:val="center"/>
          </w:tcPr>
          <w:p w14:paraId="1CD9D619">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eastAsia" w:asciiTheme="minorEastAsia" w:hAnsiTheme="minorEastAsia" w:eastAsiaTheme="minorEastAsia" w:cstheme="minorEastAsia"/>
                <w:i/>
                <w:iCs/>
                <w:sz w:val="24"/>
                <w:szCs w:val="24"/>
                <w:highlight w:val="none"/>
                <w:lang w:eastAsia="zh-CN"/>
              </w:rPr>
            </w:pPr>
            <w:r>
              <w:rPr>
                <w:rFonts w:hint="eastAsia"/>
                <w:color w:val="auto"/>
                <w:spacing w:val="-13"/>
                <w:sz w:val="24"/>
                <w:szCs w:val="24"/>
                <w:highlight w:val="none"/>
                <w:lang w:eastAsia="zh-CN"/>
              </w:rPr>
              <w:t>上级财政资金</w:t>
            </w:r>
          </w:p>
        </w:tc>
      </w:tr>
      <w:tr w14:paraId="2AFCC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6759F536">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1.2.2</w:t>
            </w:r>
          </w:p>
        </w:tc>
        <w:tc>
          <w:tcPr>
            <w:tcW w:w="2018" w:type="dxa"/>
            <w:vAlign w:val="center"/>
          </w:tcPr>
          <w:p w14:paraId="3D3FAA57">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bCs/>
                <w:iCs/>
                <w:sz w:val="24"/>
                <w:szCs w:val="24"/>
                <w:highlight w:val="none"/>
              </w:rPr>
              <w:t>资金落实情况</w:t>
            </w:r>
          </w:p>
        </w:tc>
        <w:tc>
          <w:tcPr>
            <w:tcW w:w="6562" w:type="dxa"/>
            <w:vAlign w:val="center"/>
          </w:tcPr>
          <w:p w14:paraId="4CF8C193">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已落实</w:t>
            </w:r>
          </w:p>
        </w:tc>
      </w:tr>
      <w:tr w14:paraId="4971B5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65" w:type="dxa"/>
            <w:vAlign w:val="center"/>
          </w:tcPr>
          <w:p w14:paraId="18EBBDE4">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1.3.1</w:t>
            </w:r>
          </w:p>
        </w:tc>
        <w:tc>
          <w:tcPr>
            <w:tcW w:w="2018" w:type="dxa"/>
            <w:vAlign w:val="center"/>
          </w:tcPr>
          <w:p w14:paraId="2AC8CAC3">
            <w:pPr>
              <w:pStyle w:val="10"/>
              <w:keepNext w:val="0"/>
              <w:keepLines w:val="0"/>
              <w:pageBreakBefore w:val="0"/>
              <w:widowControl/>
              <w:kinsoku w:val="0"/>
              <w:wordWrap/>
              <w:overflowPunct/>
              <w:topLinePunct w:val="0"/>
              <w:autoSpaceDE w:val="0"/>
              <w:autoSpaceDN w:val="0"/>
              <w:bidi w:val="0"/>
              <w:adjustRightInd w:val="0"/>
              <w:snapToGrid w:val="0"/>
              <w:spacing w:line="440" w:lineRule="exact"/>
              <w:ind w:firstLine="480" w:firstLineChars="200"/>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bCs/>
                <w:iCs/>
                <w:sz w:val="24"/>
                <w:szCs w:val="24"/>
                <w:highlight w:val="none"/>
              </w:rPr>
              <w:t>采购内容</w:t>
            </w:r>
          </w:p>
        </w:tc>
        <w:tc>
          <w:tcPr>
            <w:tcW w:w="6562" w:type="dxa"/>
          </w:tcPr>
          <w:p w14:paraId="1A3587B2">
            <w:pPr>
              <w:pStyle w:val="10"/>
              <w:keepNext w:val="0"/>
              <w:keepLines w:val="0"/>
              <w:pageBreakBefore w:val="0"/>
              <w:widowControl/>
              <w:kinsoku w:val="0"/>
              <w:wordWrap/>
              <w:overflowPunct/>
              <w:topLinePunct w:val="0"/>
              <w:autoSpaceDE w:val="0"/>
              <w:autoSpaceDN w:val="0"/>
              <w:bidi w:val="0"/>
              <w:adjustRightInd w:val="0"/>
              <w:snapToGrid w:val="0"/>
              <w:spacing w:line="440" w:lineRule="exact"/>
              <w:ind w:firstLine="476" w:firstLineChars="200"/>
              <w:textAlignment w:val="baseline"/>
              <w:rPr>
                <w:rFonts w:hint="default" w:asciiTheme="minorEastAsia" w:hAnsiTheme="minorEastAsia" w:eastAsiaTheme="minorEastAsia" w:cstheme="minorEastAsia"/>
                <w:sz w:val="24"/>
                <w:szCs w:val="24"/>
                <w:highlight w:val="none"/>
              </w:rPr>
            </w:pPr>
            <w:r>
              <w:rPr>
                <w:rFonts w:hint="eastAsia"/>
                <w:color w:val="auto"/>
                <w:spacing w:val="-1"/>
                <w:sz w:val="24"/>
                <w:szCs w:val="24"/>
                <w:highlight w:val="none"/>
                <w:lang w:val="en-US" w:eastAsia="zh-CN"/>
              </w:rPr>
              <w:t>采购书柜、角色书屋、表演舞台、顶部装饰物品等设备器材及用品；多功能报告厅设备；建设竹工坊、干沙游戏区、玩耍水系、湿沙塑性区等室外自然生态活动区。</w:t>
            </w:r>
            <w:r>
              <w:rPr>
                <w:color w:val="auto"/>
                <w:spacing w:val="-1"/>
                <w:sz w:val="24"/>
                <w:szCs w:val="24"/>
                <w:highlight w:val="none"/>
                <w:lang w:eastAsia="zh-CN"/>
              </w:rPr>
              <w:t>（详见第五章 采购内容及技术要求）</w:t>
            </w:r>
          </w:p>
        </w:tc>
      </w:tr>
      <w:tr w14:paraId="710E0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1C8C7CB2">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1.3.2</w:t>
            </w:r>
          </w:p>
        </w:tc>
        <w:tc>
          <w:tcPr>
            <w:tcW w:w="2018" w:type="dxa"/>
            <w:vAlign w:val="center"/>
          </w:tcPr>
          <w:p w14:paraId="5BFF96B8">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bCs/>
                <w:iCs/>
                <w:sz w:val="24"/>
                <w:szCs w:val="24"/>
                <w:highlight w:val="none"/>
              </w:rPr>
            </w:pPr>
            <w:r>
              <w:rPr>
                <w:color w:val="auto"/>
                <w:spacing w:val="-2"/>
                <w:sz w:val="24"/>
                <w:szCs w:val="24"/>
                <w:highlight w:val="none"/>
                <w:lang w:eastAsia="zh-CN"/>
              </w:rPr>
              <w:t>合同履行期限</w:t>
            </w:r>
          </w:p>
        </w:tc>
        <w:tc>
          <w:tcPr>
            <w:tcW w:w="6562" w:type="dxa"/>
            <w:vAlign w:val="center"/>
          </w:tcPr>
          <w:p w14:paraId="5798CA9B">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left"/>
              <w:textAlignment w:val="baseline"/>
              <w:rPr>
                <w:rFonts w:hint="default" w:asciiTheme="minorEastAsia" w:hAnsiTheme="minorEastAsia" w:eastAsiaTheme="minorEastAsia" w:cstheme="minorEastAsia"/>
                <w:bCs/>
                <w:iCs/>
                <w:sz w:val="24"/>
                <w:szCs w:val="24"/>
                <w:highlight w:val="none"/>
                <w:lang w:val="en-US" w:eastAsia="zh-CN"/>
              </w:rPr>
            </w:pPr>
            <w:r>
              <w:rPr>
                <w:rFonts w:hint="eastAsia"/>
                <w:color w:val="auto"/>
                <w:spacing w:val="-8"/>
                <w:sz w:val="24"/>
                <w:szCs w:val="24"/>
                <w:highlight w:val="none"/>
                <w:lang w:val="en-US" w:eastAsia="zh-CN"/>
              </w:rPr>
              <w:t>30日历天</w:t>
            </w:r>
          </w:p>
        </w:tc>
      </w:tr>
      <w:tr w14:paraId="5DDD1E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30B63DE6">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1.3.3</w:t>
            </w:r>
          </w:p>
        </w:tc>
        <w:tc>
          <w:tcPr>
            <w:tcW w:w="2018" w:type="dxa"/>
            <w:vAlign w:val="center"/>
          </w:tcPr>
          <w:p w14:paraId="39549580">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hAnsi="宋体" w:cs="宋体"/>
                <w:kern w:val="0"/>
                <w:sz w:val="24"/>
                <w:szCs w:val="24"/>
                <w:highlight w:val="none"/>
              </w:rPr>
            </w:pPr>
            <w:r>
              <w:rPr>
                <w:rFonts w:hint="default" w:hAnsi="宋体" w:cs="宋体"/>
                <w:kern w:val="0"/>
                <w:sz w:val="24"/>
                <w:szCs w:val="24"/>
                <w:highlight w:val="none"/>
              </w:rPr>
              <w:t>质量标准</w:t>
            </w:r>
          </w:p>
        </w:tc>
        <w:tc>
          <w:tcPr>
            <w:tcW w:w="6562" w:type="dxa"/>
            <w:vAlign w:val="center"/>
          </w:tcPr>
          <w:p w14:paraId="4EE160CF">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宋体" w:hAnsi="宋体" w:cs="宋体"/>
                <w:kern w:val="0"/>
                <w:sz w:val="24"/>
                <w:szCs w:val="24"/>
                <w:highlight w:val="none"/>
              </w:rPr>
            </w:pPr>
            <w:r>
              <w:rPr>
                <w:rFonts w:ascii="宋体" w:hAnsi="宋体" w:cs="宋体"/>
                <w:kern w:val="0"/>
                <w:sz w:val="24"/>
                <w:szCs w:val="24"/>
                <w:highlight w:val="none"/>
              </w:rPr>
              <w:t>合格，符合国家</w:t>
            </w:r>
            <w:r>
              <w:rPr>
                <w:rFonts w:hint="eastAsia" w:ascii="宋体" w:hAnsi="宋体" w:cs="宋体"/>
                <w:kern w:val="0"/>
                <w:sz w:val="24"/>
                <w:szCs w:val="24"/>
                <w:highlight w:val="none"/>
              </w:rPr>
              <w:t>及</w:t>
            </w:r>
            <w:r>
              <w:rPr>
                <w:rFonts w:ascii="宋体" w:hAnsi="宋体" w:cs="宋体"/>
                <w:kern w:val="0"/>
                <w:sz w:val="24"/>
                <w:szCs w:val="24"/>
                <w:highlight w:val="none"/>
              </w:rPr>
              <w:t>行业规范标准。</w:t>
            </w:r>
          </w:p>
        </w:tc>
      </w:tr>
      <w:tr w14:paraId="17A3F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7C77137D">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1.3.4</w:t>
            </w:r>
          </w:p>
        </w:tc>
        <w:tc>
          <w:tcPr>
            <w:tcW w:w="2018" w:type="dxa"/>
            <w:vAlign w:val="center"/>
          </w:tcPr>
          <w:p w14:paraId="1CD45EE5">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hAnsi="宋体" w:cs="宋体"/>
                <w:kern w:val="0"/>
                <w:sz w:val="24"/>
                <w:szCs w:val="24"/>
                <w:highlight w:val="none"/>
              </w:rPr>
            </w:pPr>
            <w:r>
              <w:rPr>
                <w:rFonts w:hAnsi="宋体" w:cs="宋体"/>
                <w:kern w:val="0"/>
                <w:sz w:val="24"/>
                <w:szCs w:val="24"/>
                <w:highlight w:val="none"/>
              </w:rPr>
              <w:t>质保期</w:t>
            </w:r>
          </w:p>
        </w:tc>
        <w:tc>
          <w:tcPr>
            <w:tcW w:w="6562" w:type="dxa"/>
            <w:vAlign w:val="center"/>
          </w:tcPr>
          <w:p w14:paraId="46E83053">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宋体" w:hAnsi="宋体" w:eastAsia="宋体" w:cs="宋体"/>
                <w:kern w:val="0"/>
                <w:sz w:val="24"/>
                <w:szCs w:val="24"/>
                <w:highlight w:val="none"/>
                <w:lang w:val="en-US" w:eastAsia="zh-CN"/>
              </w:rPr>
            </w:pPr>
            <w:r>
              <w:rPr>
                <w:rFonts w:hint="eastAsia"/>
                <w:color w:val="auto"/>
                <w:spacing w:val="-8"/>
                <w:sz w:val="24"/>
                <w:szCs w:val="24"/>
                <w:highlight w:val="none"/>
                <w:lang w:val="en-US" w:eastAsia="zh-CN"/>
              </w:rPr>
              <w:t>一</w:t>
            </w:r>
            <w:r>
              <w:rPr>
                <w:color w:val="auto"/>
                <w:spacing w:val="-8"/>
                <w:sz w:val="24"/>
                <w:szCs w:val="24"/>
                <w:highlight w:val="none"/>
              </w:rPr>
              <w:t>年</w:t>
            </w:r>
          </w:p>
        </w:tc>
      </w:tr>
      <w:tr w14:paraId="074F6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65" w:type="dxa"/>
            <w:vAlign w:val="center"/>
          </w:tcPr>
          <w:p w14:paraId="2CD41220">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1.4.1</w:t>
            </w:r>
          </w:p>
        </w:tc>
        <w:tc>
          <w:tcPr>
            <w:tcW w:w="2018" w:type="dxa"/>
            <w:vAlign w:val="center"/>
          </w:tcPr>
          <w:p w14:paraId="4C9AE247">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hint="eastAsia" w:asciiTheme="minorEastAsia" w:hAnsiTheme="minorEastAsia" w:cstheme="minorEastAsia"/>
                <w:sz w:val="24"/>
                <w:szCs w:val="24"/>
                <w:highlight w:val="none"/>
                <w:lang w:val="en-US" w:eastAsia="zh-CN"/>
              </w:rPr>
              <w:t>投标人</w:t>
            </w:r>
            <w:r>
              <w:rPr>
                <w:rFonts w:asciiTheme="minorEastAsia" w:hAnsiTheme="minorEastAsia" w:eastAsiaTheme="minorEastAsia" w:cstheme="minorEastAsia"/>
                <w:sz w:val="24"/>
                <w:szCs w:val="24"/>
                <w:highlight w:val="none"/>
              </w:rPr>
              <w:t>资质条件</w:t>
            </w:r>
          </w:p>
        </w:tc>
        <w:tc>
          <w:tcPr>
            <w:tcW w:w="6562" w:type="dxa"/>
            <w:vAlign w:val="center"/>
          </w:tcPr>
          <w:p w14:paraId="79BE2972">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w:t>
            </w:r>
            <w:r>
              <w:rPr>
                <w:rFonts w:hint="eastAsia" w:asciiTheme="minorEastAsia" w:hAnsiTheme="minorEastAsia" w:cstheme="minorEastAsia"/>
                <w:sz w:val="24"/>
                <w:szCs w:val="24"/>
                <w:highlight w:val="none"/>
                <w:lang w:val="en-US" w:eastAsia="zh-CN"/>
              </w:rPr>
              <w:t>.</w:t>
            </w:r>
            <w:r>
              <w:rPr>
                <w:rFonts w:hint="eastAsia" w:ascii="宋体" w:hAnsi="宋体" w:eastAsia="宋体" w:cs="宋体"/>
                <w:color w:val="auto"/>
                <w:spacing w:val="-1"/>
                <w:sz w:val="24"/>
                <w:szCs w:val="24"/>
                <w:highlight w:val="none"/>
                <w:lang w:eastAsia="zh-CN"/>
              </w:rPr>
              <w:t>满足</w:t>
            </w:r>
            <w:r>
              <w:rPr>
                <w:rFonts w:asciiTheme="minorEastAsia" w:hAnsiTheme="minorEastAsia" w:eastAsiaTheme="minorEastAsia" w:cstheme="minorEastAsia"/>
                <w:sz w:val="24"/>
                <w:szCs w:val="24"/>
                <w:highlight w:val="none"/>
              </w:rPr>
              <w:t>《中华人民共和国政府采购法》第二十二条之规定</w:t>
            </w:r>
            <w:r>
              <w:rPr>
                <w:rFonts w:hint="eastAsia" w:asciiTheme="minorEastAsia" w:hAnsiTheme="minorEastAsia" w:cstheme="minorEastAsia"/>
                <w:sz w:val="24"/>
                <w:szCs w:val="24"/>
                <w:highlight w:val="none"/>
                <w:lang w:val="en-US" w:eastAsia="zh-CN"/>
              </w:rPr>
              <w:t>；</w:t>
            </w:r>
          </w:p>
          <w:p w14:paraId="1F4DAB7E">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2</w:t>
            </w:r>
            <w:r>
              <w:rPr>
                <w:rFonts w:hint="eastAsia" w:asciiTheme="minorEastAsia" w:hAnsiTheme="minorEastAsia" w:cstheme="minorEastAsia"/>
                <w:sz w:val="24"/>
                <w:szCs w:val="24"/>
                <w:highlight w:val="none"/>
                <w:lang w:val="en-US" w:eastAsia="zh-CN"/>
              </w:rPr>
              <w:t>.</w:t>
            </w:r>
            <w:r>
              <w:rPr>
                <w:rFonts w:asciiTheme="minorEastAsia" w:hAnsiTheme="minorEastAsia" w:eastAsiaTheme="minorEastAsia" w:cstheme="minorEastAsia"/>
                <w:sz w:val="24"/>
                <w:szCs w:val="24"/>
                <w:highlight w:val="none"/>
              </w:rPr>
              <w:t>落实政府采购政策需满足的资格要求：促进中小企业和监狱企业发展扶持政策、政府强制采购节能产品、节能产品及环境标志产品优先采购。</w:t>
            </w:r>
          </w:p>
          <w:p w14:paraId="19E85077">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3</w:t>
            </w:r>
            <w:r>
              <w:rPr>
                <w:rFonts w:hint="eastAsia" w:asciiTheme="minorEastAsia" w:hAnsiTheme="minorEastAsia" w:cstheme="minorEastAsia"/>
                <w:sz w:val="24"/>
                <w:szCs w:val="24"/>
                <w:highlight w:val="none"/>
                <w:lang w:val="en-US" w:eastAsia="zh-CN"/>
              </w:rPr>
              <w:t>.</w:t>
            </w:r>
            <w:r>
              <w:rPr>
                <w:rFonts w:asciiTheme="minorEastAsia" w:hAnsiTheme="minorEastAsia" w:eastAsiaTheme="minorEastAsia" w:cstheme="minorEastAsia"/>
                <w:sz w:val="24"/>
                <w:szCs w:val="24"/>
                <w:highlight w:val="none"/>
              </w:rPr>
              <w:t>本项目的特定资格要求：</w:t>
            </w:r>
          </w:p>
          <w:p w14:paraId="55100B2C">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3.1</w:t>
            </w:r>
            <w:r>
              <w:rPr>
                <w:rFonts w:hint="eastAsia" w:asciiTheme="minorEastAsia" w:hAnsiTheme="minorEastAsia" w:cstheme="minorEastAsia"/>
                <w:sz w:val="24"/>
                <w:szCs w:val="24"/>
                <w:highlight w:val="none"/>
                <w:lang w:eastAsia="zh-CN"/>
              </w:rPr>
              <w:t>投标人</w:t>
            </w:r>
            <w:r>
              <w:rPr>
                <w:rFonts w:asciiTheme="minorEastAsia" w:hAnsiTheme="minorEastAsia" w:eastAsiaTheme="minorEastAsia" w:cstheme="minorEastAsia"/>
                <w:sz w:val="24"/>
                <w:szCs w:val="24"/>
                <w:highlight w:val="none"/>
              </w:rPr>
              <w:t>须具有有效的营业执照，并具有实施完成本项目的经营实力和完善的售后服务体系；</w:t>
            </w:r>
          </w:p>
          <w:p w14:paraId="15AC66D3">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3.2信誉要求：按照《财政部关于在政府采购活动中查询及使用信用记录有关问题的通知》（财库〔2016〕125号）的要求，根据开标当日“信用中国”网站（www.creditchina.gov.cn）、中国政府采购网（www.ccgp.gov.cn）的信息，对列入失信被执行人、</w:t>
            </w:r>
            <w:r>
              <w:rPr>
                <w:rFonts w:hint="eastAsia" w:asciiTheme="minorEastAsia" w:hAnsiTheme="minorEastAsia" w:cstheme="minorEastAsia"/>
                <w:sz w:val="24"/>
                <w:szCs w:val="24"/>
                <w:highlight w:val="none"/>
                <w:lang w:eastAsia="zh-CN"/>
              </w:rPr>
              <w:t>重大税收违法失信主体</w:t>
            </w:r>
            <w:r>
              <w:rPr>
                <w:rFonts w:asciiTheme="minorEastAsia" w:hAnsiTheme="minorEastAsia" w:eastAsiaTheme="minorEastAsia" w:cstheme="minorEastAsia"/>
                <w:sz w:val="24"/>
                <w:szCs w:val="24"/>
                <w:highlight w:val="none"/>
              </w:rPr>
              <w:t>、政府采购严重违法失信行为记录名单的</w:t>
            </w:r>
            <w:r>
              <w:rPr>
                <w:rFonts w:hint="eastAsia" w:asciiTheme="minorEastAsia" w:hAnsiTheme="minorEastAsia" w:cstheme="minorEastAsia"/>
                <w:sz w:val="24"/>
                <w:szCs w:val="24"/>
                <w:highlight w:val="none"/>
                <w:lang w:eastAsia="zh-CN"/>
              </w:rPr>
              <w:t>投标人</w:t>
            </w:r>
            <w:r>
              <w:rPr>
                <w:rFonts w:asciiTheme="minorEastAsia" w:hAnsiTheme="minorEastAsia" w:eastAsiaTheme="minorEastAsia" w:cstheme="minorEastAsia"/>
                <w:sz w:val="24"/>
                <w:szCs w:val="24"/>
                <w:highlight w:val="none"/>
              </w:rPr>
              <w:t>，拒绝参与政府采购活动，同时对信用信息查询记录和证据进行打印存档； </w:t>
            </w:r>
          </w:p>
          <w:p w14:paraId="0569FC82">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3.3本项目不接受联合体投标；</w:t>
            </w:r>
          </w:p>
          <w:p w14:paraId="682A5B33">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3.4资格审查方式：资格后审。</w:t>
            </w:r>
          </w:p>
        </w:tc>
      </w:tr>
      <w:tr w14:paraId="48C467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13F91C83">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1.4.2</w:t>
            </w:r>
          </w:p>
        </w:tc>
        <w:tc>
          <w:tcPr>
            <w:tcW w:w="2018" w:type="dxa"/>
            <w:vAlign w:val="center"/>
          </w:tcPr>
          <w:p w14:paraId="6AC10A4D">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是否接受联合体</w:t>
            </w:r>
          </w:p>
        </w:tc>
        <w:tc>
          <w:tcPr>
            <w:tcW w:w="6562" w:type="dxa"/>
            <w:vAlign w:val="center"/>
          </w:tcPr>
          <w:p w14:paraId="6512A1F4">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不接受</w:t>
            </w:r>
          </w:p>
        </w:tc>
      </w:tr>
      <w:tr w14:paraId="66403A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965" w:type="dxa"/>
            <w:vAlign w:val="center"/>
          </w:tcPr>
          <w:p w14:paraId="416695B1">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1.10.1</w:t>
            </w:r>
          </w:p>
        </w:tc>
        <w:tc>
          <w:tcPr>
            <w:tcW w:w="2018" w:type="dxa"/>
            <w:vAlign w:val="center"/>
          </w:tcPr>
          <w:p w14:paraId="3BB37ECB">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投标预备会</w:t>
            </w:r>
          </w:p>
        </w:tc>
        <w:tc>
          <w:tcPr>
            <w:tcW w:w="6562" w:type="dxa"/>
            <w:vAlign w:val="center"/>
          </w:tcPr>
          <w:p w14:paraId="1B4C8357">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不召开</w:t>
            </w:r>
          </w:p>
        </w:tc>
      </w:tr>
      <w:tr w14:paraId="3CF5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57AFFA25">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1.10.2</w:t>
            </w:r>
          </w:p>
        </w:tc>
        <w:tc>
          <w:tcPr>
            <w:tcW w:w="2018" w:type="dxa"/>
            <w:vAlign w:val="center"/>
          </w:tcPr>
          <w:p w14:paraId="4F88A456">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hint="eastAsia" w:asciiTheme="minorEastAsia" w:hAnsiTheme="minorEastAsia" w:cstheme="minorEastAsia"/>
                <w:sz w:val="24"/>
                <w:szCs w:val="24"/>
                <w:highlight w:val="none"/>
                <w:lang w:val="en-US" w:eastAsia="zh-CN"/>
              </w:rPr>
              <w:t>投标人</w:t>
            </w:r>
            <w:r>
              <w:rPr>
                <w:rFonts w:asciiTheme="minorEastAsia" w:hAnsiTheme="minorEastAsia" w:eastAsiaTheme="minorEastAsia" w:cstheme="minorEastAsia"/>
                <w:sz w:val="24"/>
                <w:szCs w:val="24"/>
                <w:highlight w:val="none"/>
              </w:rPr>
              <w:t>提出问题的截止时间</w:t>
            </w:r>
          </w:p>
        </w:tc>
        <w:tc>
          <w:tcPr>
            <w:tcW w:w="6562" w:type="dxa"/>
            <w:vAlign w:val="center"/>
          </w:tcPr>
          <w:p w14:paraId="76511267">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若有疑问，应当在获取招标文件或者招标文件公告期限届满之日起七个工作日内，以书面形式向采购人、代理机构提出质疑。</w:t>
            </w:r>
          </w:p>
        </w:tc>
      </w:tr>
      <w:tr w14:paraId="745814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65" w:type="dxa"/>
            <w:vAlign w:val="center"/>
          </w:tcPr>
          <w:p w14:paraId="4BD012FF">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1.10.3</w:t>
            </w:r>
          </w:p>
        </w:tc>
        <w:tc>
          <w:tcPr>
            <w:tcW w:w="2018" w:type="dxa"/>
            <w:vAlign w:val="center"/>
          </w:tcPr>
          <w:p w14:paraId="2283B3B4">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采购人说明澄清的时间</w:t>
            </w:r>
          </w:p>
        </w:tc>
        <w:tc>
          <w:tcPr>
            <w:tcW w:w="6562" w:type="dxa"/>
            <w:vAlign w:val="center"/>
          </w:tcPr>
          <w:p w14:paraId="2846F2B1">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招标文件规定的投标截止时间15天前</w:t>
            </w:r>
          </w:p>
        </w:tc>
      </w:tr>
      <w:tr w14:paraId="080F7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965" w:type="dxa"/>
            <w:vAlign w:val="center"/>
          </w:tcPr>
          <w:p w14:paraId="4424358E">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1.11</w:t>
            </w:r>
          </w:p>
        </w:tc>
        <w:tc>
          <w:tcPr>
            <w:tcW w:w="2018" w:type="dxa"/>
            <w:vAlign w:val="center"/>
          </w:tcPr>
          <w:p w14:paraId="0B1FB73D">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分包</w:t>
            </w:r>
          </w:p>
        </w:tc>
        <w:tc>
          <w:tcPr>
            <w:tcW w:w="6562" w:type="dxa"/>
            <w:vAlign w:val="center"/>
          </w:tcPr>
          <w:p w14:paraId="50A7CD86">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不允许</w:t>
            </w:r>
          </w:p>
        </w:tc>
      </w:tr>
      <w:tr w14:paraId="22ACAE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5BD16C72">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2.2.1</w:t>
            </w:r>
          </w:p>
        </w:tc>
        <w:tc>
          <w:tcPr>
            <w:tcW w:w="2018" w:type="dxa"/>
            <w:vAlign w:val="center"/>
          </w:tcPr>
          <w:p w14:paraId="7049D2BB">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hint="eastAsia" w:asciiTheme="minorEastAsia" w:hAnsiTheme="minorEastAsia" w:cstheme="minorEastAsia"/>
                <w:sz w:val="24"/>
                <w:szCs w:val="24"/>
                <w:highlight w:val="none"/>
                <w:lang w:val="en-US" w:eastAsia="zh-CN"/>
              </w:rPr>
              <w:t>投标人</w:t>
            </w:r>
            <w:r>
              <w:rPr>
                <w:rFonts w:asciiTheme="minorEastAsia" w:hAnsiTheme="minorEastAsia" w:eastAsiaTheme="minorEastAsia" w:cstheme="minorEastAsia"/>
                <w:sz w:val="24"/>
                <w:szCs w:val="24"/>
                <w:highlight w:val="none"/>
              </w:rPr>
              <w:t>要求澄清招标文件的截止时间</w:t>
            </w:r>
          </w:p>
        </w:tc>
        <w:tc>
          <w:tcPr>
            <w:tcW w:w="6562" w:type="dxa"/>
            <w:vAlign w:val="center"/>
          </w:tcPr>
          <w:p w14:paraId="38270130">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若有疑问，应当在获取招标文件或者招标文件公告期限届满之日起七个工作日内，以书面形式向采购人、代理机构提出质疑。</w:t>
            </w:r>
          </w:p>
        </w:tc>
      </w:tr>
      <w:tr w14:paraId="411CA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9" w:hRule="atLeast"/>
          <w:jc w:val="center"/>
        </w:trPr>
        <w:tc>
          <w:tcPr>
            <w:tcW w:w="965" w:type="dxa"/>
            <w:vAlign w:val="center"/>
          </w:tcPr>
          <w:p w14:paraId="62775907">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2.2.2</w:t>
            </w:r>
          </w:p>
        </w:tc>
        <w:tc>
          <w:tcPr>
            <w:tcW w:w="2018" w:type="dxa"/>
            <w:vAlign w:val="center"/>
          </w:tcPr>
          <w:p w14:paraId="1A4347A4">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b/>
                <w:bCs/>
                <w:sz w:val="24"/>
                <w:szCs w:val="24"/>
                <w:highlight w:val="none"/>
              </w:rPr>
            </w:pPr>
            <w:r>
              <w:rPr>
                <w:rFonts w:asciiTheme="minorEastAsia" w:hAnsiTheme="minorEastAsia" w:eastAsiaTheme="minorEastAsia" w:cstheme="minorEastAsia"/>
                <w:sz w:val="24"/>
                <w:szCs w:val="24"/>
                <w:highlight w:val="none"/>
              </w:rPr>
              <w:t>投标截止时间</w:t>
            </w:r>
          </w:p>
        </w:tc>
        <w:tc>
          <w:tcPr>
            <w:tcW w:w="6562" w:type="dxa"/>
            <w:vAlign w:val="center"/>
          </w:tcPr>
          <w:p w14:paraId="5CDA6C2D">
            <w:pPr>
              <w:keepNext w:val="0"/>
              <w:keepLines w:val="0"/>
              <w:pageBreakBefore w:val="0"/>
              <w:widowControl/>
              <w:kinsoku w:val="0"/>
              <w:wordWrap/>
              <w:overflowPunct/>
              <w:topLinePunct w:val="0"/>
              <w:autoSpaceDE w:val="0"/>
              <w:autoSpaceDN w:val="0"/>
              <w:bidi w:val="0"/>
              <w:adjustRightInd w:val="0"/>
              <w:snapToGrid w:val="0"/>
              <w:spacing w:line="440" w:lineRule="exact"/>
              <w:jc w:val="left"/>
              <w:textAlignment w:val="baseline"/>
              <w:rPr>
                <w:rFonts w:asciiTheme="minorEastAsia" w:hAnsiTheme="minorEastAsia" w:eastAsiaTheme="minorEastAsia" w:cstheme="minorEastAsia"/>
                <w:b/>
                <w:bCs/>
                <w:sz w:val="24"/>
                <w:szCs w:val="24"/>
                <w:highlight w:val="none"/>
              </w:rPr>
            </w:pPr>
            <w:r>
              <w:rPr>
                <w:rFonts w:hint="eastAsia" w:ascii="宋体" w:hAnsi="宋体" w:cs="宋体"/>
                <w:b/>
                <w:bCs/>
                <w:kern w:val="0"/>
                <w:sz w:val="24"/>
                <w:szCs w:val="24"/>
                <w:highlight w:val="none"/>
              </w:rPr>
              <w:t>2024</w:t>
            </w:r>
            <w:r>
              <w:rPr>
                <w:rFonts w:hint="eastAsia" w:ascii="宋体" w:hAnsi="宋体" w:cs="宋体"/>
                <w:b/>
                <w:bCs/>
                <w:kern w:val="0"/>
                <w:sz w:val="24"/>
                <w:szCs w:val="24"/>
                <w:highlight w:val="none"/>
              </w:rPr>
              <w:t>年</w:t>
            </w:r>
            <w:r>
              <w:rPr>
                <w:rFonts w:hint="eastAsia" w:ascii="宋体" w:hAnsi="宋体" w:cs="宋体"/>
                <w:b/>
                <w:bCs/>
                <w:kern w:val="0"/>
                <w:sz w:val="24"/>
                <w:szCs w:val="24"/>
                <w:highlight w:val="none"/>
                <w:lang w:val="en-US" w:eastAsia="zh-CN"/>
              </w:rPr>
              <w:t>12</w:t>
            </w:r>
            <w:r>
              <w:rPr>
                <w:rFonts w:hint="eastAsia" w:ascii="宋体" w:hAnsi="宋体" w:cs="宋体"/>
                <w:b/>
                <w:bCs/>
                <w:kern w:val="0"/>
                <w:sz w:val="24"/>
                <w:szCs w:val="24"/>
                <w:highlight w:val="none"/>
              </w:rPr>
              <w:t>月</w:t>
            </w:r>
            <w:r>
              <w:rPr>
                <w:rFonts w:hint="eastAsia" w:ascii="宋体" w:hAnsi="宋体" w:cs="宋体"/>
                <w:b/>
                <w:bCs/>
                <w:kern w:val="0"/>
                <w:sz w:val="24"/>
                <w:szCs w:val="24"/>
                <w:highlight w:val="none"/>
                <w:lang w:val="en-US" w:eastAsia="zh-CN"/>
              </w:rPr>
              <w:t>03</w:t>
            </w:r>
            <w:r>
              <w:rPr>
                <w:rFonts w:hint="eastAsia" w:ascii="宋体" w:hAnsi="宋体" w:cs="宋体"/>
                <w:b/>
                <w:bCs/>
                <w:kern w:val="0"/>
                <w:sz w:val="24"/>
                <w:szCs w:val="24"/>
                <w:highlight w:val="none"/>
              </w:rPr>
              <w:t>日</w:t>
            </w:r>
            <w:r>
              <w:rPr>
                <w:rFonts w:hint="eastAsia" w:ascii="宋体" w:hAnsi="宋体" w:cs="宋体"/>
                <w:b/>
                <w:bCs/>
                <w:kern w:val="0"/>
                <w:sz w:val="24"/>
                <w:szCs w:val="24"/>
                <w:highlight w:val="none"/>
              </w:rPr>
              <w:t>上午9点00分（北京时间）</w:t>
            </w:r>
          </w:p>
        </w:tc>
      </w:tr>
      <w:tr w14:paraId="4C360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4BE7C572">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3.1.1</w:t>
            </w:r>
          </w:p>
        </w:tc>
        <w:tc>
          <w:tcPr>
            <w:tcW w:w="2018" w:type="dxa"/>
            <w:vAlign w:val="center"/>
          </w:tcPr>
          <w:p w14:paraId="2CF76BDC">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构成投标文件的</w:t>
            </w:r>
          </w:p>
          <w:p w14:paraId="2B2463E7">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其他材料</w:t>
            </w:r>
          </w:p>
        </w:tc>
        <w:tc>
          <w:tcPr>
            <w:tcW w:w="6562" w:type="dxa"/>
            <w:vAlign w:val="center"/>
          </w:tcPr>
          <w:p w14:paraId="26001D82">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 xml:space="preserve">招标文件中要求的其他资料。 </w:t>
            </w:r>
          </w:p>
        </w:tc>
      </w:tr>
      <w:tr w14:paraId="4C273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3" w:hRule="atLeast"/>
          <w:jc w:val="center"/>
        </w:trPr>
        <w:tc>
          <w:tcPr>
            <w:tcW w:w="965" w:type="dxa"/>
            <w:vAlign w:val="center"/>
          </w:tcPr>
          <w:p w14:paraId="0100EB79">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3.3.1</w:t>
            </w:r>
          </w:p>
        </w:tc>
        <w:tc>
          <w:tcPr>
            <w:tcW w:w="2018" w:type="dxa"/>
            <w:vAlign w:val="center"/>
          </w:tcPr>
          <w:p w14:paraId="214A9BD6">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投标有效期</w:t>
            </w:r>
          </w:p>
        </w:tc>
        <w:tc>
          <w:tcPr>
            <w:tcW w:w="6562" w:type="dxa"/>
            <w:vAlign w:val="center"/>
          </w:tcPr>
          <w:p w14:paraId="12BEDF43">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60日历天（从投标截止之日算起）</w:t>
            </w:r>
          </w:p>
        </w:tc>
      </w:tr>
      <w:tr w14:paraId="756F5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39591A77">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3.6</w:t>
            </w:r>
          </w:p>
        </w:tc>
        <w:tc>
          <w:tcPr>
            <w:tcW w:w="2018" w:type="dxa"/>
            <w:vAlign w:val="center"/>
          </w:tcPr>
          <w:p w14:paraId="77A3F729">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是否允许递交备选投标方案</w:t>
            </w:r>
          </w:p>
        </w:tc>
        <w:tc>
          <w:tcPr>
            <w:tcW w:w="6562" w:type="dxa"/>
            <w:vAlign w:val="center"/>
          </w:tcPr>
          <w:p w14:paraId="2283A4A6">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不允许</w:t>
            </w:r>
          </w:p>
        </w:tc>
      </w:tr>
      <w:tr w14:paraId="265B06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65" w:type="dxa"/>
            <w:shd w:val="clear" w:color="auto" w:fill="auto"/>
            <w:vAlign w:val="center"/>
          </w:tcPr>
          <w:p w14:paraId="688CE39F">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3.7.3</w:t>
            </w:r>
          </w:p>
        </w:tc>
        <w:tc>
          <w:tcPr>
            <w:tcW w:w="2018" w:type="dxa"/>
            <w:shd w:val="clear" w:color="auto" w:fill="auto"/>
            <w:vAlign w:val="center"/>
          </w:tcPr>
          <w:p w14:paraId="12B5C47D">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签字盖章要求</w:t>
            </w:r>
          </w:p>
        </w:tc>
        <w:tc>
          <w:tcPr>
            <w:tcW w:w="6562" w:type="dxa"/>
            <w:shd w:val="clear" w:color="auto" w:fill="auto"/>
            <w:vAlign w:val="center"/>
          </w:tcPr>
          <w:p w14:paraId="6D3E5FD2">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hint="eastAsia" w:asciiTheme="minorEastAsia" w:hAnsiTheme="minorEastAsia" w:cstheme="minorEastAsia"/>
                <w:sz w:val="24"/>
                <w:szCs w:val="24"/>
                <w:highlight w:val="none"/>
                <w:lang w:val="en-US" w:eastAsia="zh-CN"/>
              </w:rPr>
              <w:t>1.</w:t>
            </w:r>
            <w:r>
              <w:rPr>
                <w:rFonts w:asciiTheme="minorEastAsia" w:hAnsiTheme="minorEastAsia" w:eastAsiaTheme="minorEastAsia" w:cstheme="minorEastAsia"/>
                <w:sz w:val="24"/>
                <w:szCs w:val="24"/>
                <w:highlight w:val="none"/>
              </w:rPr>
              <w:t>所有要求</w:t>
            </w:r>
            <w:r>
              <w:rPr>
                <w:rFonts w:hint="eastAsia" w:asciiTheme="minorEastAsia" w:hAnsiTheme="minorEastAsia" w:cstheme="minorEastAsia"/>
                <w:sz w:val="24"/>
                <w:szCs w:val="24"/>
                <w:highlight w:val="none"/>
                <w:lang w:val="en-US" w:eastAsia="zh-CN"/>
              </w:rPr>
              <w:t>投标人</w:t>
            </w:r>
            <w:r>
              <w:rPr>
                <w:rFonts w:asciiTheme="minorEastAsia" w:hAnsiTheme="minorEastAsia" w:eastAsiaTheme="minorEastAsia" w:cstheme="minorEastAsia"/>
                <w:sz w:val="24"/>
                <w:szCs w:val="24"/>
                <w:highlight w:val="none"/>
              </w:rPr>
              <w:t>加盖公章的地方都须加盖</w:t>
            </w:r>
            <w:r>
              <w:rPr>
                <w:rFonts w:hint="eastAsia" w:asciiTheme="minorEastAsia" w:hAnsiTheme="minorEastAsia" w:cstheme="minorEastAsia"/>
                <w:sz w:val="24"/>
                <w:szCs w:val="24"/>
                <w:highlight w:val="none"/>
                <w:lang w:val="en-US" w:eastAsia="zh-CN"/>
              </w:rPr>
              <w:t>投标</w:t>
            </w:r>
            <w:r>
              <w:rPr>
                <w:rFonts w:asciiTheme="minorEastAsia" w:hAnsiTheme="minorEastAsia" w:eastAsiaTheme="minorEastAsia" w:cstheme="minorEastAsia"/>
                <w:sz w:val="24"/>
                <w:szCs w:val="24"/>
                <w:highlight w:val="none"/>
              </w:rPr>
              <w:t>单位的 CA 印章。</w:t>
            </w:r>
          </w:p>
          <w:p w14:paraId="0E5CB665">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hint="eastAsia" w:asciiTheme="minorEastAsia" w:hAnsiTheme="minorEastAsia" w:cstheme="minorEastAsia"/>
                <w:sz w:val="24"/>
                <w:szCs w:val="24"/>
                <w:highlight w:val="none"/>
                <w:lang w:val="en-US" w:eastAsia="zh-CN"/>
              </w:rPr>
              <w:t>2.</w:t>
            </w:r>
            <w:r>
              <w:rPr>
                <w:rFonts w:asciiTheme="minorEastAsia" w:hAnsiTheme="minorEastAsia" w:eastAsiaTheme="minorEastAsia" w:cstheme="minorEastAsia"/>
                <w:sz w:val="24"/>
                <w:szCs w:val="24"/>
                <w:highlight w:val="none"/>
              </w:rPr>
              <w:t>要求法定代表人签字或盖章的，法定代表人在签字或盖章的地方上传手写签名的扫描件或加盖法定代表人CA印章。</w:t>
            </w:r>
          </w:p>
          <w:p w14:paraId="2C693716">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hint="eastAsia" w:asciiTheme="minorEastAsia" w:hAnsiTheme="minorEastAsia" w:cstheme="minorEastAsia"/>
                <w:sz w:val="24"/>
                <w:szCs w:val="24"/>
                <w:highlight w:val="none"/>
                <w:lang w:val="en-US" w:eastAsia="zh-CN"/>
              </w:rPr>
              <w:t>3.</w:t>
            </w:r>
            <w:r>
              <w:rPr>
                <w:rFonts w:asciiTheme="minorEastAsia" w:hAnsiTheme="minorEastAsia" w:eastAsiaTheme="minorEastAsia" w:cstheme="minorEastAsia"/>
                <w:sz w:val="24"/>
                <w:szCs w:val="24"/>
                <w:highlight w:val="none"/>
              </w:rPr>
              <w:t>要求委托代理人签字或盖章的，委托代理人在签字或盖章的地方上传手写签名的扫描件或加盖委托代理人CA印章。</w:t>
            </w:r>
          </w:p>
        </w:tc>
      </w:tr>
      <w:tr w14:paraId="1F6AF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965" w:type="dxa"/>
            <w:vAlign w:val="center"/>
          </w:tcPr>
          <w:p w14:paraId="5C452665">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3.7.4</w:t>
            </w:r>
          </w:p>
        </w:tc>
        <w:tc>
          <w:tcPr>
            <w:tcW w:w="2018" w:type="dxa"/>
            <w:vAlign w:val="center"/>
          </w:tcPr>
          <w:p w14:paraId="62C63506">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投标文件份数</w:t>
            </w:r>
          </w:p>
        </w:tc>
        <w:tc>
          <w:tcPr>
            <w:tcW w:w="6562" w:type="dxa"/>
            <w:vAlign w:val="center"/>
          </w:tcPr>
          <w:p w14:paraId="7616B2E4">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加密的电子投标文件壹份（.jztf 格式在会员系统指定位置上传）；自备非加密的电子投标文件一份，如有紧急情况，在不见面开标按要求上传。</w:t>
            </w:r>
          </w:p>
        </w:tc>
      </w:tr>
      <w:tr w14:paraId="6F509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jc w:val="center"/>
        </w:trPr>
        <w:tc>
          <w:tcPr>
            <w:tcW w:w="965" w:type="dxa"/>
            <w:vAlign w:val="center"/>
          </w:tcPr>
          <w:p w14:paraId="72D829CC">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4.2.2</w:t>
            </w:r>
          </w:p>
        </w:tc>
        <w:tc>
          <w:tcPr>
            <w:tcW w:w="2018" w:type="dxa"/>
            <w:vAlign w:val="center"/>
          </w:tcPr>
          <w:p w14:paraId="3F6A73F4">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递交投标文件方式和地点</w:t>
            </w:r>
          </w:p>
        </w:tc>
        <w:tc>
          <w:tcPr>
            <w:tcW w:w="6562" w:type="dxa"/>
            <w:vAlign w:val="center"/>
          </w:tcPr>
          <w:p w14:paraId="04B5A466">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hAnsi="宋体"/>
                <w:sz w:val="24"/>
                <w:szCs w:val="24"/>
                <w:highlight w:val="none"/>
              </w:rPr>
            </w:pPr>
            <w:r>
              <w:rPr>
                <w:rFonts w:hAnsi="宋体"/>
                <w:sz w:val="24"/>
                <w:szCs w:val="24"/>
                <w:highlight w:val="none"/>
              </w:rPr>
              <w:t>本项目采用“远程不见面”开标方式，远程开标大厅网址为http://122.112.246.33/BidOpening/bidopeninghallaction/hall/login。</w:t>
            </w:r>
            <w:r>
              <w:rPr>
                <w:rFonts w:hint="eastAsia" w:hAnsi="宋体"/>
                <w:sz w:val="24"/>
                <w:szCs w:val="24"/>
                <w:highlight w:val="none"/>
                <w:lang w:val="en-US" w:eastAsia="zh-CN"/>
              </w:rPr>
              <w:t>投标人</w:t>
            </w:r>
            <w:r>
              <w:rPr>
                <w:rFonts w:hAnsi="宋体"/>
                <w:sz w:val="24"/>
                <w:szCs w:val="24"/>
                <w:highlight w:val="none"/>
              </w:rPr>
              <w:t xml:space="preserve">不需到开标现场参加开标会议，不需提交原件资料等。 </w:t>
            </w:r>
          </w:p>
          <w:p w14:paraId="249400AD">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hAnsi="宋体"/>
                <w:sz w:val="24"/>
                <w:szCs w:val="24"/>
                <w:highlight w:val="none"/>
              </w:rPr>
            </w:pPr>
            <w:r>
              <w:rPr>
                <w:rFonts w:hAnsi="宋体"/>
                <w:sz w:val="24"/>
                <w:szCs w:val="24"/>
                <w:highlight w:val="none"/>
              </w:rPr>
              <w:t>（1）电子投标文件的递交</w:t>
            </w:r>
          </w:p>
          <w:p w14:paraId="43A9C612">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hAnsi="宋体"/>
                <w:sz w:val="24"/>
                <w:szCs w:val="24"/>
                <w:highlight w:val="none"/>
              </w:rPr>
            </w:pPr>
            <w:r>
              <w:rPr>
                <w:rFonts w:hAnsi="宋体"/>
                <w:sz w:val="24"/>
                <w:szCs w:val="24"/>
                <w:highlight w:val="none"/>
              </w:rPr>
              <w:t>a、各</w:t>
            </w:r>
            <w:r>
              <w:rPr>
                <w:rFonts w:hint="eastAsia" w:hAnsi="宋体"/>
                <w:sz w:val="24"/>
                <w:szCs w:val="24"/>
                <w:highlight w:val="none"/>
                <w:lang w:val="en-US" w:eastAsia="zh-CN"/>
              </w:rPr>
              <w:t>投标人</w:t>
            </w:r>
            <w:r>
              <w:rPr>
                <w:rFonts w:hAnsi="宋体"/>
                <w:sz w:val="24"/>
                <w:szCs w:val="24"/>
                <w:highlight w:val="none"/>
              </w:rPr>
              <w:t>应在投标截止时间前上传加密的电子投标文件</w:t>
            </w:r>
          </w:p>
          <w:p w14:paraId="33D08B85">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hAnsi="宋体"/>
                <w:sz w:val="24"/>
                <w:szCs w:val="24"/>
                <w:highlight w:val="none"/>
              </w:rPr>
            </w:pPr>
            <w:r>
              <w:rPr>
                <w:rFonts w:hAnsi="宋体"/>
                <w:sz w:val="24"/>
                <w:szCs w:val="24"/>
                <w:highlight w:val="none"/>
              </w:rPr>
              <w:t>（.jztf 格式）到会员系统的指定位置。上传时必须得到电脑“上传成功”的确认回复。请</w:t>
            </w:r>
            <w:r>
              <w:rPr>
                <w:rFonts w:hint="eastAsia" w:hAnsi="宋体"/>
                <w:sz w:val="24"/>
                <w:szCs w:val="24"/>
                <w:highlight w:val="none"/>
                <w:lang w:val="en-US" w:eastAsia="zh-CN"/>
              </w:rPr>
              <w:t>投标人</w:t>
            </w:r>
            <w:r>
              <w:rPr>
                <w:rFonts w:hAnsi="宋体"/>
                <w:sz w:val="24"/>
                <w:szCs w:val="24"/>
                <w:highlight w:val="none"/>
              </w:rPr>
              <w:t>在上传时认真检查上传投标文件是否完整、正确。</w:t>
            </w:r>
          </w:p>
          <w:p w14:paraId="4FB0F849">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sz w:val="24"/>
                <w:szCs w:val="24"/>
                <w:highlight w:val="none"/>
              </w:rPr>
            </w:pPr>
            <w:r>
              <w:rPr>
                <w:rFonts w:hAnsi="宋体"/>
                <w:sz w:val="24"/>
                <w:szCs w:val="24"/>
                <w:highlight w:val="none"/>
              </w:rPr>
              <w:t>b、如系统故障需上传非加密文件时，</w:t>
            </w:r>
            <w:r>
              <w:rPr>
                <w:rFonts w:hint="eastAsia" w:hAnsi="宋体"/>
                <w:sz w:val="24"/>
                <w:szCs w:val="24"/>
                <w:highlight w:val="none"/>
                <w:lang w:val="en-US" w:eastAsia="zh-CN"/>
              </w:rPr>
              <w:t>投标人</w:t>
            </w:r>
            <w:r>
              <w:rPr>
                <w:rFonts w:hAnsi="宋体"/>
                <w:sz w:val="24"/>
                <w:szCs w:val="24"/>
                <w:highlight w:val="none"/>
              </w:rPr>
              <w:t>应按照采购人指示将非加密文件递交给采购人。</w:t>
            </w:r>
          </w:p>
        </w:tc>
      </w:tr>
      <w:tr w14:paraId="78856A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324D0FD5">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4.2.3</w:t>
            </w:r>
          </w:p>
        </w:tc>
        <w:tc>
          <w:tcPr>
            <w:tcW w:w="2018" w:type="dxa"/>
            <w:vAlign w:val="center"/>
          </w:tcPr>
          <w:p w14:paraId="3735B37D">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是否退还投标文件</w:t>
            </w:r>
          </w:p>
        </w:tc>
        <w:tc>
          <w:tcPr>
            <w:tcW w:w="6562" w:type="dxa"/>
            <w:vAlign w:val="center"/>
          </w:tcPr>
          <w:p w14:paraId="65A9F350">
            <w:pPr>
              <w:pStyle w:val="10"/>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否</w:t>
            </w:r>
          </w:p>
        </w:tc>
      </w:tr>
      <w:tr w14:paraId="19C2D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48E185BC">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5.1</w:t>
            </w:r>
          </w:p>
        </w:tc>
        <w:tc>
          <w:tcPr>
            <w:tcW w:w="2018" w:type="dxa"/>
            <w:vAlign w:val="center"/>
          </w:tcPr>
          <w:p w14:paraId="68F0B79C">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开标时间和地点</w:t>
            </w:r>
          </w:p>
        </w:tc>
        <w:tc>
          <w:tcPr>
            <w:tcW w:w="6562" w:type="dxa"/>
            <w:vAlign w:val="center"/>
          </w:tcPr>
          <w:p w14:paraId="5AC2DFA3">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宋体" w:hAnsi="宋体"/>
                <w:sz w:val="24"/>
                <w:szCs w:val="24"/>
                <w:highlight w:val="none"/>
              </w:rPr>
            </w:pPr>
            <w:r>
              <w:rPr>
                <w:rFonts w:hint="eastAsia" w:ascii="宋体" w:hAnsi="宋体"/>
                <w:sz w:val="24"/>
                <w:szCs w:val="24"/>
                <w:highlight w:val="none"/>
              </w:rPr>
              <w:t>开标时间：同投标截止时间。登录远程开标大厅，凭制作投标文件所用的企业 CA 密匙在线签到、解密文件等，解密时间为投标截止时后30分钟内。</w:t>
            </w:r>
          </w:p>
          <w:p w14:paraId="28007F07">
            <w:pPr>
              <w:keepNext w:val="0"/>
              <w:keepLines w:val="0"/>
              <w:pageBreakBefore w:val="0"/>
              <w:widowControl/>
              <w:kinsoku w:val="0"/>
              <w:wordWrap/>
              <w:overflowPunct/>
              <w:topLinePunct w:val="0"/>
              <w:autoSpaceDE w:val="0"/>
              <w:autoSpaceDN w:val="0"/>
              <w:bidi w:val="0"/>
              <w:adjustRightInd w:val="0"/>
              <w:snapToGrid w:val="0"/>
              <w:spacing w:line="440" w:lineRule="exact"/>
              <w:ind w:left="700" w:hanging="700"/>
              <w:jc w:val="left"/>
              <w:textAlignment w:val="baseline"/>
              <w:rPr>
                <w:rFonts w:asciiTheme="minorEastAsia" w:hAnsiTheme="minorEastAsia" w:eastAsiaTheme="minorEastAsia" w:cstheme="minorEastAsia"/>
                <w:sz w:val="24"/>
                <w:szCs w:val="24"/>
                <w:highlight w:val="none"/>
              </w:rPr>
            </w:pPr>
            <w:r>
              <w:rPr>
                <w:rFonts w:hint="eastAsia" w:ascii="宋体" w:hAnsi="宋体"/>
                <w:sz w:val="24"/>
                <w:szCs w:val="24"/>
                <w:highlight w:val="none"/>
              </w:rPr>
              <w:t>现场开标地点：博爱县公共资源交易中心二楼第二开标室</w:t>
            </w:r>
          </w:p>
        </w:tc>
      </w:tr>
      <w:tr w14:paraId="2AAD3C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7" w:hRule="atLeast"/>
          <w:jc w:val="center"/>
        </w:trPr>
        <w:tc>
          <w:tcPr>
            <w:tcW w:w="965" w:type="dxa"/>
            <w:vAlign w:val="center"/>
          </w:tcPr>
          <w:p w14:paraId="6C1248A7">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6.1.1</w:t>
            </w:r>
          </w:p>
        </w:tc>
        <w:tc>
          <w:tcPr>
            <w:tcW w:w="2018" w:type="dxa"/>
            <w:vAlign w:val="center"/>
          </w:tcPr>
          <w:p w14:paraId="65F2F819">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评标委员会的组建</w:t>
            </w:r>
          </w:p>
        </w:tc>
        <w:tc>
          <w:tcPr>
            <w:tcW w:w="6562" w:type="dxa"/>
            <w:vAlign w:val="center"/>
          </w:tcPr>
          <w:p w14:paraId="7446777E">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宋体" w:hAnsi="宋体"/>
                <w:sz w:val="24"/>
                <w:szCs w:val="24"/>
                <w:highlight w:val="none"/>
                <w:u w:val="single"/>
              </w:rPr>
            </w:pPr>
            <w:r>
              <w:rPr>
                <w:rFonts w:hint="eastAsia" w:ascii="宋体" w:hAnsi="宋体"/>
                <w:sz w:val="24"/>
                <w:szCs w:val="24"/>
                <w:highlight w:val="none"/>
              </w:rPr>
              <w:t>评标委员会构成：由采购人代表1人和政府采购专家库中随机抽取的评审专家4人，共5人组成。</w:t>
            </w:r>
            <w:r>
              <w:rPr>
                <w:rFonts w:hint="eastAsia" w:ascii="宋体" w:hAnsi="宋体"/>
                <w:b/>
                <w:bCs/>
                <w:sz w:val="24"/>
                <w:szCs w:val="24"/>
                <w:highlight w:val="none"/>
              </w:rPr>
              <w:t>注</w:t>
            </w:r>
            <w:r>
              <w:rPr>
                <w:rFonts w:hint="eastAsia" w:ascii="宋体" w:hAnsi="宋体"/>
                <w:sz w:val="24"/>
                <w:szCs w:val="24"/>
                <w:highlight w:val="none"/>
              </w:rPr>
              <w:t>：</w:t>
            </w:r>
            <w:r>
              <w:rPr>
                <w:rFonts w:hint="eastAsia" w:ascii="宋体" w:hAnsi="宋体"/>
                <w:b/>
                <w:bCs/>
                <w:sz w:val="24"/>
                <w:szCs w:val="24"/>
                <w:highlight w:val="none"/>
                <w:u w:val="single"/>
              </w:rPr>
              <w:t>根据《财政部令第87号》第四十五条规定，采购人代表不得担任评标委员会组长。</w:t>
            </w:r>
          </w:p>
          <w:p w14:paraId="38000FF7">
            <w:pPr>
              <w:keepNext w:val="0"/>
              <w:keepLines w:val="0"/>
              <w:pageBreakBefore w:val="0"/>
              <w:widowControl/>
              <w:kinsoku w:val="0"/>
              <w:wordWrap/>
              <w:overflowPunct/>
              <w:topLinePunct w:val="0"/>
              <w:autoSpaceDE w:val="0"/>
              <w:autoSpaceDN w:val="0"/>
              <w:bidi w:val="0"/>
              <w:adjustRightInd w:val="0"/>
              <w:snapToGrid w:val="0"/>
              <w:spacing w:line="440" w:lineRule="exact"/>
              <w:jc w:val="left"/>
              <w:textAlignment w:val="baseline"/>
              <w:rPr>
                <w:rFonts w:asciiTheme="minorEastAsia" w:hAnsiTheme="minorEastAsia" w:eastAsiaTheme="minorEastAsia" w:cstheme="minorEastAsia"/>
                <w:sz w:val="24"/>
                <w:szCs w:val="24"/>
                <w:highlight w:val="none"/>
                <w:u w:val="single"/>
              </w:rPr>
            </w:pPr>
            <w:r>
              <w:rPr>
                <w:rFonts w:hint="eastAsia" w:asciiTheme="minorEastAsia" w:hAnsiTheme="minorEastAsia" w:eastAsiaTheme="minorEastAsia" w:cstheme="minorEastAsia"/>
                <w:sz w:val="24"/>
                <w:szCs w:val="24"/>
                <w:highlight w:val="none"/>
              </w:rPr>
              <w:t>评审专家确定方式：在开标前从有关政府部门设立的评标专家中随机抽取确定。</w:t>
            </w:r>
          </w:p>
        </w:tc>
      </w:tr>
      <w:tr w14:paraId="5CE61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5C465858">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7.1</w:t>
            </w:r>
          </w:p>
        </w:tc>
        <w:tc>
          <w:tcPr>
            <w:tcW w:w="2018" w:type="dxa"/>
            <w:vAlign w:val="center"/>
          </w:tcPr>
          <w:p w14:paraId="4328E341">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是否授权评标委员会确定中标人</w:t>
            </w:r>
          </w:p>
        </w:tc>
        <w:tc>
          <w:tcPr>
            <w:tcW w:w="6562" w:type="dxa"/>
            <w:vAlign w:val="center"/>
          </w:tcPr>
          <w:p w14:paraId="7AB9C0E1">
            <w:pPr>
              <w:keepNext w:val="0"/>
              <w:keepLines w:val="0"/>
              <w:pageBreakBefore w:val="0"/>
              <w:widowControl/>
              <w:kinsoku w:val="0"/>
              <w:wordWrap/>
              <w:overflowPunct/>
              <w:topLinePunct w:val="0"/>
              <w:autoSpaceDE w:val="0"/>
              <w:autoSpaceDN w:val="0"/>
              <w:bidi w:val="0"/>
              <w:adjustRightInd w:val="0"/>
              <w:snapToGrid w:val="0"/>
              <w:spacing w:line="440" w:lineRule="exact"/>
              <w:ind w:firstLine="480" w:firstLineChars="200"/>
              <w:jc w:val="left"/>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否，由评标委员会从认定的合理报价中，按得分由高到低的顺序，依次推荐3名中标候选人。</w:t>
            </w:r>
          </w:p>
          <w:p w14:paraId="1CEF94C2">
            <w:pPr>
              <w:keepNext w:val="0"/>
              <w:keepLines w:val="0"/>
              <w:pageBreakBefore w:val="0"/>
              <w:widowControl/>
              <w:kinsoku w:val="0"/>
              <w:wordWrap/>
              <w:overflowPunct/>
              <w:topLinePunct w:val="0"/>
              <w:autoSpaceDE w:val="0"/>
              <w:autoSpaceDN w:val="0"/>
              <w:bidi w:val="0"/>
              <w:adjustRightInd w:val="0"/>
              <w:snapToGrid w:val="0"/>
              <w:spacing w:line="440" w:lineRule="exact"/>
              <w:ind w:firstLine="480" w:firstLineChars="200"/>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采购人应当确定排名第一的中标候选人为中标人。排名第一的中标候选人放弃中标、因不可抗力不能履行合同，或者被查实存在影响中标结果的违法行为等情形，不符合中标条件的，采购人可以按照评标委员会提出的中标候选人名单排序依次确定其他中标候选人为中标人。</w:t>
            </w:r>
          </w:p>
          <w:p w14:paraId="070EB6B0">
            <w:pPr>
              <w:keepNext w:val="0"/>
              <w:keepLines w:val="0"/>
              <w:pageBreakBefore w:val="0"/>
              <w:widowControl/>
              <w:kinsoku w:val="0"/>
              <w:wordWrap/>
              <w:overflowPunct/>
              <w:topLinePunct w:val="0"/>
              <w:autoSpaceDE w:val="0"/>
              <w:autoSpaceDN w:val="0"/>
              <w:bidi w:val="0"/>
              <w:adjustRightInd w:val="0"/>
              <w:snapToGrid w:val="0"/>
              <w:spacing w:line="440" w:lineRule="exact"/>
              <w:ind w:firstLine="480" w:firstLineChars="200"/>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非因不可抗力因素放弃中标的，或排名第一的中标候选人未按规定期限与采购人签订合同的，应赔偿采购人由此造成的损失，损失费的计算方法为该中标候选人的投标价与重新确定的中标人中标价的差额，将按相关规定予以处理。</w:t>
            </w:r>
          </w:p>
        </w:tc>
      </w:tr>
      <w:tr w14:paraId="00096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vAlign w:val="center"/>
          </w:tcPr>
          <w:p w14:paraId="757E3D21">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7.3.1</w:t>
            </w:r>
          </w:p>
        </w:tc>
        <w:tc>
          <w:tcPr>
            <w:tcW w:w="2018" w:type="dxa"/>
            <w:vAlign w:val="center"/>
          </w:tcPr>
          <w:p w14:paraId="5740FDEE">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履约保证金</w:t>
            </w:r>
          </w:p>
        </w:tc>
        <w:tc>
          <w:tcPr>
            <w:tcW w:w="6562" w:type="dxa"/>
            <w:vAlign w:val="center"/>
          </w:tcPr>
          <w:p w14:paraId="1D7B3A38">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无</w:t>
            </w:r>
          </w:p>
        </w:tc>
      </w:tr>
      <w:tr w14:paraId="18B23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shd w:val="clear" w:color="auto" w:fill="auto"/>
            <w:vAlign w:val="center"/>
          </w:tcPr>
          <w:p w14:paraId="5052CBD5">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rPr>
              <w:t>7.3.2</w:t>
            </w:r>
          </w:p>
        </w:tc>
        <w:tc>
          <w:tcPr>
            <w:tcW w:w="2018" w:type="dxa"/>
            <w:shd w:val="clear" w:color="auto" w:fill="auto"/>
            <w:vAlign w:val="center"/>
          </w:tcPr>
          <w:p w14:paraId="5CF2CEDD">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投标保证金</w:t>
            </w:r>
          </w:p>
        </w:tc>
        <w:tc>
          <w:tcPr>
            <w:tcW w:w="6562" w:type="dxa"/>
            <w:shd w:val="clear" w:color="auto" w:fill="auto"/>
            <w:vAlign w:val="center"/>
          </w:tcPr>
          <w:p w14:paraId="7DC128D3">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无</w:t>
            </w:r>
          </w:p>
        </w:tc>
      </w:tr>
      <w:tr w14:paraId="429F8E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5" w:type="dxa"/>
            <w:shd w:val="clear" w:color="auto" w:fill="auto"/>
            <w:vAlign w:val="center"/>
          </w:tcPr>
          <w:p w14:paraId="4A4FD42B">
            <w:pPr>
              <w:pStyle w:val="10"/>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lang w:val="en-US" w:eastAsia="zh-CN"/>
              </w:rPr>
            </w:pPr>
            <w:r>
              <w:rPr>
                <w:rFonts w:hint="eastAsia" w:asciiTheme="minorEastAsia" w:hAnsiTheme="minorEastAsia" w:cstheme="minorEastAsia"/>
                <w:sz w:val="24"/>
                <w:szCs w:val="24"/>
                <w:highlight w:val="none"/>
                <w:lang w:val="en-US" w:eastAsia="zh-CN"/>
              </w:rPr>
              <w:t>7.3.3</w:t>
            </w:r>
          </w:p>
        </w:tc>
        <w:tc>
          <w:tcPr>
            <w:tcW w:w="2018" w:type="dxa"/>
            <w:shd w:val="clear" w:color="auto" w:fill="auto"/>
            <w:vAlign w:val="center"/>
          </w:tcPr>
          <w:p w14:paraId="7306B2F8">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Theme="minorEastAsia" w:hAnsiTheme="minorEastAsia" w:eastAsiaTheme="minorEastAsia" w:cstheme="minorEastAsia"/>
                <w:sz w:val="24"/>
                <w:szCs w:val="24"/>
                <w:highlight w:val="none"/>
                <w:lang w:val="en-US" w:eastAsia="zh-CN"/>
              </w:rPr>
            </w:pPr>
            <w:r>
              <w:rPr>
                <w:rFonts w:hint="eastAsia" w:asciiTheme="minorEastAsia" w:hAnsiTheme="minorEastAsia" w:cstheme="minorEastAsia"/>
                <w:sz w:val="24"/>
                <w:szCs w:val="24"/>
                <w:highlight w:val="none"/>
                <w:lang w:val="en-US" w:eastAsia="zh-CN"/>
              </w:rPr>
              <w:t>质量保证金</w:t>
            </w:r>
          </w:p>
        </w:tc>
        <w:tc>
          <w:tcPr>
            <w:tcW w:w="6562" w:type="dxa"/>
            <w:shd w:val="clear" w:color="auto" w:fill="auto"/>
            <w:vAlign w:val="center"/>
          </w:tcPr>
          <w:p w14:paraId="6C1DC9DF">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hint="eastAsia"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无</w:t>
            </w:r>
          </w:p>
        </w:tc>
      </w:tr>
      <w:tr w14:paraId="6F64A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965" w:type="dxa"/>
            <w:vAlign w:val="bottom"/>
          </w:tcPr>
          <w:p w14:paraId="719ACA2C">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b/>
                <w:sz w:val="24"/>
                <w:szCs w:val="24"/>
                <w:highlight w:val="none"/>
              </w:rPr>
            </w:pPr>
            <w:r>
              <w:rPr>
                <w:rFonts w:hint="eastAsia" w:asciiTheme="minorEastAsia" w:hAnsiTheme="minorEastAsia" w:eastAsiaTheme="minorEastAsia" w:cstheme="minorEastAsia"/>
                <w:bCs/>
                <w:sz w:val="24"/>
                <w:szCs w:val="24"/>
                <w:highlight w:val="none"/>
              </w:rPr>
              <w:t>10</w:t>
            </w:r>
          </w:p>
        </w:tc>
        <w:tc>
          <w:tcPr>
            <w:tcW w:w="8580" w:type="dxa"/>
            <w:gridSpan w:val="2"/>
            <w:vAlign w:val="bottom"/>
          </w:tcPr>
          <w:p w14:paraId="7631A4A1">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b/>
                <w:sz w:val="24"/>
                <w:szCs w:val="24"/>
                <w:highlight w:val="none"/>
              </w:rPr>
            </w:pPr>
            <w:r>
              <w:rPr>
                <w:rFonts w:hint="eastAsia" w:asciiTheme="minorEastAsia" w:hAnsiTheme="minorEastAsia" w:eastAsiaTheme="minorEastAsia" w:cstheme="minorEastAsia"/>
                <w:b/>
                <w:sz w:val="24"/>
                <w:szCs w:val="24"/>
                <w:highlight w:val="none"/>
              </w:rPr>
              <w:t>需要补充的其他内容</w:t>
            </w:r>
          </w:p>
        </w:tc>
      </w:tr>
      <w:tr w14:paraId="48D834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965" w:type="dxa"/>
            <w:vAlign w:val="center"/>
          </w:tcPr>
          <w:p w14:paraId="658942E3">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10.1</w:t>
            </w:r>
          </w:p>
        </w:tc>
        <w:tc>
          <w:tcPr>
            <w:tcW w:w="2018" w:type="dxa"/>
            <w:vAlign w:val="center"/>
          </w:tcPr>
          <w:p w14:paraId="49D3C79A">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预算金额</w:t>
            </w:r>
          </w:p>
        </w:tc>
        <w:tc>
          <w:tcPr>
            <w:tcW w:w="6562" w:type="dxa"/>
            <w:vAlign w:val="bottom"/>
          </w:tcPr>
          <w:p w14:paraId="51FF1B87">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1、本项目预算金额（控制价）为：</w:t>
            </w:r>
            <w:r>
              <w:rPr>
                <w:rFonts w:hint="eastAsia" w:asciiTheme="minorEastAsia" w:hAnsiTheme="minorEastAsia" w:eastAsiaTheme="minorEastAsia" w:cstheme="minorEastAsia"/>
                <w:sz w:val="24"/>
                <w:szCs w:val="24"/>
                <w:highlight w:val="none"/>
                <w:lang w:eastAsia="zh-CN"/>
              </w:rPr>
              <w:t>2</w:t>
            </w:r>
            <w:r>
              <w:rPr>
                <w:rFonts w:hint="eastAsia" w:asciiTheme="minorEastAsia" w:hAnsiTheme="minorEastAsia" w:cstheme="minorEastAsia"/>
                <w:sz w:val="24"/>
                <w:szCs w:val="24"/>
                <w:highlight w:val="none"/>
                <w:lang w:val="en-US" w:eastAsia="zh-CN"/>
              </w:rPr>
              <w:t>02</w:t>
            </w:r>
            <w:r>
              <w:rPr>
                <w:rFonts w:hint="eastAsia" w:asciiTheme="minorEastAsia" w:hAnsiTheme="minorEastAsia" w:eastAsiaTheme="minorEastAsia" w:cstheme="minorEastAsia"/>
                <w:sz w:val="24"/>
                <w:szCs w:val="24"/>
                <w:highlight w:val="none"/>
                <w:lang w:eastAsia="zh-CN"/>
              </w:rPr>
              <w:t>7978.00</w:t>
            </w:r>
            <w:r>
              <w:rPr>
                <w:rFonts w:hint="eastAsia" w:asciiTheme="minorEastAsia" w:hAnsiTheme="minorEastAsia" w:eastAsiaTheme="minorEastAsia" w:cstheme="minorEastAsia"/>
                <w:sz w:val="24"/>
                <w:szCs w:val="24"/>
                <w:highlight w:val="none"/>
              </w:rPr>
              <w:t>元。</w:t>
            </w:r>
          </w:p>
          <w:p w14:paraId="47CDDC74">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2、控制价是采购人设置的最高限价，</w:t>
            </w:r>
            <w:r>
              <w:rPr>
                <w:rFonts w:hint="eastAsia" w:asciiTheme="minorEastAsia" w:hAnsiTheme="minorEastAsia" w:cstheme="minorEastAsia"/>
                <w:sz w:val="24"/>
                <w:szCs w:val="24"/>
                <w:highlight w:val="none"/>
                <w:lang w:val="en-US" w:eastAsia="zh-CN"/>
              </w:rPr>
              <w:t>投标人</w:t>
            </w:r>
            <w:r>
              <w:rPr>
                <w:rFonts w:hint="eastAsia" w:asciiTheme="minorEastAsia" w:hAnsiTheme="minorEastAsia" w:eastAsiaTheme="minorEastAsia" w:cstheme="minorEastAsia"/>
                <w:sz w:val="24"/>
                <w:szCs w:val="24"/>
                <w:highlight w:val="none"/>
              </w:rPr>
              <w:t>的投标报价高于控制价的视为无效报价，其投标予以拒绝；</w:t>
            </w:r>
          </w:p>
          <w:p w14:paraId="71B7D006">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3、当中标人的投标报价高于控制价的95%时，该中标人的中标价按控制价的95%执行。</w:t>
            </w:r>
          </w:p>
        </w:tc>
      </w:tr>
      <w:tr w14:paraId="12A45C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965" w:type="dxa"/>
            <w:vAlign w:val="center"/>
          </w:tcPr>
          <w:p w14:paraId="7AFA1E21">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10.2</w:t>
            </w:r>
          </w:p>
        </w:tc>
        <w:tc>
          <w:tcPr>
            <w:tcW w:w="2018" w:type="dxa"/>
            <w:vAlign w:val="center"/>
          </w:tcPr>
          <w:p w14:paraId="5F3FF4E3">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小型或微型企业（含监狱企业）</w:t>
            </w:r>
          </w:p>
        </w:tc>
        <w:tc>
          <w:tcPr>
            <w:tcW w:w="6562" w:type="dxa"/>
            <w:vAlign w:val="center"/>
          </w:tcPr>
          <w:p w14:paraId="66D522E0">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lang w:eastAsia="zh-CN"/>
              </w:rPr>
            </w:pPr>
            <w:r>
              <w:rPr>
                <w:rFonts w:asciiTheme="minorEastAsia" w:hAnsiTheme="minorEastAsia" w:eastAsiaTheme="minorEastAsia" w:cstheme="minorEastAsia"/>
                <w:sz w:val="24"/>
                <w:szCs w:val="24"/>
                <w:highlight w:val="none"/>
                <w:lang w:eastAsia="zh-CN"/>
              </w:rPr>
              <w:t>1.对小型或微型企业投标的扶持： (如有）</w:t>
            </w:r>
          </w:p>
          <w:p w14:paraId="329A36F3">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lang w:eastAsia="zh-CN"/>
              </w:rPr>
            </w:pPr>
            <w:r>
              <w:rPr>
                <w:rFonts w:asciiTheme="minorEastAsia" w:hAnsiTheme="minorEastAsia" w:eastAsiaTheme="minorEastAsia" w:cstheme="minorEastAsia"/>
                <w:sz w:val="24"/>
                <w:szCs w:val="24"/>
                <w:highlight w:val="none"/>
                <w:lang w:eastAsia="zh-CN"/>
              </w:rPr>
              <w:t xml:space="preserve">1.1 </w:t>
            </w:r>
            <w:r>
              <w:rPr>
                <w:rFonts w:hint="eastAsia" w:asciiTheme="minorEastAsia" w:hAnsiTheme="minorEastAsia" w:cstheme="minorEastAsia"/>
                <w:sz w:val="24"/>
                <w:szCs w:val="24"/>
                <w:highlight w:val="none"/>
                <w:lang w:eastAsia="zh-CN"/>
              </w:rPr>
              <w:t>投标人</w:t>
            </w:r>
            <w:r>
              <w:rPr>
                <w:rFonts w:asciiTheme="minorEastAsia" w:hAnsiTheme="minorEastAsia" w:eastAsiaTheme="minorEastAsia" w:cstheme="minorEastAsia"/>
                <w:sz w:val="24"/>
                <w:szCs w:val="24"/>
                <w:highlight w:val="none"/>
                <w:lang w:eastAsia="zh-CN"/>
              </w:rPr>
              <w:t>为小型或微型企业时，报价给予C1的价格 扣除（C1的取值为20%），即：评标价＝投标报价（最后报 价） × (1－C1）；</w:t>
            </w:r>
          </w:p>
          <w:p w14:paraId="61C33DE1">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lang w:eastAsia="zh-CN"/>
              </w:rPr>
            </w:pPr>
            <w:r>
              <w:rPr>
                <w:rFonts w:asciiTheme="minorEastAsia" w:hAnsiTheme="minorEastAsia" w:eastAsiaTheme="minorEastAsia" w:cstheme="minorEastAsia"/>
                <w:sz w:val="24"/>
                <w:szCs w:val="24"/>
                <w:highlight w:val="none"/>
                <w:lang w:eastAsia="zh-CN"/>
              </w:rPr>
              <w:t>小微企业应当提供《中小企业声明函》（见格式）。</w:t>
            </w:r>
          </w:p>
          <w:p w14:paraId="57269F9B">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lang w:eastAsia="zh-CN"/>
              </w:rPr>
            </w:pPr>
            <w:r>
              <w:rPr>
                <w:rFonts w:asciiTheme="minorEastAsia" w:hAnsiTheme="minorEastAsia" w:eastAsiaTheme="minorEastAsia" w:cstheme="minorEastAsia"/>
                <w:sz w:val="24"/>
                <w:szCs w:val="24"/>
                <w:highlight w:val="none"/>
                <w:lang w:eastAsia="zh-CN"/>
              </w:rPr>
              <w:t>1.2 按照《政府采购促进中小企业发展管理办法》有关规 定，中小企业的标准为：</w:t>
            </w:r>
          </w:p>
          <w:p w14:paraId="58FCE579">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lang w:eastAsia="zh-CN"/>
              </w:rPr>
            </w:pPr>
            <w:r>
              <w:rPr>
                <w:rFonts w:asciiTheme="minorEastAsia" w:hAnsiTheme="minorEastAsia" w:eastAsiaTheme="minorEastAsia" w:cstheme="minorEastAsia"/>
                <w:sz w:val="24"/>
                <w:szCs w:val="24"/>
                <w:highlight w:val="none"/>
                <w:lang w:eastAsia="zh-CN"/>
              </w:rPr>
              <w:t>1.2.1 提供本企业制造的货物、承担的工程或者服务，或 者提供其他中小企业制造的货物，不包括提供或使用大型 企业注册商标的货物；</w:t>
            </w:r>
          </w:p>
          <w:p w14:paraId="14E0058E">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lang w:eastAsia="zh-CN"/>
              </w:rPr>
            </w:pPr>
            <w:r>
              <w:rPr>
                <w:rFonts w:asciiTheme="minorEastAsia" w:hAnsiTheme="minorEastAsia" w:eastAsiaTheme="minorEastAsia" w:cstheme="minorEastAsia"/>
                <w:sz w:val="24"/>
                <w:szCs w:val="24"/>
                <w:highlight w:val="none"/>
                <w:lang w:eastAsia="zh-CN"/>
              </w:rPr>
              <w:t>1.2.2 本规定所称中小企业划分标准，是指国务院有关部 门根据企业从业人员、营业收入、资产总额等指标制定的 中小企业划型标准（工信部联企业[2011]300号）；</w:t>
            </w:r>
          </w:p>
          <w:p w14:paraId="44E0C414">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lang w:eastAsia="zh-CN"/>
              </w:rPr>
            </w:pPr>
            <w:r>
              <w:rPr>
                <w:rFonts w:asciiTheme="minorEastAsia" w:hAnsiTheme="minorEastAsia" w:eastAsiaTheme="minorEastAsia" w:cstheme="minorEastAsia"/>
                <w:sz w:val="24"/>
                <w:szCs w:val="24"/>
                <w:highlight w:val="none"/>
                <w:lang w:eastAsia="zh-CN"/>
              </w:rPr>
              <w:t>1.2.3 小型、微型企业提供有中型企业制造的货物的，视 同为中型企业；小型、微型、中型企业提供有大型企业制 造的货物的，视同为大型企业。</w:t>
            </w:r>
          </w:p>
          <w:p w14:paraId="6327CA26">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lang w:eastAsia="zh-CN"/>
              </w:rPr>
            </w:pPr>
            <w:r>
              <w:rPr>
                <w:rFonts w:asciiTheme="minorEastAsia" w:hAnsiTheme="minorEastAsia" w:eastAsiaTheme="minorEastAsia" w:cstheme="minorEastAsia"/>
                <w:sz w:val="24"/>
                <w:szCs w:val="24"/>
                <w:highlight w:val="none"/>
                <w:lang w:eastAsia="zh-CN"/>
              </w:rPr>
              <w:t>2.根据财政部司法部《关于政府采购支持监狱企业发展有 关问题的通知》（财库〔2014〕68 号）和财政部民政部中 国残疾人联合会《关于促进残疾人就业政府采购政策的通 知》（财库〔2017〕141 号）规定，本项目对监狱企业、 残疾人福利性企业作为</w:t>
            </w:r>
            <w:r>
              <w:rPr>
                <w:rFonts w:hint="eastAsia" w:asciiTheme="minorEastAsia" w:hAnsiTheme="minorEastAsia" w:cstheme="minorEastAsia"/>
                <w:sz w:val="24"/>
                <w:szCs w:val="24"/>
                <w:highlight w:val="none"/>
                <w:lang w:eastAsia="zh-CN"/>
              </w:rPr>
              <w:t>投标人</w:t>
            </w:r>
            <w:r>
              <w:rPr>
                <w:rFonts w:asciiTheme="minorEastAsia" w:hAnsiTheme="minorEastAsia" w:eastAsiaTheme="minorEastAsia" w:cstheme="minorEastAsia"/>
                <w:sz w:val="24"/>
                <w:szCs w:val="24"/>
                <w:highlight w:val="none"/>
                <w:lang w:eastAsia="zh-CN"/>
              </w:rPr>
              <w:t>所提供的本企业生产的产品 的价格给予 20%的扣除。</w:t>
            </w:r>
          </w:p>
          <w:p w14:paraId="12F67981">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Theme="minorEastAsia" w:hAnsiTheme="minorEastAsia" w:eastAsiaTheme="minorEastAsia" w:cstheme="minorEastAsia"/>
                <w:sz w:val="24"/>
                <w:szCs w:val="24"/>
                <w:highlight w:val="none"/>
              </w:rPr>
            </w:pPr>
            <w:r>
              <w:rPr>
                <w:rFonts w:asciiTheme="minorEastAsia" w:hAnsiTheme="minorEastAsia" w:eastAsiaTheme="minorEastAsia" w:cstheme="minorEastAsia"/>
                <w:sz w:val="24"/>
                <w:szCs w:val="24"/>
                <w:highlight w:val="none"/>
                <w:lang w:eastAsia="zh-CN"/>
              </w:rPr>
              <w:t>同一</w:t>
            </w:r>
            <w:r>
              <w:rPr>
                <w:rFonts w:hint="eastAsia" w:asciiTheme="minorEastAsia" w:hAnsiTheme="minorEastAsia" w:cstheme="minorEastAsia"/>
                <w:sz w:val="24"/>
                <w:szCs w:val="24"/>
                <w:highlight w:val="none"/>
                <w:lang w:eastAsia="zh-CN"/>
              </w:rPr>
              <w:t>投标人</w:t>
            </w:r>
            <w:r>
              <w:rPr>
                <w:rFonts w:asciiTheme="minorEastAsia" w:hAnsiTheme="minorEastAsia" w:eastAsiaTheme="minorEastAsia" w:cstheme="minorEastAsia"/>
                <w:sz w:val="24"/>
                <w:szCs w:val="24"/>
                <w:highlight w:val="none"/>
                <w:lang w:eastAsia="zh-CN"/>
              </w:rPr>
              <w:t>，小微企业、监狱、残疾人福利性企业同 一产品价格扣除优惠只享受一次，不得重复享受。</w:t>
            </w:r>
          </w:p>
        </w:tc>
      </w:tr>
      <w:tr w14:paraId="596604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65" w:type="dxa"/>
            <w:vAlign w:val="center"/>
          </w:tcPr>
          <w:p w14:paraId="28FCA9E8">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10.3</w:t>
            </w:r>
          </w:p>
        </w:tc>
        <w:tc>
          <w:tcPr>
            <w:tcW w:w="2018" w:type="dxa"/>
            <w:vAlign w:val="center"/>
          </w:tcPr>
          <w:p w14:paraId="3423C72D">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宋体" w:hAnsi="宋体" w:cs="宋体"/>
                <w:bCs/>
                <w:sz w:val="24"/>
                <w:szCs w:val="24"/>
                <w:highlight w:val="none"/>
              </w:rPr>
            </w:pPr>
            <w:r>
              <w:rPr>
                <w:rFonts w:hint="eastAsia" w:ascii="宋体" w:hAnsi="宋体" w:cs="宋体"/>
                <w:bCs/>
                <w:sz w:val="24"/>
                <w:szCs w:val="24"/>
                <w:highlight w:val="none"/>
              </w:rPr>
              <w:t>付款方式</w:t>
            </w:r>
          </w:p>
        </w:tc>
        <w:tc>
          <w:tcPr>
            <w:tcW w:w="6562" w:type="dxa"/>
            <w:vAlign w:val="center"/>
          </w:tcPr>
          <w:p w14:paraId="0B47F5B8">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宋体" w:hAnsi="宋体" w:cs="宋体" w:eastAsiaTheme="minorEastAsia"/>
                <w:bCs/>
                <w:sz w:val="24"/>
                <w:szCs w:val="24"/>
                <w:highlight w:val="none"/>
              </w:rPr>
            </w:pPr>
            <w:r>
              <w:rPr>
                <w:rFonts w:hint="eastAsia" w:asciiTheme="minorEastAsia" w:hAnsiTheme="minorEastAsia" w:cstheme="minorEastAsia"/>
                <w:sz w:val="24"/>
                <w:szCs w:val="24"/>
                <w:highlight w:val="none"/>
                <w:lang w:eastAsia="zh-CN"/>
              </w:rPr>
              <w:t>签订合同完成供货安装后支付合同价的75%，经省第三方验收合格后，支付至合同价的100%。</w:t>
            </w:r>
          </w:p>
        </w:tc>
      </w:tr>
      <w:tr w14:paraId="020952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965" w:type="dxa"/>
            <w:vAlign w:val="center"/>
          </w:tcPr>
          <w:p w14:paraId="4E4815F7">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10.4</w:t>
            </w:r>
          </w:p>
        </w:tc>
        <w:tc>
          <w:tcPr>
            <w:tcW w:w="2018" w:type="dxa"/>
            <w:vAlign w:val="center"/>
          </w:tcPr>
          <w:p w14:paraId="4EA0BD6D">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hint="default" w:ascii="宋体" w:hAnsi="宋体" w:cs="宋体" w:eastAsiaTheme="minorEastAsia"/>
                <w:bCs/>
                <w:sz w:val="24"/>
                <w:szCs w:val="24"/>
                <w:highlight w:val="none"/>
                <w:lang w:val="en-US" w:eastAsia="zh-CN"/>
              </w:rPr>
            </w:pPr>
            <w:r>
              <w:rPr>
                <w:rFonts w:hint="eastAsia" w:ascii="宋体" w:hAnsi="宋体" w:cs="宋体"/>
                <w:bCs/>
                <w:sz w:val="24"/>
                <w:szCs w:val="24"/>
                <w:highlight w:val="none"/>
                <w:lang w:val="en-US" w:eastAsia="zh-CN"/>
              </w:rPr>
              <w:t>供货要求</w:t>
            </w:r>
          </w:p>
        </w:tc>
        <w:tc>
          <w:tcPr>
            <w:tcW w:w="6562" w:type="dxa"/>
            <w:vAlign w:val="center"/>
          </w:tcPr>
          <w:p w14:paraId="53FAAD29">
            <w:pPr>
              <w:pStyle w:val="14"/>
              <w:keepNext w:val="0"/>
              <w:keepLines w:val="0"/>
              <w:pageBreakBefore w:val="0"/>
              <w:widowControl/>
              <w:kinsoku w:val="0"/>
              <w:wordWrap/>
              <w:overflowPunct/>
              <w:topLinePunct w:val="0"/>
              <w:autoSpaceDE w:val="0"/>
              <w:autoSpaceDN w:val="0"/>
              <w:bidi w:val="0"/>
              <w:adjustRightInd w:val="0"/>
              <w:snapToGrid w:val="0"/>
              <w:spacing w:after="0" w:line="440" w:lineRule="exact"/>
              <w:ind w:left="0" w:leftChars="0" w:firstLine="0" w:firstLineChars="0"/>
              <w:jc w:val="both"/>
              <w:textAlignment w:val="baseline"/>
              <w:rPr>
                <w:rFonts w:hint="default" w:eastAsia="宋体"/>
                <w:sz w:val="24"/>
                <w:szCs w:val="24"/>
                <w:highlight w:val="none"/>
                <w:lang w:val="en-US" w:eastAsia="zh-CN"/>
              </w:rPr>
            </w:pPr>
            <w:r>
              <w:rPr>
                <w:rFonts w:hint="eastAsia"/>
                <w:sz w:val="24"/>
                <w:szCs w:val="24"/>
                <w:highlight w:val="none"/>
                <w:lang w:val="en-US" w:eastAsia="zh-CN"/>
              </w:rPr>
              <w:t>若因中标人原因不能按期按质供货的，将扣除中标人2万元的违约金，同时每超过一天另扣除合同金额的千分之一。</w:t>
            </w:r>
          </w:p>
        </w:tc>
      </w:tr>
      <w:tr w14:paraId="77A7CF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jc w:val="center"/>
        </w:trPr>
        <w:tc>
          <w:tcPr>
            <w:tcW w:w="965" w:type="dxa"/>
            <w:vAlign w:val="center"/>
          </w:tcPr>
          <w:p w14:paraId="2F7E8871">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10.5</w:t>
            </w:r>
          </w:p>
        </w:tc>
        <w:tc>
          <w:tcPr>
            <w:tcW w:w="2018" w:type="dxa"/>
            <w:vAlign w:val="center"/>
          </w:tcPr>
          <w:p w14:paraId="0B180DCD">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招标代理服务费</w:t>
            </w:r>
          </w:p>
        </w:tc>
        <w:tc>
          <w:tcPr>
            <w:tcW w:w="6562" w:type="dxa"/>
            <w:vAlign w:val="center"/>
          </w:tcPr>
          <w:p w14:paraId="74A72AB3">
            <w:pPr>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sz w:val="24"/>
                <w:szCs w:val="24"/>
                <w:highlight w:val="none"/>
              </w:rPr>
            </w:pPr>
            <w:r>
              <w:rPr>
                <w:rFonts w:hint="eastAsia" w:ascii="宋体" w:hAnsi="宋体" w:cs="宋体"/>
                <w:bCs/>
                <w:sz w:val="24"/>
                <w:szCs w:val="24"/>
                <w:highlight w:val="none"/>
              </w:rPr>
              <w:t>参照豫招协[2023]002号《河南省招标代理服务收费指导意见》中的标准收取，由中标人支付。招标代理费由招标代理机构通知中标企业结清后，领取中标通知书。</w:t>
            </w:r>
          </w:p>
        </w:tc>
      </w:tr>
      <w:tr w14:paraId="4A88AE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5" w:hRule="atLeast"/>
          <w:jc w:val="center"/>
        </w:trPr>
        <w:tc>
          <w:tcPr>
            <w:tcW w:w="965" w:type="dxa"/>
            <w:vAlign w:val="center"/>
          </w:tcPr>
          <w:p w14:paraId="24796F73">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10.8</w:t>
            </w:r>
          </w:p>
        </w:tc>
        <w:tc>
          <w:tcPr>
            <w:tcW w:w="2018" w:type="dxa"/>
            <w:vAlign w:val="center"/>
          </w:tcPr>
          <w:p w14:paraId="25FD4EAC">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宋体" w:hAnsi="宋体" w:cs="宋体"/>
                <w:bCs/>
                <w:sz w:val="24"/>
                <w:szCs w:val="24"/>
                <w:highlight w:val="none"/>
              </w:rPr>
            </w:pPr>
            <w:r>
              <w:rPr>
                <w:rFonts w:hint="eastAsia" w:ascii="宋体" w:hAnsi="宋体" w:cs="宋体"/>
                <w:bCs/>
                <w:sz w:val="24"/>
                <w:szCs w:val="24"/>
                <w:highlight w:val="none"/>
              </w:rPr>
              <w:t>认定为不响应招标文件的其它条件</w:t>
            </w:r>
          </w:p>
        </w:tc>
        <w:tc>
          <w:tcPr>
            <w:tcW w:w="6562" w:type="dxa"/>
            <w:vAlign w:val="center"/>
          </w:tcPr>
          <w:p w14:paraId="791728C0">
            <w:pPr>
              <w:pStyle w:val="14"/>
              <w:keepNext w:val="0"/>
              <w:keepLines w:val="0"/>
              <w:pageBreakBefore w:val="0"/>
              <w:widowControl/>
              <w:kinsoku w:val="0"/>
              <w:wordWrap/>
              <w:overflowPunct/>
              <w:topLinePunct w:val="0"/>
              <w:autoSpaceDE w:val="0"/>
              <w:autoSpaceDN w:val="0"/>
              <w:bidi w:val="0"/>
              <w:adjustRightInd w:val="0"/>
              <w:snapToGrid w:val="0"/>
              <w:spacing w:after="0" w:line="440" w:lineRule="exact"/>
              <w:ind w:left="0" w:leftChars="0" w:firstLine="0" w:firstLineChars="0"/>
              <w:textAlignment w:val="baseline"/>
              <w:rPr>
                <w:rFonts w:ascii="宋体" w:hAnsi="宋体" w:cs="宋体"/>
                <w:bCs/>
                <w:sz w:val="24"/>
                <w:szCs w:val="24"/>
                <w:highlight w:val="none"/>
              </w:rPr>
            </w:pPr>
            <w:r>
              <w:rPr>
                <w:rFonts w:hint="eastAsia" w:ascii="宋体" w:hAnsi="宋体" w:cs="宋体"/>
                <w:bCs/>
                <w:sz w:val="24"/>
                <w:szCs w:val="24"/>
                <w:highlight w:val="none"/>
              </w:rPr>
              <w:t>1、未按招标文件明示的规定签字盖章的；</w:t>
            </w:r>
          </w:p>
          <w:p w14:paraId="43AFE9BE">
            <w:pPr>
              <w:pStyle w:val="14"/>
              <w:keepNext w:val="0"/>
              <w:keepLines w:val="0"/>
              <w:pageBreakBefore w:val="0"/>
              <w:widowControl/>
              <w:kinsoku w:val="0"/>
              <w:wordWrap/>
              <w:overflowPunct/>
              <w:topLinePunct w:val="0"/>
              <w:autoSpaceDE w:val="0"/>
              <w:autoSpaceDN w:val="0"/>
              <w:bidi w:val="0"/>
              <w:adjustRightInd w:val="0"/>
              <w:snapToGrid w:val="0"/>
              <w:spacing w:after="0" w:line="440" w:lineRule="exact"/>
              <w:ind w:left="0" w:leftChars="0" w:firstLine="0" w:firstLineChars="0"/>
              <w:textAlignment w:val="baseline"/>
              <w:rPr>
                <w:rFonts w:ascii="宋体" w:hAnsi="宋体" w:cs="宋体"/>
                <w:bCs/>
                <w:sz w:val="24"/>
                <w:szCs w:val="24"/>
                <w:highlight w:val="none"/>
              </w:rPr>
            </w:pPr>
            <w:r>
              <w:rPr>
                <w:rFonts w:hint="eastAsia" w:ascii="宋体" w:hAnsi="宋体" w:cs="宋体"/>
                <w:bCs/>
                <w:sz w:val="24"/>
                <w:szCs w:val="24"/>
                <w:highlight w:val="none"/>
              </w:rPr>
              <w:t>2、投标文件的关键内容（</w:t>
            </w:r>
            <w:r>
              <w:rPr>
                <w:rFonts w:hint="eastAsia" w:ascii="宋体" w:hAnsi="宋体" w:cs="宋体"/>
                <w:bCs/>
                <w:sz w:val="24"/>
                <w:szCs w:val="24"/>
                <w:highlight w:val="none"/>
                <w:lang w:val="en-US" w:eastAsia="zh-CN"/>
              </w:rPr>
              <w:t>合同履行期限</w:t>
            </w:r>
            <w:r>
              <w:rPr>
                <w:rFonts w:hint="eastAsia" w:ascii="宋体" w:hAnsi="宋体" w:cs="宋体"/>
                <w:bCs/>
                <w:sz w:val="24"/>
                <w:szCs w:val="24"/>
                <w:highlight w:val="none"/>
              </w:rPr>
              <w:t>、质量标准、品牌、型号等）未填写或填写字迹模糊、达不到采购要求的；</w:t>
            </w:r>
          </w:p>
          <w:p w14:paraId="32F9B4EA">
            <w:pPr>
              <w:pStyle w:val="14"/>
              <w:keepNext w:val="0"/>
              <w:keepLines w:val="0"/>
              <w:pageBreakBefore w:val="0"/>
              <w:widowControl/>
              <w:kinsoku w:val="0"/>
              <w:wordWrap/>
              <w:overflowPunct/>
              <w:topLinePunct w:val="0"/>
              <w:autoSpaceDE w:val="0"/>
              <w:autoSpaceDN w:val="0"/>
              <w:bidi w:val="0"/>
              <w:adjustRightInd w:val="0"/>
              <w:snapToGrid w:val="0"/>
              <w:spacing w:after="0" w:line="440" w:lineRule="exact"/>
              <w:ind w:left="0" w:leftChars="0" w:firstLine="0" w:firstLineChars="0"/>
              <w:textAlignment w:val="baseline"/>
              <w:rPr>
                <w:rFonts w:ascii="宋体" w:hAnsi="宋体" w:cs="宋体"/>
                <w:bCs/>
                <w:sz w:val="24"/>
                <w:szCs w:val="24"/>
                <w:highlight w:val="none"/>
              </w:rPr>
            </w:pPr>
            <w:r>
              <w:rPr>
                <w:rFonts w:hint="eastAsia" w:ascii="宋体" w:hAnsi="宋体" w:cs="宋体"/>
                <w:bCs/>
                <w:sz w:val="24"/>
                <w:szCs w:val="24"/>
                <w:highlight w:val="none"/>
              </w:rPr>
              <w:t>3、投标报价超出招标控制价的；</w:t>
            </w:r>
          </w:p>
          <w:p w14:paraId="45A4CEA8">
            <w:pPr>
              <w:pStyle w:val="14"/>
              <w:keepNext w:val="0"/>
              <w:keepLines w:val="0"/>
              <w:pageBreakBefore w:val="0"/>
              <w:widowControl/>
              <w:kinsoku w:val="0"/>
              <w:wordWrap/>
              <w:overflowPunct/>
              <w:topLinePunct w:val="0"/>
              <w:autoSpaceDE w:val="0"/>
              <w:autoSpaceDN w:val="0"/>
              <w:bidi w:val="0"/>
              <w:adjustRightInd w:val="0"/>
              <w:snapToGrid w:val="0"/>
              <w:spacing w:after="0" w:line="440" w:lineRule="exact"/>
              <w:ind w:left="0" w:leftChars="0" w:firstLine="0" w:firstLineChars="0"/>
              <w:textAlignment w:val="baseline"/>
              <w:rPr>
                <w:rFonts w:ascii="宋体" w:hAnsi="宋体" w:cs="宋体"/>
                <w:bCs/>
                <w:sz w:val="24"/>
                <w:szCs w:val="24"/>
                <w:highlight w:val="none"/>
              </w:rPr>
            </w:pPr>
            <w:r>
              <w:rPr>
                <w:rFonts w:hint="eastAsia" w:ascii="宋体" w:hAnsi="宋体" w:cs="宋体"/>
                <w:bCs/>
                <w:sz w:val="24"/>
                <w:szCs w:val="24"/>
                <w:highlight w:val="none"/>
              </w:rPr>
              <w:t>4、</w:t>
            </w:r>
            <w:r>
              <w:rPr>
                <w:rFonts w:hint="eastAsia" w:ascii="宋体" w:hAnsi="宋体" w:cs="宋体"/>
                <w:bCs/>
                <w:sz w:val="24"/>
                <w:szCs w:val="24"/>
                <w:highlight w:val="none"/>
                <w:lang w:val="en-US" w:eastAsia="zh-CN"/>
              </w:rPr>
              <w:t>投标人</w:t>
            </w:r>
            <w:r>
              <w:rPr>
                <w:rFonts w:hint="eastAsia" w:ascii="宋体" w:hAnsi="宋体" w:cs="宋体"/>
                <w:bCs/>
                <w:sz w:val="24"/>
                <w:szCs w:val="24"/>
                <w:highlight w:val="none"/>
              </w:rPr>
              <w:t>递交两份或多份内容不同的投标文件，或在一份投标文件中对同一招标项目有两个或多个报价，且未声明哪一个有效的；</w:t>
            </w:r>
          </w:p>
          <w:p w14:paraId="16FEF9A6">
            <w:pPr>
              <w:pStyle w:val="14"/>
              <w:keepNext w:val="0"/>
              <w:keepLines w:val="0"/>
              <w:pageBreakBefore w:val="0"/>
              <w:widowControl/>
              <w:kinsoku w:val="0"/>
              <w:wordWrap/>
              <w:overflowPunct/>
              <w:topLinePunct w:val="0"/>
              <w:autoSpaceDE w:val="0"/>
              <w:autoSpaceDN w:val="0"/>
              <w:bidi w:val="0"/>
              <w:adjustRightInd w:val="0"/>
              <w:snapToGrid w:val="0"/>
              <w:spacing w:after="0" w:line="440" w:lineRule="exact"/>
              <w:ind w:left="0" w:leftChars="0" w:firstLine="0" w:firstLineChars="0"/>
              <w:textAlignment w:val="baseline"/>
              <w:rPr>
                <w:rFonts w:ascii="宋体" w:hAnsi="宋体" w:cs="宋体"/>
                <w:bCs/>
                <w:sz w:val="24"/>
                <w:szCs w:val="24"/>
                <w:highlight w:val="none"/>
              </w:rPr>
            </w:pPr>
            <w:r>
              <w:rPr>
                <w:rFonts w:hint="eastAsia" w:ascii="宋体" w:hAnsi="宋体" w:cs="宋体"/>
                <w:bCs/>
                <w:sz w:val="24"/>
                <w:szCs w:val="24"/>
                <w:highlight w:val="none"/>
              </w:rPr>
              <w:t>5、未按要求在报价明细表中标明品牌、型号及技术参数的。</w:t>
            </w:r>
          </w:p>
          <w:p w14:paraId="431D7B7B">
            <w:pPr>
              <w:pStyle w:val="14"/>
              <w:keepNext w:val="0"/>
              <w:keepLines w:val="0"/>
              <w:pageBreakBefore w:val="0"/>
              <w:widowControl/>
              <w:kinsoku w:val="0"/>
              <w:wordWrap/>
              <w:overflowPunct/>
              <w:topLinePunct w:val="0"/>
              <w:autoSpaceDE w:val="0"/>
              <w:autoSpaceDN w:val="0"/>
              <w:bidi w:val="0"/>
              <w:adjustRightInd w:val="0"/>
              <w:snapToGrid w:val="0"/>
              <w:spacing w:after="0" w:line="440" w:lineRule="exact"/>
              <w:ind w:left="0" w:leftChars="0" w:firstLine="0" w:firstLineChars="0"/>
              <w:textAlignment w:val="baseline"/>
              <w:rPr>
                <w:rFonts w:ascii="宋体" w:hAnsi="宋体" w:cs="宋体"/>
                <w:bCs/>
                <w:sz w:val="24"/>
                <w:szCs w:val="24"/>
                <w:highlight w:val="none"/>
              </w:rPr>
            </w:pPr>
            <w:r>
              <w:rPr>
                <w:rFonts w:hint="eastAsia" w:ascii="宋体" w:hAnsi="宋体" w:cs="宋体"/>
                <w:bCs/>
                <w:sz w:val="24"/>
                <w:szCs w:val="24"/>
                <w:highlight w:val="none"/>
              </w:rPr>
              <w:t>6、附有采购人不能接受的条件的；</w:t>
            </w:r>
          </w:p>
          <w:p w14:paraId="0F6B5442">
            <w:pPr>
              <w:pStyle w:val="14"/>
              <w:keepNext w:val="0"/>
              <w:keepLines w:val="0"/>
              <w:pageBreakBefore w:val="0"/>
              <w:widowControl/>
              <w:kinsoku w:val="0"/>
              <w:wordWrap/>
              <w:overflowPunct/>
              <w:topLinePunct w:val="0"/>
              <w:autoSpaceDE w:val="0"/>
              <w:autoSpaceDN w:val="0"/>
              <w:bidi w:val="0"/>
              <w:adjustRightInd w:val="0"/>
              <w:snapToGrid w:val="0"/>
              <w:spacing w:after="0" w:line="440" w:lineRule="exact"/>
              <w:ind w:left="0" w:leftChars="0" w:firstLine="0" w:firstLineChars="0"/>
              <w:textAlignment w:val="baseline"/>
              <w:rPr>
                <w:rFonts w:ascii="宋体" w:hAnsi="宋体" w:cs="宋体"/>
                <w:bCs/>
                <w:sz w:val="24"/>
                <w:szCs w:val="24"/>
                <w:highlight w:val="none"/>
              </w:rPr>
            </w:pPr>
            <w:r>
              <w:rPr>
                <w:rFonts w:hint="eastAsia" w:ascii="宋体" w:hAnsi="宋体" w:cs="宋体"/>
                <w:bCs/>
                <w:sz w:val="24"/>
                <w:szCs w:val="24"/>
                <w:highlight w:val="none"/>
              </w:rPr>
              <w:t>7、评标过程中，如因两个或两个以上</w:t>
            </w:r>
            <w:r>
              <w:rPr>
                <w:rFonts w:hint="eastAsia" w:ascii="宋体" w:hAnsi="宋体" w:cs="宋体"/>
                <w:bCs/>
                <w:sz w:val="24"/>
                <w:szCs w:val="24"/>
                <w:highlight w:val="none"/>
                <w:lang w:val="en-US" w:eastAsia="zh-CN"/>
              </w:rPr>
              <w:t>投标人</w:t>
            </w:r>
            <w:r>
              <w:rPr>
                <w:rFonts w:hint="eastAsia" w:ascii="宋体" w:hAnsi="宋体" w:cs="宋体"/>
                <w:bCs/>
                <w:sz w:val="24"/>
                <w:szCs w:val="24"/>
                <w:highlight w:val="none"/>
              </w:rPr>
              <w:t>在同一台计算或同一个IP上传投标文件，而被不见面开标系统提示为“投标文件制作机器码一致”的，则视其投标无效。</w:t>
            </w:r>
          </w:p>
          <w:p w14:paraId="04A14C8B">
            <w:pPr>
              <w:pStyle w:val="14"/>
              <w:keepNext w:val="0"/>
              <w:keepLines w:val="0"/>
              <w:pageBreakBefore w:val="0"/>
              <w:widowControl/>
              <w:kinsoku w:val="0"/>
              <w:wordWrap/>
              <w:overflowPunct/>
              <w:topLinePunct w:val="0"/>
              <w:autoSpaceDE w:val="0"/>
              <w:autoSpaceDN w:val="0"/>
              <w:bidi w:val="0"/>
              <w:adjustRightInd w:val="0"/>
              <w:snapToGrid w:val="0"/>
              <w:spacing w:after="0" w:line="440" w:lineRule="exact"/>
              <w:ind w:left="0" w:leftChars="0" w:firstLine="0" w:firstLineChars="0"/>
              <w:textAlignment w:val="baseline"/>
              <w:rPr>
                <w:rFonts w:ascii="宋体" w:hAnsi="宋体" w:cs="宋体"/>
                <w:bCs/>
                <w:sz w:val="24"/>
                <w:szCs w:val="24"/>
                <w:highlight w:val="none"/>
              </w:rPr>
            </w:pPr>
            <w:r>
              <w:rPr>
                <w:rFonts w:hint="eastAsia" w:ascii="宋体" w:hAnsi="宋体" w:cs="宋体"/>
                <w:bCs/>
                <w:sz w:val="24"/>
                <w:szCs w:val="24"/>
                <w:highlight w:val="none"/>
              </w:rPr>
              <w:t>8、投标文件有明显不符合招标文件其它要求和有关法律法规的。</w:t>
            </w:r>
          </w:p>
        </w:tc>
      </w:tr>
      <w:tr w14:paraId="5CF7B6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7" w:hRule="atLeast"/>
          <w:jc w:val="center"/>
        </w:trPr>
        <w:tc>
          <w:tcPr>
            <w:tcW w:w="965" w:type="dxa"/>
            <w:vAlign w:val="center"/>
          </w:tcPr>
          <w:p w14:paraId="620C0B8D">
            <w:pPr>
              <w:keepNext w:val="0"/>
              <w:keepLines w:val="0"/>
              <w:pageBreakBefore w:val="0"/>
              <w:widowControl/>
              <w:kinsoku w:val="0"/>
              <w:wordWrap/>
              <w:overflowPunct/>
              <w:topLinePunct w:val="0"/>
              <w:autoSpaceDE w:val="0"/>
              <w:autoSpaceDN w:val="0"/>
              <w:bidi w:val="0"/>
              <w:adjustRightInd w:val="0"/>
              <w:snapToGrid w:val="0"/>
              <w:spacing w:line="440" w:lineRule="exact"/>
              <w:jc w:val="center"/>
              <w:textAlignment w:val="baseline"/>
              <w:rPr>
                <w:rFonts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10.9</w:t>
            </w:r>
          </w:p>
        </w:tc>
        <w:tc>
          <w:tcPr>
            <w:tcW w:w="8580" w:type="dxa"/>
            <w:gridSpan w:val="2"/>
            <w:vAlign w:val="center"/>
          </w:tcPr>
          <w:p w14:paraId="7DC199E5">
            <w:pPr>
              <w:pStyle w:val="14"/>
              <w:keepNext w:val="0"/>
              <w:keepLines w:val="0"/>
              <w:pageBreakBefore w:val="0"/>
              <w:widowControl/>
              <w:tabs>
                <w:tab w:val="left" w:pos="1268"/>
              </w:tabs>
              <w:kinsoku w:val="0"/>
              <w:wordWrap/>
              <w:overflowPunct/>
              <w:topLinePunct w:val="0"/>
              <w:autoSpaceDE w:val="0"/>
              <w:autoSpaceDN w:val="0"/>
              <w:bidi w:val="0"/>
              <w:adjustRightInd w:val="0"/>
              <w:snapToGrid w:val="0"/>
              <w:spacing w:line="440" w:lineRule="exact"/>
              <w:ind w:firstLine="0" w:firstLineChars="0"/>
              <w:textAlignment w:val="baseline"/>
              <w:rPr>
                <w:rFonts w:ascii="宋体" w:hAnsi="宋体" w:cs="宋体"/>
                <w:bCs/>
                <w:sz w:val="24"/>
                <w:szCs w:val="24"/>
                <w:highlight w:val="none"/>
              </w:rPr>
            </w:pPr>
            <w:r>
              <w:rPr>
                <w:rFonts w:hint="eastAsia" w:asciiTheme="minorEastAsia" w:hAnsiTheme="minorEastAsia" w:eastAsiaTheme="minorEastAsia" w:cstheme="minorEastAsia"/>
                <w:sz w:val="24"/>
                <w:szCs w:val="24"/>
                <w:highlight w:val="none"/>
              </w:rPr>
              <w:t>本招标文件解释权归采购人</w:t>
            </w:r>
          </w:p>
        </w:tc>
      </w:tr>
      <w:tr w14:paraId="20FF64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 w:hRule="atLeast"/>
          <w:jc w:val="center"/>
        </w:trPr>
        <w:tc>
          <w:tcPr>
            <w:tcW w:w="9545" w:type="dxa"/>
            <w:gridSpan w:val="3"/>
            <w:vAlign w:val="center"/>
          </w:tcPr>
          <w:p w14:paraId="65B77BE9">
            <w:pPr>
              <w:pStyle w:val="14"/>
              <w:keepNext w:val="0"/>
              <w:keepLines w:val="0"/>
              <w:pageBreakBefore w:val="0"/>
              <w:widowControl/>
              <w:kinsoku w:val="0"/>
              <w:wordWrap/>
              <w:overflowPunct/>
              <w:topLinePunct w:val="0"/>
              <w:autoSpaceDE w:val="0"/>
              <w:autoSpaceDN w:val="0"/>
              <w:bidi w:val="0"/>
              <w:adjustRightInd w:val="0"/>
              <w:snapToGrid w:val="0"/>
              <w:spacing w:line="440" w:lineRule="exact"/>
              <w:textAlignment w:val="baseline"/>
              <w:rPr>
                <w:rFonts w:ascii="宋体" w:hAnsi="宋体" w:cs="宋体"/>
                <w:bCs/>
                <w:sz w:val="24"/>
                <w:szCs w:val="24"/>
                <w:highlight w:val="none"/>
              </w:rPr>
            </w:pPr>
            <w:r>
              <w:rPr>
                <w:rFonts w:hint="eastAsia" w:asciiTheme="minorEastAsia" w:hAnsiTheme="minorEastAsia" w:eastAsiaTheme="minorEastAsia" w:cstheme="minorEastAsia"/>
                <w:sz w:val="24"/>
                <w:szCs w:val="24"/>
                <w:highlight w:val="none"/>
              </w:rPr>
              <w:t>本项目采购货物在质保期内属于货物质量问题的，</w:t>
            </w:r>
            <w:r>
              <w:rPr>
                <w:rFonts w:hint="eastAsia" w:asciiTheme="minorEastAsia" w:hAnsiTheme="minorEastAsia" w:eastAsiaTheme="minorEastAsia" w:cstheme="minorEastAsia"/>
                <w:sz w:val="24"/>
                <w:szCs w:val="24"/>
                <w:highlight w:val="none"/>
                <w:lang w:val="en-US" w:eastAsia="zh-CN"/>
              </w:rPr>
              <w:t>中标人</w:t>
            </w:r>
            <w:r>
              <w:rPr>
                <w:rFonts w:hint="eastAsia" w:asciiTheme="minorEastAsia" w:hAnsiTheme="minorEastAsia" w:eastAsiaTheme="minorEastAsia" w:cstheme="minorEastAsia"/>
                <w:sz w:val="24"/>
                <w:szCs w:val="24"/>
                <w:highlight w:val="none"/>
              </w:rPr>
              <w:t>应免费维修，不能维修的应及时更换新货物，</w:t>
            </w:r>
            <w:r>
              <w:rPr>
                <w:rFonts w:hint="eastAsia" w:asciiTheme="minorEastAsia" w:hAnsiTheme="minorEastAsia" w:eastAsiaTheme="minorEastAsia" w:cstheme="minorEastAsia"/>
                <w:sz w:val="24"/>
                <w:szCs w:val="24"/>
                <w:highlight w:val="none"/>
                <w:lang w:val="en-US" w:eastAsia="zh-CN"/>
              </w:rPr>
              <w:t>投标人</w:t>
            </w:r>
            <w:r>
              <w:rPr>
                <w:rFonts w:hint="eastAsia" w:asciiTheme="minorEastAsia" w:hAnsiTheme="minorEastAsia" w:eastAsiaTheme="minorEastAsia" w:cstheme="minorEastAsia"/>
                <w:sz w:val="24"/>
                <w:szCs w:val="24"/>
                <w:highlight w:val="none"/>
              </w:rPr>
              <w:t>须针对质保期内的质量问题提供承诺函。</w:t>
            </w:r>
          </w:p>
        </w:tc>
      </w:tr>
    </w:tbl>
    <w:p w14:paraId="5A88F4A3">
      <w:pPr>
        <w:keepNext w:val="0"/>
        <w:keepLines w:val="0"/>
        <w:pageBreakBefore w:val="0"/>
        <w:widowControl/>
        <w:kinsoku w:val="0"/>
        <w:wordWrap/>
        <w:overflowPunct/>
        <w:topLinePunct w:val="0"/>
        <w:autoSpaceDE w:val="0"/>
        <w:autoSpaceDN w:val="0"/>
        <w:bidi w:val="0"/>
        <w:adjustRightInd w:val="0"/>
        <w:snapToGrid w:val="0"/>
        <w:spacing w:before="315" w:line="320" w:lineRule="exact"/>
        <w:ind w:firstLine="430" w:firstLineChars="200"/>
        <w:textAlignment w:val="baseline"/>
        <w:outlineLvl w:val="1"/>
        <w:rPr>
          <w:rFonts w:ascii="宋体" w:hAnsi="宋体" w:eastAsia="宋体" w:cs="宋体"/>
          <w:color w:val="auto"/>
          <w:sz w:val="24"/>
          <w:szCs w:val="24"/>
          <w:highlight w:val="none"/>
          <w:lang w:eastAsia="zh-CN"/>
        </w:rPr>
      </w:pPr>
      <w:bookmarkStart w:id="30" w:name="_Toc18830"/>
      <w:r>
        <w:rPr>
          <w:rFonts w:ascii="宋体" w:hAnsi="宋体" w:eastAsia="宋体" w:cs="宋体"/>
          <w:b/>
          <w:bCs/>
          <w:color w:val="auto"/>
          <w:spacing w:val="-13"/>
          <w:sz w:val="24"/>
          <w:szCs w:val="24"/>
          <w:highlight w:val="none"/>
          <w:lang w:eastAsia="zh-CN"/>
        </w:rPr>
        <w:t>1.</w:t>
      </w:r>
      <w:r>
        <w:rPr>
          <w:rFonts w:ascii="宋体" w:hAnsi="宋体" w:eastAsia="宋体" w:cs="宋体"/>
          <w:color w:val="auto"/>
          <w:spacing w:val="13"/>
          <w:sz w:val="24"/>
          <w:szCs w:val="24"/>
          <w:highlight w:val="none"/>
          <w:lang w:eastAsia="zh-CN"/>
        </w:rPr>
        <w:t xml:space="preserve"> </w:t>
      </w:r>
      <w:r>
        <w:rPr>
          <w:rFonts w:ascii="宋体" w:hAnsi="宋体" w:eastAsia="宋体" w:cs="宋体"/>
          <w:b/>
          <w:bCs/>
          <w:color w:val="auto"/>
          <w:spacing w:val="-13"/>
          <w:sz w:val="24"/>
          <w:szCs w:val="24"/>
          <w:highlight w:val="none"/>
          <w:lang w:eastAsia="zh-CN"/>
        </w:rPr>
        <w:t>总则</w:t>
      </w:r>
      <w:bookmarkEnd w:id="30"/>
    </w:p>
    <w:p w14:paraId="282D1604">
      <w:pPr>
        <w:pStyle w:val="5"/>
        <w:keepNext w:val="0"/>
        <w:keepLines w:val="0"/>
        <w:pageBreakBefore w:val="0"/>
        <w:widowControl/>
        <w:kinsoku w:val="0"/>
        <w:wordWrap/>
        <w:overflowPunct/>
        <w:topLinePunct w:val="0"/>
        <w:autoSpaceDE w:val="0"/>
        <w:autoSpaceDN w:val="0"/>
        <w:bidi w:val="0"/>
        <w:adjustRightInd w:val="0"/>
        <w:snapToGrid w:val="0"/>
        <w:spacing w:line="320" w:lineRule="exact"/>
        <w:textAlignment w:val="baseline"/>
        <w:rPr>
          <w:color w:val="auto"/>
          <w:highlight w:val="none"/>
          <w:lang w:eastAsia="zh-CN"/>
        </w:rPr>
      </w:pPr>
    </w:p>
    <w:p w14:paraId="309B7159">
      <w:pPr>
        <w:keepNext w:val="0"/>
        <w:keepLines w:val="0"/>
        <w:pageBreakBefore w:val="0"/>
        <w:widowControl/>
        <w:kinsoku w:val="0"/>
        <w:wordWrap/>
        <w:overflowPunct/>
        <w:topLinePunct w:val="0"/>
        <w:autoSpaceDE w:val="0"/>
        <w:autoSpaceDN w:val="0"/>
        <w:bidi w:val="0"/>
        <w:adjustRightInd w:val="0"/>
        <w:snapToGrid w:val="0"/>
        <w:spacing w:before="78" w:line="320" w:lineRule="exact"/>
        <w:ind w:firstLine="450" w:firstLineChars="200"/>
        <w:textAlignment w:val="baseline"/>
        <w:outlineLvl w:val="2"/>
        <w:rPr>
          <w:rFonts w:ascii="宋体" w:hAnsi="宋体" w:eastAsia="宋体" w:cs="宋体"/>
          <w:color w:val="auto"/>
          <w:sz w:val="24"/>
          <w:szCs w:val="24"/>
          <w:highlight w:val="none"/>
          <w:lang w:eastAsia="zh-CN"/>
        </w:rPr>
      </w:pPr>
      <w:bookmarkStart w:id="31" w:name="_Toc3935"/>
      <w:r>
        <w:rPr>
          <w:rFonts w:ascii="宋体" w:hAnsi="宋体" w:eastAsia="宋体" w:cs="宋体"/>
          <w:b/>
          <w:bCs/>
          <w:color w:val="auto"/>
          <w:spacing w:val="-8"/>
          <w:sz w:val="24"/>
          <w:szCs w:val="24"/>
          <w:highlight w:val="none"/>
          <w:lang w:eastAsia="zh-CN"/>
        </w:rPr>
        <w:t>1.1</w:t>
      </w:r>
      <w:r>
        <w:rPr>
          <w:rFonts w:ascii="宋体" w:hAnsi="宋体" w:eastAsia="宋体" w:cs="宋体"/>
          <w:color w:val="auto"/>
          <w:spacing w:val="15"/>
          <w:sz w:val="24"/>
          <w:szCs w:val="24"/>
          <w:highlight w:val="none"/>
          <w:lang w:eastAsia="zh-CN"/>
        </w:rPr>
        <w:t xml:space="preserve"> </w:t>
      </w:r>
      <w:r>
        <w:rPr>
          <w:rFonts w:ascii="宋体" w:hAnsi="宋体" w:eastAsia="宋体" w:cs="宋体"/>
          <w:b/>
          <w:bCs/>
          <w:color w:val="auto"/>
          <w:spacing w:val="-8"/>
          <w:sz w:val="24"/>
          <w:szCs w:val="24"/>
          <w:highlight w:val="none"/>
          <w:lang w:eastAsia="zh-CN"/>
        </w:rPr>
        <w:t>项目概况</w:t>
      </w:r>
      <w:bookmarkEnd w:id="31"/>
    </w:p>
    <w:p w14:paraId="6F22EFF1">
      <w:pPr>
        <w:keepNext w:val="0"/>
        <w:keepLines w:val="0"/>
        <w:pageBreakBefore w:val="0"/>
        <w:widowControl/>
        <w:kinsoku w:val="0"/>
        <w:wordWrap/>
        <w:overflowPunct/>
        <w:topLinePunct w:val="0"/>
        <w:autoSpaceDE w:val="0"/>
        <w:autoSpaceDN w:val="0"/>
        <w:bidi w:val="0"/>
        <w:adjustRightInd w:val="0"/>
        <w:snapToGrid w:val="0"/>
        <w:spacing w:before="216" w:line="320" w:lineRule="exact"/>
        <w:ind w:left="498"/>
        <w:textAlignment w:val="baseline"/>
        <w:rPr>
          <w:rFonts w:ascii="宋体" w:hAnsi="宋体" w:eastAsia="宋体" w:cs="宋体"/>
          <w:color w:val="auto"/>
          <w:spacing w:val="-1"/>
          <w:sz w:val="24"/>
          <w:szCs w:val="24"/>
          <w:highlight w:val="none"/>
          <w:lang w:eastAsia="zh-CN"/>
        </w:rPr>
      </w:pPr>
      <w:r>
        <w:rPr>
          <w:rFonts w:ascii="宋体" w:hAnsi="宋体" w:eastAsia="宋体" w:cs="宋体"/>
          <w:color w:val="auto"/>
          <w:spacing w:val="-1"/>
          <w:sz w:val="24"/>
          <w:szCs w:val="24"/>
          <w:highlight w:val="none"/>
          <w:lang w:eastAsia="zh-CN"/>
        </w:rPr>
        <w:t>1.1.1 根据《中华人民共和国政府采购法》等有关法律、法规和规章的规定，本</w:t>
      </w:r>
    </w:p>
    <w:p w14:paraId="2312BCB3">
      <w:pPr>
        <w:keepNext w:val="0"/>
        <w:keepLines w:val="0"/>
        <w:pageBreakBefore w:val="0"/>
        <w:widowControl/>
        <w:kinsoku w:val="0"/>
        <w:wordWrap/>
        <w:overflowPunct/>
        <w:topLinePunct w:val="0"/>
        <w:autoSpaceDE w:val="0"/>
        <w:autoSpaceDN w:val="0"/>
        <w:bidi w:val="0"/>
        <w:adjustRightInd w:val="0"/>
        <w:snapToGrid w:val="0"/>
        <w:spacing w:before="216" w:line="320" w:lineRule="exact"/>
        <w:ind w:left="498"/>
        <w:textAlignment w:val="baseline"/>
        <w:rPr>
          <w:rFonts w:ascii="宋体" w:hAnsi="宋体" w:eastAsia="宋体" w:cs="宋体"/>
          <w:color w:val="auto"/>
          <w:spacing w:val="-1"/>
          <w:sz w:val="24"/>
          <w:szCs w:val="24"/>
          <w:highlight w:val="none"/>
          <w:lang w:eastAsia="zh-CN"/>
        </w:rPr>
      </w:pPr>
      <w:r>
        <w:rPr>
          <w:rFonts w:ascii="宋体" w:hAnsi="宋体" w:eastAsia="宋体" w:cs="宋体"/>
          <w:color w:val="auto"/>
          <w:spacing w:val="-1"/>
          <w:sz w:val="24"/>
          <w:szCs w:val="24"/>
          <w:highlight w:val="none"/>
          <w:lang w:eastAsia="zh-CN"/>
        </w:rPr>
        <w:t xml:space="preserve">招标项目已具备招标条件，现对本招标项目进行公开招标。 </w:t>
      </w:r>
    </w:p>
    <w:p w14:paraId="48EB9C50">
      <w:pPr>
        <w:keepNext w:val="0"/>
        <w:keepLines w:val="0"/>
        <w:pageBreakBefore w:val="0"/>
        <w:widowControl/>
        <w:kinsoku w:val="0"/>
        <w:wordWrap/>
        <w:overflowPunct/>
        <w:topLinePunct w:val="0"/>
        <w:autoSpaceDE w:val="0"/>
        <w:autoSpaceDN w:val="0"/>
        <w:bidi w:val="0"/>
        <w:adjustRightInd w:val="0"/>
        <w:snapToGrid w:val="0"/>
        <w:spacing w:before="216" w:line="320" w:lineRule="exact"/>
        <w:ind w:left="498"/>
        <w:textAlignment w:val="baseline"/>
        <w:rPr>
          <w:rFonts w:ascii="宋体" w:hAnsi="宋体" w:eastAsia="宋体" w:cs="宋体"/>
          <w:color w:val="auto"/>
          <w:spacing w:val="-1"/>
          <w:sz w:val="24"/>
          <w:szCs w:val="24"/>
          <w:highlight w:val="none"/>
          <w:lang w:eastAsia="zh-CN"/>
        </w:rPr>
      </w:pPr>
      <w:r>
        <w:rPr>
          <w:rFonts w:ascii="宋体" w:hAnsi="宋体" w:eastAsia="宋体" w:cs="宋体"/>
          <w:color w:val="auto"/>
          <w:spacing w:val="-1"/>
          <w:sz w:val="24"/>
          <w:szCs w:val="24"/>
          <w:highlight w:val="none"/>
          <w:lang w:eastAsia="zh-CN"/>
        </w:rPr>
        <w:t>1.1.2  本招标项目采购人：见</w:t>
      </w:r>
      <w:r>
        <w:rPr>
          <w:rFonts w:hint="eastAsia" w:ascii="宋体" w:hAnsi="宋体" w:eastAsia="宋体" w:cs="宋体"/>
          <w:color w:val="auto"/>
          <w:spacing w:val="-1"/>
          <w:sz w:val="24"/>
          <w:szCs w:val="24"/>
          <w:highlight w:val="none"/>
          <w:lang w:val="en-US" w:eastAsia="zh-CN"/>
        </w:rPr>
        <w:t>投标人</w:t>
      </w:r>
      <w:r>
        <w:rPr>
          <w:rFonts w:ascii="宋体" w:hAnsi="宋体" w:eastAsia="宋体" w:cs="宋体"/>
          <w:color w:val="auto"/>
          <w:spacing w:val="-1"/>
          <w:sz w:val="24"/>
          <w:szCs w:val="24"/>
          <w:highlight w:val="none"/>
          <w:lang w:eastAsia="zh-CN"/>
        </w:rPr>
        <w:t>须知前附表。</w:t>
      </w:r>
    </w:p>
    <w:p w14:paraId="74EFDC66">
      <w:pPr>
        <w:keepNext w:val="0"/>
        <w:keepLines w:val="0"/>
        <w:pageBreakBefore w:val="0"/>
        <w:widowControl/>
        <w:kinsoku w:val="0"/>
        <w:wordWrap/>
        <w:overflowPunct/>
        <w:topLinePunct w:val="0"/>
        <w:autoSpaceDE w:val="0"/>
        <w:autoSpaceDN w:val="0"/>
        <w:bidi w:val="0"/>
        <w:adjustRightInd w:val="0"/>
        <w:snapToGrid w:val="0"/>
        <w:spacing w:before="216" w:line="320" w:lineRule="exact"/>
        <w:ind w:left="498"/>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1.1.3  本招标项目采购代理机构：见</w:t>
      </w:r>
      <w:r>
        <w:rPr>
          <w:rFonts w:hint="eastAsia" w:ascii="宋体" w:hAnsi="宋体" w:eastAsia="宋体" w:cs="宋体"/>
          <w:color w:val="auto"/>
          <w:spacing w:val="-1"/>
          <w:sz w:val="24"/>
          <w:szCs w:val="24"/>
          <w:highlight w:val="none"/>
          <w:lang w:val="en-US" w:eastAsia="zh-CN"/>
        </w:rPr>
        <w:t>投标人</w:t>
      </w:r>
      <w:r>
        <w:rPr>
          <w:rFonts w:ascii="宋体" w:hAnsi="宋体" w:eastAsia="宋体" w:cs="宋体"/>
          <w:color w:val="auto"/>
          <w:spacing w:val="-1"/>
          <w:sz w:val="24"/>
          <w:szCs w:val="24"/>
          <w:highlight w:val="none"/>
          <w:lang w:eastAsia="zh-CN"/>
        </w:rPr>
        <w:t>须知前附表。</w:t>
      </w:r>
    </w:p>
    <w:p w14:paraId="7A9AFF6D">
      <w:pPr>
        <w:keepNext w:val="0"/>
        <w:keepLines w:val="0"/>
        <w:pageBreakBefore w:val="0"/>
        <w:widowControl/>
        <w:kinsoku w:val="0"/>
        <w:wordWrap/>
        <w:overflowPunct/>
        <w:topLinePunct w:val="0"/>
        <w:autoSpaceDE w:val="0"/>
        <w:autoSpaceDN w:val="0"/>
        <w:bidi w:val="0"/>
        <w:adjustRightInd w:val="0"/>
        <w:snapToGrid w:val="0"/>
        <w:spacing w:before="214" w:line="320" w:lineRule="exact"/>
        <w:ind w:left="498"/>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1.1.4  本招标项目名称：见</w:t>
      </w:r>
      <w:r>
        <w:rPr>
          <w:rFonts w:hint="eastAsia" w:ascii="宋体" w:hAnsi="宋体" w:eastAsia="宋体" w:cs="宋体"/>
          <w:color w:val="auto"/>
          <w:spacing w:val="-1"/>
          <w:sz w:val="24"/>
          <w:szCs w:val="24"/>
          <w:highlight w:val="none"/>
          <w:lang w:val="en-US" w:eastAsia="zh-CN"/>
        </w:rPr>
        <w:t>投标人</w:t>
      </w:r>
      <w:r>
        <w:rPr>
          <w:rFonts w:ascii="宋体" w:hAnsi="宋体" w:eastAsia="宋体" w:cs="宋体"/>
          <w:color w:val="auto"/>
          <w:spacing w:val="-1"/>
          <w:sz w:val="24"/>
          <w:szCs w:val="24"/>
          <w:highlight w:val="none"/>
          <w:lang w:eastAsia="zh-CN"/>
        </w:rPr>
        <w:t>须知</w:t>
      </w:r>
      <w:r>
        <w:rPr>
          <w:rFonts w:ascii="宋体" w:hAnsi="宋体" w:eastAsia="宋体" w:cs="宋体"/>
          <w:color w:val="auto"/>
          <w:spacing w:val="-2"/>
          <w:sz w:val="24"/>
          <w:szCs w:val="24"/>
          <w:highlight w:val="none"/>
          <w:lang w:eastAsia="zh-CN"/>
        </w:rPr>
        <w:t>前附表。</w:t>
      </w:r>
    </w:p>
    <w:p w14:paraId="06494E8C">
      <w:pPr>
        <w:keepNext w:val="0"/>
        <w:keepLines w:val="0"/>
        <w:pageBreakBefore w:val="0"/>
        <w:widowControl/>
        <w:kinsoku w:val="0"/>
        <w:wordWrap/>
        <w:overflowPunct/>
        <w:topLinePunct w:val="0"/>
        <w:autoSpaceDE w:val="0"/>
        <w:autoSpaceDN w:val="0"/>
        <w:bidi w:val="0"/>
        <w:adjustRightInd w:val="0"/>
        <w:snapToGrid w:val="0"/>
        <w:spacing w:before="215" w:line="320" w:lineRule="exact"/>
        <w:ind w:left="498"/>
        <w:textAlignment w:val="baseline"/>
        <w:outlineLvl w:val="2"/>
        <w:rPr>
          <w:rFonts w:ascii="宋体" w:hAnsi="宋体" w:eastAsia="宋体" w:cs="宋体"/>
          <w:color w:val="auto"/>
          <w:sz w:val="24"/>
          <w:szCs w:val="24"/>
          <w:highlight w:val="none"/>
          <w:lang w:eastAsia="zh-CN"/>
        </w:rPr>
      </w:pPr>
      <w:bookmarkStart w:id="32" w:name="_Toc22941"/>
      <w:r>
        <w:rPr>
          <w:rFonts w:ascii="宋体" w:hAnsi="宋体" w:eastAsia="宋体" w:cs="宋体"/>
          <w:b/>
          <w:bCs/>
          <w:color w:val="auto"/>
          <w:spacing w:val="-4"/>
          <w:sz w:val="24"/>
          <w:szCs w:val="24"/>
          <w:highlight w:val="none"/>
          <w:lang w:eastAsia="zh-CN"/>
        </w:rPr>
        <w:t>1.2</w:t>
      </w:r>
      <w:r>
        <w:rPr>
          <w:rFonts w:ascii="宋体" w:hAnsi="宋体" w:eastAsia="宋体" w:cs="宋体"/>
          <w:color w:val="auto"/>
          <w:spacing w:val="-4"/>
          <w:sz w:val="24"/>
          <w:szCs w:val="24"/>
          <w:highlight w:val="none"/>
          <w:lang w:eastAsia="zh-CN"/>
        </w:rPr>
        <w:t xml:space="preserve"> </w:t>
      </w:r>
      <w:r>
        <w:rPr>
          <w:rFonts w:ascii="宋体" w:hAnsi="宋体" w:eastAsia="宋体" w:cs="宋体"/>
          <w:b/>
          <w:bCs/>
          <w:color w:val="auto"/>
          <w:spacing w:val="-4"/>
          <w:sz w:val="24"/>
          <w:szCs w:val="24"/>
          <w:highlight w:val="none"/>
          <w:lang w:eastAsia="zh-CN"/>
        </w:rPr>
        <w:t>资金来源和落实情况</w:t>
      </w:r>
      <w:bookmarkEnd w:id="32"/>
    </w:p>
    <w:p w14:paraId="356C132E">
      <w:pPr>
        <w:keepNext w:val="0"/>
        <w:keepLines w:val="0"/>
        <w:pageBreakBefore w:val="0"/>
        <w:widowControl/>
        <w:kinsoku w:val="0"/>
        <w:wordWrap/>
        <w:overflowPunct/>
        <w:topLinePunct w:val="0"/>
        <w:autoSpaceDE w:val="0"/>
        <w:autoSpaceDN w:val="0"/>
        <w:bidi w:val="0"/>
        <w:adjustRightInd w:val="0"/>
        <w:snapToGrid w:val="0"/>
        <w:spacing w:before="216" w:line="320" w:lineRule="exact"/>
        <w:ind w:left="498"/>
        <w:textAlignment w:val="baseline"/>
        <w:rPr>
          <w:rFonts w:ascii="宋体" w:hAnsi="宋体" w:eastAsia="宋体" w:cs="宋体"/>
          <w:color w:val="auto"/>
          <w:spacing w:val="-1"/>
          <w:sz w:val="24"/>
          <w:szCs w:val="24"/>
          <w:highlight w:val="none"/>
          <w:lang w:eastAsia="zh-CN"/>
        </w:rPr>
      </w:pPr>
      <w:r>
        <w:rPr>
          <w:rFonts w:ascii="宋体" w:hAnsi="宋体" w:eastAsia="宋体" w:cs="宋体"/>
          <w:color w:val="auto"/>
          <w:spacing w:val="-1"/>
          <w:sz w:val="24"/>
          <w:szCs w:val="24"/>
          <w:highlight w:val="none"/>
          <w:lang w:eastAsia="zh-CN"/>
        </w:rPr>
        <w:t>1.2.1  本招标项目的资金来源：见</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w:t>
      </w:r>
    </w:p>
    <w:p w14:paraId="7EB056A1">
      <w:pPr>
        <w:keepNext w:val="0"/>
        <w:keepLines w:val="0"/>
        <w:pageBreakBefore w:val="0"/>
        <w:widowControl/>
        <w:kinsoku w:val="0"/>
        <w:wordWrap/>
        <w:overflowPunct/>
        <w:topLinePunct w:val="0"/>
        <w:autoSpaceDE w:val="0"/>
        <w:autoSpaceDN w:val="0"/>
        <w:bidi w:val="0"/>
        <w:adjustRightInd w:val="0"/>
        <w:snapToGrid w:val="0"/>
        <w:spacing w:before="216" w:line="320" w:lineRule="exact"/>
        <w:ind w:left="498"/>
        <w:textAlignment w:val="baseline"/>
        <w:rPr>
          <w:rFonts w:ascii="宋体" w:hAnsi="宋体" w:eastAsia="宋体" w:cs="宋体"/>
          <w:color w:val="auto"/>
          <w:spacing w:val="-1"/>
          <w:sz w:val="24"/>
          <w:szCs w:val="24"/>
          <w:highlight w:val="none"/>
          <w:lang w:eastAsia="zh-CN"/>
        </w:rPr>
      </w:pPr>
      <w:r>
        <w:rPr>
          <w:rFonts w:ascii="宋体" w:hAnsi="宋体" w:eastAsia="宋体" w:cs="宋体"/>
          <w:color w:val="auto"/>
          <w:spacing w:val="-1"/>
          <w:sz w:val="24"/>
          <w:szCs w:val="24"/>
          <w:highlight w:val="none"/>
          <w:lang w:eastAsia="zh-CN"/>
        </w:rPr>
        <w:t>1.2.2  本招标项目的资金落实情况：见</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w:t>
      </w:r>
    </w:p>
    <w:p w14:paraId="25881EC4">
      <w:pPr>
        <w:keepNext w:val="0"/>
        <w:keepLines w:val="0"/>
        <w:pageBreakBefore w:val="0"/>
        <w:widowControl/>
        <w:kinsoku w:val="0"/>
        <w:wordWrap/>
        <w:overflowPunct/>
        <w:topLinePunct w:val="0"/>
        <w:autoSpaceDE w:val="0"/>
        <w:autoSpaceDN w:val="0"/>
        <w:bidi w:val="0"/>
        <w:adjustRightInd w:val="0"/>
        <w:snapToGrid w:val="0"/>
        <w:spacing w:before="215" w:line="320" w:lineRule="exact"/>
        <w:ind w:left="498"/>
        <w:textAlignment w:val="baseline"/>
        <w:outlineLvl w:val="2"/>
        <w:rPr>
          <w:rFonts w:ascii="宋体" w:hAnsi="宋体" w:eastAsia="宋体" w:cs="宋体"/>
          <w:color w:val="auto"/>
          <w:sz w:val="24"/>
          <w:szCs w:val="24"/>
          <w:highlight w:val="none"/>
          <w:lang w:eastAsia="zh-CN"/>
        </w:rPr>
      </w:pPr>
      <w:bookmarkStart w:id="33" w:name="_Toc7871"/>
      <w:r>
        <w:rPr>
          <w:rFonts w:ascii="宋体" w:hAnsi="宋体" w:eastAsia="宋体" w:cs="宋体"/>
          <w:b/>
          <w:bCs/>
          <w:color w:val="auto"/>
          <w:spacing w:val="-3"/>
          <w:sz w:val="24"/>
          <w:szCs w:val="24"/>
          <w:highlight w:val="none"/>
          <w:lang w:eastAsia="zh-CN"/>
        </w:rPr>
        <w:t>1.3</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采购内容、合同履行期限和质量标准</w:t>
      </w:r>
      <w:bookmarkEnd w:id="33"/>
    </w:p>
    <w:p w14:paraId="0CB519A8">
      <w:pPr>
        <w:keepNext w:val="0"/>
        <w:keepLines w:val="0"/>
        <w:pageBreakBefore w:val="0"/>
        <w:widowControl/>
        <w:kinsoku w:val="0"/>
        <w:wordWrap/>
        <w:overflowPunct/>
        <w:topLinePunct w:val="0"/>
        <w:autoSpaceDE w:val="0"/>
        <w:autoSpaceDN w:val="0"/>
        <w:bidi w:val="0"/>
        <w:adjustRightInd w:val="0"/>
        <w:snapToGrid w:val="0"/>
        <w:spacing w:before="217" w:line="320" w:lineRule="exact"/>
        <w:ind w:left="498"/>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1.3.1  本次招标采购内容：见</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w:t>
      </w:r>
      <w:r>
        <w:rPr>
          <w:rFonts w:ascii="宋体" w:hAnsi="宋体" w:eastAsia="宋体" w:cs="宋体"/>
          <w:color w:val="auto"/>
          <w:spacing w:val="-2"/>
          <w:sz w:val="24"/>
          <w:szCs w:val="24"/>
          <w:highlight w:val="none"/>
          <w:lang w:eastAsia="zh-CN"/>
        </w:rPr>
        <w:t>附表。</w:t>
      </w:r>
    </w:p>
    <w:p w14:paraId="651B3E68">
      <w:pPr>
        <w:keepNext w:val="0"/>
        <w:keepLines w:val="0"/>
        <w:pageBreakBefore w:val="0"/>
        <w:widowControl/>
        <w:kinsoku w:val="0"/>
        <w:wordWrap/>
        <w:overflowPunct/>
        <w:topLinePunct w:val="0"/>
        <w:autoSpaceDE w:val="0"/>
        <w:autoSpaceDN w:val="0"/>
        <w:bidi w:val="0"/>
        <w:adjustRightInd w:val="0"/>
        <w:snapToGrid w:val="0"/>
        <w:spacing w:before="214" w:line="320" w:lineRule="exact"/>
        <w:ind w:left="498"/>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1.3.2  本次招标的</w:t>
      </w:r>
      <w:r>
        <w:rPr>
          <w:rFonts w:hint="eastAsia" w:ascii="宋体" w:hAnsi="宋体" w:eastAsia="宋体" w:cs="宋体"/>
          <w:color w:val="auto"/>
          <w:spacing w:val="-1"/>
          <w:sz w:val="24"/>
          <w:szCs w:val="24"/>
          <w:highlight w:val="none"/>
          <w:lang w:eastAsia="zh-CN"/>
        </w:rPr>
        <w:t>合同履行期限</w:t>
      </w:r>
      <w:r>
        <w:rPr>
          <w:rFonts w:ascii="宋体" w:hAnsi="宋体" w:eastAsia="宋体" w:cs="宋体"/>
          <w:color w:val="auto"/>
          <w:spacing w:val="6"/>
          <w:sz w:val="24"/>
          <w:szCs w:val="24"/>
          <w:highlight w:val="none"/>
          <w:lang w:eastAsia="zh-CN"/>
        </w:rPr>
        <w:t>：</w:t>
      </w:r>
      <w:r>
        <w:rPr>
          <w:rFonts w:ascii="宋体" w:hAnsi="宋体" w:eastAsia="宋体" w:cs="宋体"/>
          <w:color w:val="auto"/>
          <w:spacing w:val="-1"/>
          <w:sz w:val="24"/>
          <w:szCs w:val="24"/>
          <w:highlight w:val="none"/>
          <w:lang w:eastAsia="zh-CN"/>
        </w:rPr>
        <w:t>见</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2"/>
          <w:sz w:val="24"/>
          <w:szCs w:val="24"/>
          <w:highlight w:val="none"/>
          <w:lang w:eastAsia="zh-CN"/>
        </w:rPr>
        <w:t>须知前附表。</w:t>
      </w:r>
    </w:p>
    <w:p w14:paraId="72A7D905">
      <w:pPr>
        <w:keepNext w:val="0"/>
        <w:keepLines w:val="0"/>
        <w:pageBreakBefore w:val="0"/>
        <w:widowControl/>
        <w:kinsoku w:val="0"/>
        <w:wordWrap/>
        <w:overflowPunct/>
        <w:topLinePunct w:val="0"/>
        <w:autoSpaceDE w:val="0"/>
        <w:autoSpaceDN w:val="0"/>
        <w:bidi w:val="0"/>
        <w:adjustRightInd w:val="0"/>
        <w:snapToGrid w:val="0"/>
        <w:spacing w:before="215" w:line="320" w:lineRule="exact"/>
        <w:ind w:left="498"/>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1.3.3  本次招标的质量要求：见</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w:t>
      </w:r>
      <w:r>
        <w:rPr>
          <w:rFonts w:ascii="宋体" w:hAnsi="宋体" w:eastAsia="宋体" w:cs="宋体"/>
          <w:color w:val="auto"/>
          <w:spacing w:val="-2"/>
          <w:sz w:val="24"/>
          <w:szCs w:val="24"/>
          <w:highlight w:val="none"/>
          <w:lang w:eastAsia="zh-CN"/>
        </w:rPr>
        <w:t>表。</w:t>
      </w:r>
    </w:p>
    <w:p w14:paraId="298E4EEA">
      <w:pPr>
        <w:keepNext w:val="0"/>
        <w:keepLines w:val="0"/>
        <w:pageBreakBefore w:val="0"/>
        <w:widowControl/>
        <w:kinsoku w:val="0"/>
        <w:wordWrap/>
        <w:overflowPunct/>
        <w:topLinePunct w:val="0"/>
        <w:autoSpaceDE w:val="0"/>
        <w:autoSpaceDN w:val="0"/>
        <w:bidi w:val="0"/>
        <w:adjustRightInd w:val="0"/>
        <w:snapToGrid w:val="0"/>
        <w:spacing w:before="217" w:line="320" w:lineRule="exact"/>
        <w:ind w:left="498"/>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1.3.4  本次招标的质保期要求：见</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w:t>
      </w:r>
    </w:p>
    <w:p w14:paraId="2D106A98">
      <w:pPr>
        <w:keepNext w:val="0"/>
        <w:keepLines w:val="0"/>
        <w:pageBreakBefore w:val="0"/>
        <w:widowControl/>
        <w:kinsoku w:val="0"/>
        <w:wordWrap/>
        <w:overflowPunct/>
        <w:topLinePunct w:val="0"/>
        <w:autoSpaceDE w:val="0"/>
        <w:autoSpaceDN w:val="0"/>
        <w:bidi w:val="0"/>
        <w:adjustRightInd w:val="0"/>
        <w:snapToGrid w:val="0"/>
        <w:spacing w:before="214" w:line="320" w:lineRule="exact"/>
        <w:ind w:left="498"/>
        <w:textAlignment w:val="baseline"/>
        <w:outlineLvl w:val="2"/>
        <w:rPr>
          <w:rFonts w:ascii="宋体" w:hAnsi="宋体" w:eastAsia="宋体" w:cs="宋体"/>
          <w:color w:val="auto"/>
          <w:sz w:val="24"/>
          <w:szCs w:val="24"/>
          <w:highlight w:val="none"/>
          <w:lang w:eastAsia="zh-CN"/>
        </w:rPr>
      </w:pPr>
      <w:bookmarkStart w:id="34" w:name="_Toc16114"/>
      <w:r>
        <w:rPr>
          <w:rFonts w:ascii="宋体" w:hAnsi="宋体" w:eastAsia="宋体" w:cs="宋体"/>
          <w:b/>
          <w:bCs/>
          <w:color w:val="auto"/>
          <w:spacing w:val="-5"/>
          <w:sz w:val="24"/>
          <w:szCs w:val="24"/>
          <w:highlight w:val="none"/>
          <w:lang w:eastAsia="zh-CN"/>
        </w:rPr>
        <w:t>1.4</w:t>
      </w:r>
      <w:r>
        <w:rPr>
          <w:rFonts w:ascii="宋体" w:hAnsi="宋体" w:eastAsia="宋体" w:cs="宋体"/>
          <w:color w:val="auto"/>
          <w:spacing w:val="-5"/>
          <w:sz w:val="24"/>
          <w:szCs w:val="24"/>
          <w:highlight w:val="none"/>
          <w:lang w:eastAsia="zh-CN"/>
        </w:rPr>
        <w:t xml:space="preserve"> </w:t>
      </w:r>
      <w:r>
        <w:rPr>
          <w:rFonts w:hint="eastAsia" w:ascii="宋体" w:hAnsi="宋体" w:eastAsia="宋体" w:cs="宋体"/>
          <w:b/>
          <w:bCs/>
          <w:color w:val="auto"/>
          <w:spacing w:val="-5"/>
          <w:sz w:val="24"/>
          <w:szCs w:val="24"/>
          <w:highlight w:val="none"/>
          <w:lang w:eastAsia="zh-CN"/>
        </w:rPr>
        <w:t>投标人</w:t>
      </w:r>
      <w:r>
        <w:rPr>
          <w:rFonts w:ascii="宋体" w:hAnsi="宋体" w:eastAsia="宋体" w:cs="宋体"/>
          <w:b/>
          <w:bCs/>
          <w:color w:val="auto"/>
          <w:spacing w:val="-5"/>
          <w:sz w:val="24"/>
          <w:szCs w:val="24"/>
          <w:highlight w:val="none"/>
          <w:lang w:eastAsia="zh-CN"/>
        </w:rPr>
        <w:t>资格要求</w:t>
      </w:r>
      <w:bookmarkEnd w:id="34"/>
    </w:p>
    <w:p w14:paraId="58514987">
      <w:pPr>
        <w:keepNext w:val="0"/>
        <w:keepLines w:val="0"/>
        <w:pageBreakBefore w:val="0"/>
        <w:widowControl/>
        <w:kinsoku w:val="0"/>
        <w:wordWrap/>
        <w:overflowPunct/>
        <w:topLinePunct w:val="0"/>
        <w:autoSpaceDE w:val="0"/>
        <w:autoSpaceDN w:val="0"/>
        <w:bidi w:val="0"/>
        <w:adjustRightInd w:val="0"/>
        <w:snapToGrid w:val="0"/>
        <w:spacing w:before="215" w:line="320" w:lineRule="exact"/>
        <w:ind w:left="498"/>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 xml:space="preserve">1.4.1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应具备承担本招标项目的资</w:t>
      </w:r>
      <w:r>
        <w:rPr>
          <w:rFonts w:ascii="宋体" w:hAnsi="宋体" w:eastAsia="宋体" w:cs="宋体"/>
          <w:color w:val="auto"/>
          <w:spacing w:val="-2"/>
          <w:sz w:val="24"/>
          <w:szCs w:val="24"/>
          <w:highlight w:val="none"/>
          <w:lang w:eastAsia="zh-CN"/>
        </w:rPr>
        <w:t>质条件。</w:t>
      </w:r>
    </w:p>
    <w:p w14:paraId="14EBD8DD">
      <w:pPr>
        <w:keepNext w:val="0"/>
        <w:keepLines w:val="0"/>
        <w:pageBreakBefore w:val="0"/>
        <w:widowControl/>
        <w:kinsoku w:val="0"/>
        <w:wordWrap/>
        <w:overflowPunct/>
        <w:topLinePunct w:val="0"/>
        <w:autoSpaceDE w:val="0"/>
        <w:autoSpaceDN w:val="0"/>
        <w:bidi w:val="0"/>
        <w:adjustRightInd w:val="0"/>
        <w:snapToGrid w:val="0"/>
        <w:spacing w:before="217" w:line="320" w:lineRule="exact"/>
        <w:ind w:left="492"/>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资质条件：见</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w:t>
      </w:r>
    </w:p>
    <w:p w14:paraId="48793B3A">
      <w:pPr>
        <w:keepNext w:val="0"/>
        <w:keepLines w:val="0"/>
        <w:pageBreakBefore w:val="0"/>
        <w:widowControl/>
        <w:kinsoku w:val="0"/>
        <w:wordWrap/>
        <w:overflowPunct/>
        <w:topLinePunct w:val="0"/>
        <w:autoSpaceDE w:val="0"/>
        <w:autoSpaceDN w:val="0"/>
        <w:bidi w:val="0"/>
        <w:adjustRightInd w:val="0"/>
        <w:snapToGrid w:val="0"/>
        <w:spacing w:before="214" w:line="320" w:lineRule="exact"/>
        <w:ind w:left="498"/>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1.4.2 本次招标不接受联合体投标。</w:t>
      </w:r>
    </w:p>
    <w:p w14:paraId="35DAFB15">
      <w:pPr>
        <w:keepNext w:val="0"/>
        <w:keepLines w:val="0"/>
        <w:pageBreakBefore w:val="0"/>
        <w:widowControl/>
        <w:kinsoku w:val="0"/>
        <w:wordWrap/>
        <w:overflowPunct/>
        <w:topLinePunct w:val="0"/>
        <w:autoSpaceDE w:val="0"/>
        <w:autoSpaceDN w:val="0"/>
        <w:bidi w:val="0"/>
        <w:adjustRightInd w:val="0"/>
        <w:snapToGrid w:val="0"/>
        <w:spacing w:before="215" w:line="320" w:lineRule="exact"/>
        <w:ind w:left="498"/>
        <w:textAlignment w:val="baseline"/>
        <w:outlineLvl w:val="2"/>
        <w:rPr>
          <w:rFonts w:ascii="宋体" w:hAnsi="宋体" w:eastAsia="宋体" w:cs="宋体"/>
          <w:color w:val="auto"/>
          <w:sz w:val="24"/>
          <w:szCs w:val="24"/>
          <w:highlight w:val="none"/>
          <w:lang w:eastAsia="zh-CN"/>
        </w:rPr>
      </w:pPr>
      <w:bookmarkStart w:id="35" w:name="_Toc15871"/>
      <w:r>
        <w:rPr>
          <w:rFonts w:ascii="宋体" w:hAnsi="宋体" w:eastAsia="宋体" w:cs="宋体"/>
          <w:b/>
          <w:bCs/>
          <w:color w:val="auto"/>
          <w:spacing w:val="-9"/>
          <w:sz w:val="24"/>
          <w:szCs w:val="24"/>
          <w:highlight w:val="none"/>
          <w:lang w:eastAsia="zh-CN"/>
        </w:rPr>
        <w:t>1.5</w:t>
      </w:r>
      <w:r>
        <w:rPr>
          <w:rFonts w:ascii="宋体" w:hAnsi="宋体" w:eastAsia="宋体" w:cs="宋体"/>
          <w:color w:val="auto"/>
          <w:spacing w:val="22"/>
          <w:sz w:val="24"/>
          <w:szCs w:val="24"/>
          <w:highlight w:val="none"/>
          <w:lang w:eastAsia="zh-CN"/>
        </w:rPr>
        <w:t xml:space="preserve"> </w:t>
      </w:r>
      <w:r>
        <w:rPr>
          <w:rFonts w:ascii="宋体" w:hAnsi="宋体" w:eastAsia="宋体" w:cs="宋体"/>
          <w:b/>
          <w:bCs/>
          <w:color w:val="auto"/>
          <w:spacing w:val="-9"/>
          <w:sz w:val="24"/>
          <w:szCs w:val="24"/>
          <w:highlight w:val="none"/>
          <w:lang w:eastAsia="zh-CN"/>
        </w:rPr>
        <w:t>费用承担</w:t>
      </w:r>
      <w:bookmarkEnd w:id="35"/>
    </w:p>
    <w:p w14:paraId="40FDA78B">
      <w:pPr>
        <w:keepNext w:val="0"/>
        <w:keepLines w:val="0"/>
        <w:pageBreakBefore w:val="0"/>
        <w:widowControl/>
        <w:kinsoku w:val="0"/>
        <w:wordWrap/>
        <w:overflowPunct/>
        <w:topLinePunct w:val="0"/>
        <w:autoSpaceDE w:val="0"/>
        <w:autoSpaceDN w:val="0"/>
        <w:bidi w:val="0"/>
        <w:adjustRightInd w:val="0"/>
        <w:snapToGrid w:val="0"/>
        <w:spacing w:before="216" w:line="320" w:lineRule="exact"/>
        <w:ind w:left="480"/>
        <w:textAlignment w:val="baseline"/>
        <w:rPr>
          <w:rFonts w:ascii="宋体" w:hAnsi="宋体" w:eastAsia="宋体" w:cs="宋体"/>
          <w:color w:val="auto"/>
          <w:sz w:val="24"/>
          <w:szCs w:val="24"/>
          <w:highlight w:val="none"/>
          <w:lang w:eastAsia="zh-CN"/>
        </w:rPr>
      </w:pP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准备和参加投标活动发生的费用自理。</w:t>
      </w:r>
    </w:p>
    <w:p w14:paraId="14039895">
      <w:pPr>
        <w:keepNext w:val="0"/>
        <w:keepLines w:val="0"/>
        <w:pageBreakBefore w:val="0"/>
        <w:widowControl/>
        <w:kinsoku w:val="0"/>
        <w:wordWrap/>
        <w:overflowPunct/>
        <w:topLinePunct w:val="0"/>
        <w:autoSpaceDE w:val="0"/>
        <w:autoSpaceDN w:val="0"/>
        <w:bidi w:val="0"/>
        <w:adjustRightInd w:val="0"/>
        <w:snapToGrid w:val="0"/>
        <w:spacing w:before="216" w:line="320" w:lineRule="exact"/>
        <w:ind w:left="498"/>
        <w:textAlignment w:val="baseline"/>
        <w:outlineLvl w:val="2"/>
        <w:rPr>
          <w:rFonts w:ascii="宋体" w:hAnsi="宋体" w:eastAsia="宋体" w:cs="宋体"/>
          <w:color w:val="auto"/>
          <w:sz w:val="24"/>
          <w:szCs w:val="24"/>
          <w:highlight w:val="none"/>
          <w:lang w:eastAsia="zh-CN"/>
        </w:rPr>
      </w:pPr>
      <w:bookmarkStart w:id="36" w:name="_Toc22169"/>
      <w:r>
        <w:rPr>
          <w:rFonts w:ascii="宋体" w:hAnsi="宋体" w:eastAsia="宋体" w:cs="宋体"/>
          <w:b/>
          <w:bCs/>
          <w:color w:val="auto"/>
          <w:spacing w:val="-10"/>
          <w:sz w:val="24"/>
          <w:szCs w:val="24"/>
          <w:highlight w:val="none"/>
          <w:lang w:eastAsia="zh-CN"/>
        </w:rPr>
        <w:t>1.6</w:t>
      </w:r>
      <w:r>
        <w:rPr>
          <w:rFonts w:ascii="宋体" w:hAnsi="宋体" w:eastAsia="宋体" w:cs="宋体"/>
          <w:color w:val="auto"/>
          <w:spacing w:val="11"/>
          <w:sz w:val="24"/>
          <w:szCs w:val="24"/>
          <w:highlight w:val="none"/>
          <w:lang w:eastAsia="zh-CN"/>
        </w:rPr>
        <w:t xml:space="preserve"> </w:t>
      </w:r>
      <w:r>
        <w:rPr>
          <w:rFonts w:ascii="宋体" w:hAnsi="宋体" w:eastAsia="宋体" w:cs="宋体"/>
          <w:b/>
          <w:bCs/>
          <w:color w:val="auto"/>
          <w:spacing w:val="-10"/>
          <w:sz w:val="24"/>
          <w:szCs w:val="24"/>
          <w:highlight w:val="none"/>
          <w:lang w:eastAsia="zh-CN"/>
        </w:rPr>
        <w:t>保密</w:t>
      </w:r>
      <w:bookmarkEnd w:id="36"/>
    </w:p>
    <w:p w14:paraId="06B36E86">
      <w:pPr>
        <w:keepNext w:val="0"/>
        <w:keepLines w:val="0"/>
        <w:pageBreakBefore w:val="0"/>
        <w:widowControl/>
        <w:kinsoku w:val="0"/>
        <w:wordWrap/>
        <w:overflowPunct/>
        <w:topLinePunct w:val="0"/>
        <w:autoSpaceDE w:val="0"/>
        <w:autoSpaceDN w:val="0"/>
        <w:bidi w:val="0"/>
        <w:adjustRightInd w:val="0"/>
        <w:snapToGrid w:val="0"/>
        <w:spacing w:before="212" w:line="320" w:lineRule="exact"/>
        <w:ind w:firstLine="481"/>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参与招标投标活动的各方应对招标文件和投标文件中的商业和技术等秘密保密，</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违者应对由此造成的后果承担法律责任。</w:t>
      </w:r>
    </w:p>
    <w:p w14:paraId="0D02BC4D">
      <w:pPr>
        <w:keepNext w:val="0"/>
        <w:keepLines w:val="0"/>
        <w:pageBreakBefore w:val="0"/>
        <w:widowControl/>
        <w:kinsoku w:val="0"/>
        <w:wordWrap/>
        <w:overflowPunct/>
        <w:topLinePunct w:val="0"/>
        <w:autoSpaceDE w:val="0"/>
        <w:autoSpaceDN w:val="0"/>
        <w:bidi w:val="0"/>
        <w:adjustRightInd w:val="0"/>
        <w:snapToGrid w:val="0"/>
        <w:spacing w:before="32" w:line="320" w:lineRule="exact"/>
        <w:ind w:left="498"/>
        <w:textAlignment w:val="baseline"/>
        <w:outlineLvl w:val="2"/>
        <w:rPr>
          <w:rFonts w:ascii="宋体" w:hAnsi="宋体" w:eastAsia="宋体" w:cs="宋体"/>
          <w:color w:val="auto"/>
          <w:sz w:val="24"/>
          <w:szCs w:val="24"/>
          <w:highlight w:val="none"/>
          <w:lang w:eastAsia="zh-CN"/>
        </w:rPr>
      </w:pPr>
      <w:bookmarkStart w:id="37" w:name="_Toc28028"/>
      <w:r>
        <w:rPr>
          <w:rFonts w:ascii="宋体" w:hAnsi="宋体" w:eastAsia="宋体" w:cs="宋体"/>
          <w:b/>
          <w:bCs/>
          <w:color w:val="auto"/>
          <w:spacing w:val="-5"/>
          <w:sz w:val="24"/>
          <w:szCs w:val="24"/>
          <w:highlight w:val="none"/>
          <w:lang w:eastAsia="zh-CN"/>
        </w:rPr>
        <w:t>1.7</w:t>
      </w:r>
      <w:r>
        <w:rPr>
          <w:rFonts w:ascii="宋体" w:hAnsi="宋体" w:eastAsia="宋体" w:cs="宋体"/>
          <w:color w:val="auto"/>
          <w:spacing w:val="-5"/>
          <w:sz w:val="24"/>
          <w:szCs w:val="24"/>
          <w:highlight w:val="none"/>
          <w:lang w:eastAsia="zh-CN"/>
        </w:rPr>
        <w:t xml:space="preserve"> </w:t>
      </w:r>
      <w:r>
        <w:rPr>
          <w:rFonts w:ascii="宋体" w:hAnsi="宋体" w:eastAsia="宋体" w:cs="宋体"/>
          <w:b/>
          <w:bCs/>
          <w:color w:val="auto"/>
          <w:spacing w:val="-5"/>
          <w:sz w:val="24"/>
          <w:szCs w:val="24"/>
          <w:highlight w:val="none"/>
          <w:lang w:eastAsia="zh-CN"/>
        </w:rPr>
        <w:t>语言文字</w:t>
      </w:r>
      <w:bookmarkEnd w:id="37"/>
    </w:p>
    <w:p w14:paraId="6D82071D">
      <w:pPr>
        <w:keepNext w:val="0"/>
        <w:keepLines w:val="0"/>
        <w:pageBreakBefore w:val="0"/>
        <w:widowControl/>
        <w:kinsoku w:val="0"/>
        <w:wordWrap/>
        <w:overflowPunct/>
        <w:topLinePunct w:val="0"/>
        <w:autoSpaceDE w:val="0"/>
        <w:autoSpaceDN w:val="0"/>
        <w:bidi w:val="0"/>
        <w:adjustRightInd w:val="0"/>
        <w:snapToGrid w:val="0"/>
        <w:spacing w:before="215" w:line="320" w:lineRule="exact"/>
        <w:ind w:left="16" w:right="11" w:firstLine="481"/>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1.7.1 采购文件以及</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与采购人、采购代理机构就有关投标事宜的所有来往</w:t>
      </w:r>
      <w:r>
        <w:rPr>
          <w:rFonts w:ascii="宋体" w:hAnsi="宋体" w:eastAsia="宋体" w:cs="宋体"/>
          <w:color w:val="auto"/>
          <w:spacing w:val="16"/>
          <w:sz w:val="24"/>
          <w:szCs w:val="24"/>
          <w:highlight w:val="none"/>
          <w:lang w:eastAsia="zh-CN"/>
        </w:rPr>
        <w:t xml:space="preserve"> </w:t>
      </w:r>
      <w:r>
        <w:rPr>
          <w:rFonts w:ascii="宋体" w:hAnsi="宋体" w:eastAsia="宋体" w:cs="宋体"/>
          <w:color w:val="auto"/>
          <w:spacing w:val="-2"/>
          <w:sz w:val="24"/>
          <w:szCs w:val="24"/>
          <w:highlight w:val="none"/>
          <w:lang w:eastAsia="zh-CN"/>
        </w:rPr>
        <w:t>函电均应使用简体中文书写。</w:t>
      </w:r>
    </w:p>
    <w:p w14:paraId="73371A11">
      <w:pPr>
        <w:spacing w:before="212" w:line="373" w:lineRule="auto"/>
        <w:ind w:firstLine="481"/>
        <w:rPr>
          <w:rFonts w:ascii="宋体" w:hAnsi="宋体" w:eastAsia="宋体" w:cs="宋体"/>
          <w:color w:val="auto"/>
          <w:spacing w:val="-2"/>
          <w:sz w:val="24"/>
          <w:szCs w:val="24"/>
          <w:highlight w:val="none"/>
          <w:lang w:eastAsia="zh-CN"/>
        </w:rPr>
      </w:pPr>
      <w:r>
        <w:rPr>
          <w:rFonts w:ascii="宋体" w:hAnsi="宋体" w:eastAsia="宋体" w:cs="宋体"/>
          <w:color w:val="auto"/>
          <w:spacing w:val="-2"/>
          <w:sz w:val="24"/>
          <w:szCs w:val="24"/>
          <w:highlight w:val="none"/>
          <w:lang w:eastAsia="zh-CN"/>
        </w:rPr>
        <w:t>1.7.2 原版为外文的证书类文件，以及由外国人做出的本人签名、外国公司的名 称或外国印章等可以是外文，但应当提供中文翻译文件并加盖</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公章。必要时评标委员会可以要求</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提供附有公证书的中文翻译文件或者与原版文件签章相一 致的中文翻译文件</w:t>
      </w:r>
    </w:p>
    <w:p w14:paraId="58154044">
      <w:pPr>
        <w:spacing w:before="34" w:line="220" w:lineRule="auto"/>
        <w:ind w:left="499"/>
        <w:outlineLvl w:val="2"/>
        <w:rPr>
          <w:rFonts w:ascii="宋体" w:hAnsi="宋体" w:eastAsia="宋体" w:cs="宋体"/>
          <w:color w:val="auto"/>
          <w:sz w:val="24"/>
          <w:szCs w:val="24"/>
          <w:highlight w:val="none"/>
          <w:lang w:eastAsia="zh-CN"/>
        </w:rPr>
      </w:pPr>
      <w:bookmarkStart w:id="38" w:name="_Toc24817"/>
      <w:r>
        <w:rPr>
          <w:rFonts w:ascii="宋体" w:hAnsi="宋体" w:eastAsia="宋体" w:cs="宋体"/>
          <w:b/>
          <w:bCs/>
          <w:color w:val="auto"/>
          <w:spacing w:val="-5"/>
          <w:sz w:val="24"/>
          <w:szCs w:val="24"/>
          <w:highlight w:val="none"/>
          <w:lang w:eastAsia="zh-CN"/>
        </w:rPr>
        <w:t>1.8</w:t>
      </w:r>
      <w:r>
        <w:rPr>
          <w:rFonts w:ascii="宋体" w:hAnsi="宋体" w:eastAsia="宋体" w:cs="宋体"/>
          <w:color w:val="auto"/>
          <w:spacing w:val="-5"/>
          <w:sz w:val="24"/>
          <w:szCs w:val="24"/>
          <w:highlight w:val="none"/>
          <w:lang w:eastAsia="zh-CN"/>
        </w:rPr>
        <w:t xml:space="preserve"> </w:t>
      </w:r>
      <w:r>
        <w:rPr>
          <w:rFonts w:ascii="宋体" w:hAnsi="宋体" w:eastAsia="宋体" w:cs="宋体"/>
          <w:b/>
          <w:bCs/>
          <w:color w:val="auto"/>
          <w:spacing w:val="-5"/>
          <w:sz w:val="24"/>
          <w:szCs w:val="24"/>
          <w:highlight w:val="none"/>
          <w:lang w:eastAsia="zh-CN"/>
        </w:rPr>
        <w:t>计量单位</w:t>
      </w:r>
      <w:bookmarkEnd w:id="38"/>
    </w:p>
    <w:p w14:paraId="314605CA">
      <w:pPr>
        <w:spacing w:before="212" w:line="373" w:lineRule="auto"/>
        <w:ind w:firstLine="481"/>
        <w:rPr>
          <w:rFonts w:ascii="宋体" w:hAnsi="宋体" w:eastAsia="宋体" w:cs="宋体"/>
          <w:color w:val="auto"/>
          <w:spacing w:val="-2"/>
          <w:sz w:val="24"/>
          <w:szCs w:val="24"/>
          <w:highlight w:val="none"/>
          <w:lang w:eastAsia="zh-CN"/>
        </w:rPr>
      </w:pPr>
      <w:r>
        <w:rPr>
          <w:rFonts w:ascii="宋体" w:hAnsi="宋体" w:eastAsia="宋体" w:cs="宋体"/>
          <w:color w:val="auto"/>
          <w:spacing w:val="-2"/>
          <w:sz w:val="24"/>
          <w:szCs w:val="24"/>
          <w:highlight w:val="none"/>
          <w:lang w:eastAsia="zh-CN"/>
        </w:rPr>
        <w:t>1.8.1 关于投标计量单位，采购文件已有明确规定的，使用采购文件规定的计量 单位；采购文件没有规定的，应采用中华人民共和国法定计量单位。</w:t>
      </w:r>
    </w:p>
    <w:p w14:paraId="0E99EF80">
      <w:pPr>
        <w:spacing w:before="212" w:line="373" w:lineRule="auto"/>
        <w:ind w:firstLine="481"/>
        <w:rPr>
          <w:rFonts w:ascii="宋体" w:hAnsi="宋体" w:eastAsia="宋体" w:cs="宋体"/>
          <w:color w:val="auto"/>
          <w:spacing w:val="-2"/>
          <w:sz w:val="24"/>
          <w:szCs w:val="24"/>
          <w:highlight w:val="none"/>
          <w:lang w:eastAsia="zh-CN"/>
        </w:rPr>
      </w:pPr>
      <w:r>
        <w:rPr>
          <w:rFonts w:ascii="宋体" w:hAnsi="宋体" w:eastAsia="宋体" w:cs="宋体"/>
          <w:color w:val="auto"/>
          <w:spacing w:val="-2"/>
          <w:sz w:val="24"/>
          <w:szCs w:val="24"/>
          <w:highlight w:val="none"/>
          <w:lang w:eastAsia="zh-CN"/>
        </w:rPr>
        <w:t>1.8.2 本响应性文件所表述的时间均为北京时间。</w:t>
      </w:r>
    </w:p>
    <w:p w14:paraId="2A909F71">
      <w:pPr>
        <w:spacing w:before="217" w:line="219" w:lineRule="auto"/>
        <w:ind w:left="499"/>
        <w:outlineLvl w:val="2"/>
        <w:rPr>
          <w:rFonts w:ascii="宋体" w:hAnsi="宋体" w:eastAsia="宋体" w:cs="宋体"/>
          <w:color w:val="auto"/>
          <w:sz w:val="24"/>
          <w:szCs w:val="24"/>
          <w:highlight w:val="none"/>
          <w:lang w:eastAsia="zh-CN"/>
        </w:rPr>
      </w:pPr>
      <w:bookmarkStart w:id="39" w:name="_Toc4009"/>
      <w:r>
        <w:rPr>
          <w:rFonts w:ascii="宋体" w:hAnsi="宋体" w:eastAsia="宋体" w:cs="宋体"/>
          <w:b/>
          <w:bCs/>
          <w:color w:val="auto"/>
          <w:spacing w:val="-8"/>
          <w:sz w:val="24"/>
          <w:szCs w:val="24"/>
          <w:highlight w:val="none"/>
          <w:lang w:eastAsia="zh-CN"/>
        </w:rPr>
        <w:t>1.9</w:t>
      </w:r>
      <w:r>
        <w:rPr>
          <w:rFonts w:ascii="宋体" w:hAnsi="宋体" w:eastAsia="宋体" w:cs="宋体"/>
          <w:color w:val="auto"/>
          <w:spacing w:val="15"/>
          <w:sz w:val="24"/>
          <w:szCs w:val="24"/>
          <w:highlight w:val="none"/>
          <w:lang w:eastAsia="zh-CN"/>
        </w:rPr>
        <w:t xml:space="preserve"> </w:t>
      </w:r>
      <w:r>
        <w:rPr>
          <w:rFonts w:ascii="宋体" w:hAnsi="宋体" w:eastAsia="宋体" w:cs="宋体"/>
          <w:b/>
          <w:bCs/>
          <w:color w:val="auto"/>
          <w:spacing w:val="-8"/>
          <w:sz w:val="24"/>
          <w:szCs w:val="24"/>
          <w:highlight w:val="none"/>
          <w:lang w:eastAsia="zh-CN"/>
        </w:rPr>
        <w:t>踏勘现场</w:t>
      </w:r>
      <w:bookmarkEnd w:id="39"/>
    </w:p>
    <w:p w14:paraId="6EA08E20">
      <w:pPr>
        <w:spacing w:before="214" w:line="219" w:lineRule="auto"/>
        <w:ind w:left="499"/>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1.9.1  由于项目特殊性，本次招标需</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自行勘查。</w:t>
      </w:r>
    </w:p>
    <w:p w14:paraId="495341B0">
      <w:pPr>
        <w:spacing w:before="214" w:line="219" w:lineRule="auto"/>
        <w:ind w:left="499"/>
        <w:outlineLvl w:val="2"/>
        <w:rPr>
          <w:rFonts w:ascii="宋体" w:hAnsi="宋体" w:eastAsia="宋体" w:cs="宋体"/>
          <w:color w:val="auto"/>
          <w:sz w:val="24"/>
          <w:szCs w:val="24"/>
          <w:highlight w:val="none"/>
          <w:lang w:eastAsia="zh-CN"/>
        </w:rPr>
      </w:pPr>
      <w:bookmarkStart w:id="40" w:name="_Toc5100"/>
      <w:r>
        <w:rPr>
          <w:rFonts w:ascii="宋体" w:hAnsi="宋体" w:eastAsia="宋体" w:cs="宋体"/>
          <w:b/>
          <w:bCs/>
          <w:color w:val="auto"/>
          <w:spacing w:val="-5"/>
          <w:sz w:val="24"/>
          <w:szCs w:val="24"/>
          <w:highlight w:val="none"/>
          <w:lang w:eastAsia="zh-CN"/>
        </w:rPr>
        <w:t>1.10</w:t>
      </w:r>
      <w:r>
        <w:rPr>
          <w:rFonts w:ascii="宋体" w:hAnsi="宋体" w:eastAsia="宋体" w:cs="宋体"/>
          <w:color w:val="auto"/>
          <w:spacing w:val="-5"/>
          <w:sz w:val="24"/>
          <w:szCs w:val="24"/>
          <w:highlight w:val="none"/>
          <w:lang w:eastAsia="zh-CN"/>
        </w:rPr>
        <w:t xml:space="preserve"> </w:t>
      </w:r>
      <w:r>
        <w:rPr>
          <w:rFonts w:ascii="宋体" w:hAnsi="宋体" w:eastAsia="宋体" w:cs="宋体"/>
          <w:b/>
          <w:bCs/>
          <w:color w:val="auto"/>
          <w:spacing w:val="-5"/>
          <w:sz w:val="24"/>
          <w:szCs w:val="24"/>
          <w:highlight w:val="none"/>
          <w:lang w:eastAsia="zh-CN"/>
        </w:rPr>
        <w:t>投标预备会</w:t>
      </w:r>
      <w:bookmarkEnd w:id="40"/>
    </w:p>
    <w:p w14:paraId="59D4004B">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472" w:firstLineChars="200"/>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1.10.1 本次招标不召开投标预备会。</w:t>
      </w:r>
    </w:p>
    <w:p w14:paraId="15F40E68">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499"/>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 xml:space="preserve">1.10.2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应在</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须知前附表规定</w:t>
      </w:r>
      <w:r>
        <w:rPr>
          <w:rFonts w:ascii="宋体" w:hAnsi="宋体" w:eastAsia="宋体" w:cs="宋体"/>
          <w:color w:val="auto"/>
          <w:sz w:val="24"/>
          <w:szCs w:val="24"/>
          <w:highlight w:val="none"/>
          <w:lang w:eastAsia="zh-CN"/>
        </w:rPr>
        <w:t xml:space="preserve">的时间前，以书面形式将提出的问题 </w:t>
      </w:r>
      <w:r>
        <w:rPr>
          <w:rFonts w:ascii="宋体" w:hAnsi="宋体" w:eastAsia="宋体" w:cs="宋体"/>
          <w:color w:val="auto"/>
          <w:spacing w:val="-1"/>
          <w:sz w:val="24"/>
          <w:szCs w:val="24"/>
          <w:highlight w:val="none"/>
          <w:lang w:eastAsia="zh-CN"/>
        </w:rPr>
        <w:t>送达招标代理人。</w:t>
      </w:r>
    </w:p>
    <w:p w14:paraId="4D184E23">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470"/>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1.10.3 采购人在</w:t>
      </w:r>
      <w:r>
        <w:rPr>
          <w:rFonts w:hint="eastAsia" w:ascii="宋体" w:hAnsi="宋体" w:eastAsia="宋体" w:cs="宋体"/>
          <w:color w:val="auto"/>
          <w:spacing w:val="-4"/>
          <w:sz w:val="24"/>
          <w:szCs w:val="24"/>
          <w:highlight w:val="none"/>
          <w:lang w:eastAsia="zh-CN"/>
        </w:rPr>
        <w:t>投标人</w:t>
      </w:r>
      <w:r>
        <w:rPr>
          <w:rFonts w:ascii="宋体" w:hAnsi="宋体" w:eastAsia="宋体" w:cs="宋体"/>
          <w:color w:val="auto"/>
          <w:spacing w:val="-4"/>
          <w:sz w:val="24"/>
          <w:szCs w:val="24"/>
          <w:highlight w:val="none"/>
          <w:lang w:eastAsia="zh-CN"/>
        </w:rPr>
        <w:t>须知前附表规定的时间内，将对</w:t>
      </w:r>
      <w:r>
        <w:rPr>
          <w:rFonts w:hint="eastAsia" w:ascii="宋体" w:hAnsi="宋体" w:eastAsia="宋体" w:cs="宋体"/>
          <w:color w:val="auto"/>
          <w:spacing w:val="-4"/>
          <w:sz w:val="24"/>
          <w:szCs w:val="24"/>
          <w:highlight w:val="none"/>
          <w:lang w:eastAsia="zh-CN"/>
        </w:rPr>
        <w:t>投标人</w:t>
      </w:r>
      <w:r>
        <w:rPr>
          <w:rFonts w:ascii="宋体" w:hAnsi="宋体" w:eastAsia="宋体" w:cs="宋体"/>
          <w:color w:val="auto"/>
          <w:spacing w:val="-4"/>
          <w:sz w:val="24"/>
          <w:szCs w:val="24"/>
          <w:highlight w:val="none"/>
          <w:lang w:eastAsia="zh-CN"/>
        </w:rPr>
        <w:t>所提问题的澄清，</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以书面方式通知所有已</w:t>
      </w:r>
      <w:r>
        <w:rPr>
          <w:rFonts w:hint="eastAsia" w:ascii="宋体" w:hAnsi="宋体" w:eastAsia="宋体" w:cs="宋体"/>
          <w:color w:val="auto"/>
          <w:spacing w:val="-2"/>
          <w:sz w:val="24"/>
          <w:szCs w:val="24"/>
          <w:highlight w:val="none"/>
          <w:lang w:val="en-US" w:eastAsia="zh-CN"/>
        </w:rPr>
        <w:t>获</w:t>
      </w:r>
      <w:r>
        <w:rPr>
          <w:rFonts w:ascii="宋体" w:hAnsi="宋体" w:eastAsia="宋体" w:cs="宋体"/>
          <w:color w:val="auto"/>
          <w:spacing w:val="-2"/>
          <w:sz w:val="24"/>
          <w:szCs w:val="24"/>
          <w:highlight w:val="none"/>
          <w:lang w:eastAsia="zh-CN"/>
        </w:rPr>
        <w:t>取招标文件的</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。该澄清内容为招标文件的组成部分。</w:t>
      </w:r>
    </w:p>
    <w:p w14:paraId="0983DC9B">
      <w:pPr>
        <w:spacing w:before="215" w:line="220" w:lineRule="auto"/>
        <w:ind w:left="499"/>
        <w:outlineLvl w:val="2"/>
        <w:rPr>
          <w:rFonts w:ascii="宋体" w:hAnsi="宋体" w:eastAsia="宋体" w:cs="宋体"/>
          <w:color w:val="auto"/>
          <w:sz w:val="24"/>
          <w:szCs w:val="24"/>
          <w:highlight w:val="none"/>
          <w:lang w:eastAsia="zh-CN"/>
        </w:rPr>
      </w:pPr>
      <w:bookmarkStart w:id="41" w:name="_Toc4819"/>
      <w:r>
        <w:rPr>
          <w:rFonts w:ascii="宋体" w:hAnsi="宋体" w:eastAsia="宋体" w:cs="宋体"/>
          <w:b/>
          <w:bCs/>
          <w:color w:val="auto"/>
          <w:spacing w:val="-9"/>
          <w:sz w:val="24"/>
          <w:szCs w:val="24"/>
          <w:highlight w:val="none"/>
          <w:lang w:eastAsia="zh-CN"/>
        </w:rPr>
        <w:t>1.11</w:t>
      </w:r>
      <w:r>
        <w:rPr>
          <w:rFonts w:ascii="宋体" w:hAnsi="宋体" w:eastAsia="宋体" w:cs="宋体"/>
          <w:color w:val="auto"/>
          <w:spacing w:val="13"/>
          <w:sz w:val="24"/>
          <w:szCs w:val="24"/>
          <w:highlight w:val="none"/>
          <w:lang w:eastAsia="zh-CN"/>
        </w:rPr>
        <w:t xml:space="preserve"> </w:t>
      </w:r>
      <w:r>
        <w:rPr>
          <w:rFonts w:ascii="宋体" w:hAnsi="宋体" w:eastAsia="宋体" w:cs="宋体"/>
          <w:b/>
          <w:bCs/>
          <w:color w:val="auto"/>
          <w:spacing w:val="-9"/>
          <w:sz w:val="24"/>
          <w:szCs w:val="24"/>
          <w:highlight w:val="none"/>
          <w:lang w:eastAsia="zh-CN"/>
        </w:rPr>
        <w:t>分包</w:t>
      </w:r>
      <w:bookmarkEnd w:id="41"/>
    </w:p>
    <w:p w14:paraId="54AB19AA">
      <w:pPr>
        <w:spacing w:before="215" w:line="219" w:lineRule="auto"/>
        <w:ind w:left="48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本次招标项目不允许分包。</w:t>
      </w:r>
    </w:p>
    <w:p w14:paraId="3F9AC3D4">
      <w:pPr>
        <w:pStyle w:val="5"/>
        <w:spacing w:line="255" w:lineRule="auto"/>
        <w:rPr>
          <w:color w:val="auto"/>
          <w:highlight w:val="none"/>
          <w:lang w:eastAsia="zh-CN"/>
        </w:rPr>
      </w:pPr>
    </w:p>
    <w:p w14:paraId="43608562">
      <w:pPr>
        <w:spacing w:before="79" w:line="219" w:lineRule="auto"/>
        <w:ind w:left="484"/>
        <w:outlineLvl w:val="1"/>
        <w:rPr>
          <w:rFonts w:ascii="宋体" w:hAnsi="宋体" w:eastAsia="宋体" w:cs="宋体"/>
          <w:color w:val="auto"/>
          <w:sz w:val="24"/>
          <w:szCs w:val="24"/>
          <w:highlight w:val="none"/>
          <w:lang w:eastAsia="zh-CN"/>
        </w:rPr>
      </w:pPr>
      <w:bookmarkStart w:id="42" w:name="_Toc31804"/>
      <w:r>
        <w:rPr>
          <w:rFonts w:ascii="宋体" w:hAnsi="宋体" w:eastAsia="宋体" w:cs="宋体"/>
          <w:b/>
          <w:bCs/>
          <w:color w:val="auto"/>
          <w:spacing w:val="-4"/>
          <w:sz w:val="24"/>
          <w:szCs w:val="24"/>
          <w:highlight w:val="none"/>
          <w:lang w:eastAsia="zh-CN"/>
        </w:rPr>
        <w:t>2.</w:t>
      </w:r>
      <w:r>
        <w:rPr>
          <w:rFonts w:ascii="宋体" w:hAnsi="宋体" w:eastAsia="宋体" w:cs="宋体"/>
          <w:color w:val="auto"/>
          <w:spacing w:val="-4"/>
          <w:sz w:val="24"/>
          <w:szCs w:val="24"/>
          <w:highlight w:val="none"/>
          <w:lang w:eastAsia="zh-CN"/>
        </w:rPr>
        <w:t xml:space="preserve"> </w:t>
      </w:r>
      <w:r>
        <w:rPr>
          <w:rFonts w:ascii="宋体" w:hAnsi="宋体" w:eastAsia="宋体" w:cs="宋体"/>
          <w:b/>
          <w:bCs/>
          <w:color w:val="auto"/>
          <w:spacing w:val="-4"/>
          <w:sz w:val="24"/>
          <w:szCs w:val="24"/>
          <w:highlight w:val="none"/>
          <w:lang w:eastAsia="zh-CN"/>
        </w:rPr>
        <w:t>招标文件</w:t>
      </w:r>
      <w:bookmarkEnd w:id="42"/>
    </w:p>
    <w:p w14:paraId="6BD5B35B">
      <w:pPr>
        <w:pStyle w:val="5"/>
        <w:spacing w:line="254" w:lineRule="auto"/>
        <w:rPr>
          <w:color w:val="auto"/>
          <w:highlight w:val="none"/>
          <w:lang w:eastAsia="zh-CN"/>
        </w:rPr>
      </w:pPr>
    </w:p>
    <w:p w14:paraId="21DD23A7">
      <w:pPr>
        <w:spacing w:before="79" w:line="219" w:lineRule="auto"/>
        <w:ind w:left="484"/>
        <w:outlineLvl w:val="2"/>
        <w:rPr>
          <w:rFonts w:ascii="宋体" w:hAnsi="宋体" w:eastAsia="宋体" w:cs="宋体"/>
          <w:color w:val="auto"/>
          <w:sz w:val="24"/>
          <w:szCs w:val="24"/>
          <w:highlight w:val="none"/>
          <w:lang w:eastAsia="zh-CN"/>
        </w:rPr>
      </w:pPr>
      <w:bookmarkStart w:id="43" w:name="_Toc12820"/>
      <w:r>
        <w:rPr>
          <w:rFonts w:ascii="宋体" w:hAnsi="宋体" w:eastAsia="宋体" w:cs="宋体"/>
          <w:b/>
          <w:bCs/>
          <w:color w:val="auto"/>
          <w:spacing w:val="-3"/>
          <w:sz w:val="24"/>
          <w:szCs w:val="24"/>
          <w:highlight w:val="none"/>
          <w:lang w:eastAsia="zh-CN"/>
        </w:rPr>
        <w:t>2.1</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招标文件的组成</w:t>
      </w:r>
      <w:bookmarkEnd w:id="43"/>
    </w:p>
    <w:p w14:paraId="700B4930">
      <w:pPr>
        <w:spacing w:before="216" w:line="219" w:lineRule="auto"/>
        <w:ind w:left="48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本招标文件包括：</w:t>
      </w:r>
    </w:p>
    <w:p w14:paraId="155CDDEC">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232" w:firstLineChars="100"/>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（1）</w:t>
      </w:r>
      <w:r>
        <w:rPr>
          <w:rFonts w:ascii="宋体" w:hAnsi="宋体" w:eastAsia="宋体" w:cs="宋体"/>
          <w:color w:val="auto"/>
          <w:spacing w:val="70"/>
          <w:sz w:val="24"/>
          <w:szCs w:val="24"/>
          <w:highlight w:val="none"/>
          <w:lang w:eastAsia="zh-CN"/>
        </w:rPr>
        <w:t xml:space="preserve"> </w:t>
      </w:r>
      <w:r>
        <w:rPr>
          <w:rFonts w:ascii="宋体" w:hAnsi="宋体" w:eastAsia="宋体" w:cs="宋体"/>
          <w:color w:val="auto"/>
          <w:spacing w:val="-4"/>
          <w:sz w:val="24"/>
          <w:szCs w:val="24"/>
          <w:highlight w:val="none"/>
          <w:lang w:eastAsia="zh-CN"/>
        </w:rPr>
        <w:t>招标公告；</w:t>
      </w:r>
    </w:p>
    <w:p w14:paraId="473AE57D">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232" w:firstLineChars="100"/>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（2）</w:t>
      </w:r>
      <w:r>
        <w:rPr>
          <w:rFonts w:ascii="宋体" w:hAnsi="宋体" w:eastAsia="宋体" w:cs="宋体"/>
          <w:color w:val="auto"/>
          <w:spacing w:val="74"/>
          <w:sz w:val="24"/>
          <w:szCs w:val="24"/>
          <w:highlight w:val="none"/>
          <w:lang w:eastAsia="zh-CN"/>
        </w:rPr>
        <w:t xml:space="preserve"> </w:t>
      </w:r>
      <w:r>
        <w:rPr>
          <w:rFonts w:hint="eastAsia" w:ascii="宋体" w:hAnsi="宋体" w:eastAsia="宋体" w:cs="宋体"/>
          <w:color w:val="auto"/>
          <w:spacing w:val="-4"/>
          <w:sz w:val="24"/>
          <w:szCs w:val="24"/>
          <w:highlight w:val="none"/>
          <w:lang w:eastAsia="zh-CN"/>
        </w:rPr>
        <w:t>投标人</w:t>
      </w:r>
      <w:r>
        <w:rPr>
          <w:rFonts w:ascii="宋体" w:hAnsi="宋体" w:eastAsia="宋体" w:cs="宋体"/>
          <w:color w:val="auto"/>
          <w:spacing w:val="-4"/>
          <w:sz w:val="24"/>
          <w:szCs w:val="24"/>
          <w:highlight w:val="none"/>
          <w:lang w:eastAsia="zh-CN"/>
        </w:rPr>
        <w:t>须知；</w:t>
      </w:r>
    </w:p>
    <w:p w14:paraId="2AD2F490">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234" w:firstLineChars="100"/>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（3）</w:t>
      </w:r>
      <w:r>
        <w:rPr>
          <w:rFonts w:ascii="宋体" w:hAnsi="宋体" w:eastAsia="宋体" w:cs="宋体"/>
          <w:color w:val="auto"/>
          <w:spacing w:val="69"/>
          <w:sz w:val="24"/>
          <w:szCs w:val="24"/>
          <w:highlight w:val="none"/>
          <w:lang w:eastAsia="zh-CN"/>
        </w:rPr>
        <w:t xml:space="preserve"> </w:t>
      </w:r>
      <w:r>
        <w:rPr>
          <w:rFonts w:ascii="宋体" w:hAnsi="宋体" w:eastAsia="宋体" w:cs="宋体"/>
          <w:color w:val="auto"/>
          <w:spacing w:val="-3"/>
          <w:sz w:val="24"/>
          <w:szCs w:val="24"/>
          <w:highlight w:val="none"/>
          <w:lang w:eastAsia="zh-CN"/>
        </w:rPr>
        <w:t>评标办法（综合评分法</w:t>
      </w:r>
      <w:r>
        <w:rPr>
          <w:rFonts w:ascii="宋体" w:hAnsi="宋体" w:eastAsia="宋体" w:cs="宋体"/>
          <w:color w:val="auto"/>
          <w:spacing w:val="4"/>
          <w:sz w:val="24"/>
          <w:szCs w:val="24"/>
          <w:highlight w:val="none"/>
          <w:lang w:eastAsia="zh-CN"/>
        </w:rPr>
        <w:t>）；</w:t>
      </w:r>
    </w:p>
    <w:p w14:paraId="312627D9">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234" w:firstLineChars="100"/>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（4）</w:t>
      </w:r>
      <w:r>
        <w:rPr>
          <w:rFonts w:ascii="宋体" w:hAnsi="宋体" w:eastAsia="宋体" w:cs="宋体"/>
          <w:color w:val="auto"/>
          <w:spacing w:val="71"/>
          <w:sz w:val="24"/>
          <w:szCs w:val="24"/>
          <w:highlight w:val="none"/>
          <w:lang w:eastAsia="zh-CN"/>
        </w:rPr>
        <w:t xml:space="preserve"> </w:t>
      </w:r>
      <w:r>
        <w:rPr>
          <w:rFonts w:ascii="宋体" w:hAnsi="宋体" w:eastAsia="宋体" w:cs="宋体"/>
          <w:color w:val="auto"/>
          <w:spacing w:val="-3"/>
          <w:sz w:val="24"/>
          <w:szCs w:val="24"/>
          <w:highlight w:val="none"/>
          <w:lang w:eastAsia="zh-CN"/>
        </w:rPr>
        <w:t>合同条款及格式；</w:t>
      </w:r>
    </w:p>
    <w:p w14:paraId="1A9CD256">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234" w:firstLineChars="100"/>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（5）</w:t>
      </w:r>
      <w:r>
        <w:rPr>
          <w:rFonts w:ascii="宋体" w:hAnsi="宋体" w:eastAsia="宋体" w:cs="宋体"/>
          <w:color w:val="auto"/>
          <w:spacing w:val="71"/>
          <w:sz w:val="24"/>
          <w:szCs w:val="24"/>
          <w:highlight w:val="none"/>
          <w:lang w:eastAsia="zh-CN"/>
        </w:rPr>
        <w:t xml:space="preserve"> 采购内容及技术要求</w:t>
      </w:r>
      <w:r>
        <w:rPr>
          <w:rFonts w:ascii="宋体" w:hAnsi="宋体" w:eastAsia="宋体" w:cs="宋体"/>
          <w:color w:val="auto"/>
          <w:spacing w:val="-3"/>
          <w:sz w:val="24"/>
          <w:szCs w:val="24"/>
          <w:highlight w:val="none"/>
          <w:lang w:eastAsia="zh-CN"/>
        </w:rPr>
        <w:t>；</w:t>
      </w:r>
    </w:p>
    <w:p w14:paraId="1F434F4D">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232" w:firstLineChars="100"/>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（6）</w:t>
      </w:r>
      <w:r>
        <w:rPr>
          <w:rFonts w:ascii="宋体" w:hAnsi="宋体" w:eastAsia="宋体" w:cs="宋体"/>
          <w:color w:val="auto"/>
          <w:spacing w:val="78"/>
          <w:sz w:val="24"/>
          <w:szCs w:val="24"/>
          <w:highlight w:val="none"/>
          <w:lang w:eastAsia="zh-CN"/>
        </w:rPr>
        <w:t xml:space="preserve"> </w:t>
      </w:r>
      <w:r>
        <w:rPr>
          <w:rFonts w:ascii="宋体" w:hAnsi="宋体" w:eastAsia="宋体" w:cs="宋体"/>
          <w:color w:val="auto"/>
          <w:spacing w:val="-4"/>
          <w:sz w:val="24"/>
          <w:szCs w:val="24"/>
          <w:highlight w:val="none"/>
          <w:lang w:eastAsia="zh-CN"/>
        </w:rPr>
        <w:t>投标文件格式；</w:t>
      </w:r>
    </w:p>
    <w:p w14:paraId="03BB33D6">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478"/>
        <w:textAlignment w:val="baseline"/>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根据本章第</w:t>
      </w:r>
      <w:r>
        <w:rPr>
          <w:rFonts w:ascii="宋体" w:hAnsi="宋体" w:eastAsia="宋体" w:cs="宋体"/>
          <w:color w:val="auto"/>
          <w:spacing w:val="29"/>
          <w:sz w:val="24"/>
          <w:szCs w:val="24"/>
          <w:highlight w:val="none"/>
          <w:lang w:eastAsia="zh-CN"/>
        </w:rPr>
        <w:t xml:space="preserve"> </w:t>
      </w:r>
      <w:r>
        <w:rPr>
          <w:rFonts w:ascii="宋体" w:hAnsi="宋体" w:eastAsia="宋体" w:cs="宋体"/>
          <w:color w:val="auto"/>
          <w:sz w:val="24"/>
          <w:szCs w:val="24"/>
          <w:highlight w:val="none"/>
          <w:lang w:eastAsia="zh-CN"/>
        </w:rPr>
        <w:t>1.10 款、第 2.2 款和第</w:t>
      </w:r>
      <w:r>
        <w:rPr>
          <w:rFonts w:ascii="宋体" w:hAnsi="宋体" w:eastAsia="宋体" w:cs="宋体"/>
          <w:color w:val="auto"/>
          <w:spacing w:val="-45"/>
          <w:sz w:val="24"/>
          <w:szCs w:val="24"/>
          <w:highlight w:val="none"/>
          <w:lang w:eastAsia="zh-CN"/>
        </w:rPr>
        <w:t xml:space="preserve"> </w:t>
      </w:r>
      <w:r>
        <w:rPr>
          <w:rFonts w:ascii="宋体" w:hAnsi="宋体" w:eastAsia="宋体" w:cs="宋体"/>
          <w:color w:val="auto"/>
          <w:sz w:val="24"/>
          <w:szCs w:val="24"/>
          <w:highlight w:val="none"/>
          <w:lang w:eastAsia="zh-CN"/>
        </w:rPr>
        <w:t>2.</w:t>
      </w:r>
      <w:r>
        <w:rPr>
          <w:rFonts w:ascii="宋体" w:hAnsi="宋体" w:eastAsia="宋体" w:cs="宋体"/>
          <w:color w:val="auto"/>
          <w:spacing w:val="-1"/>
          <w:sz w:val="24"/>
          <w:szCs w:val="24"/>
          <w:highlight w:val="none"/>
          <w:lang w:eastAsia="zh-CN"/>
        </w:rPr>
        <w:t>3</w:t>
      </w:r>
      <w:r>
        <w:rPr>
          <w:rFonts w:ascii="宋体" w:hAnsi="宋体" w:eastAsia="宋体" w:cs="宋体"/>
          <w:color w:val="auto"/>
          <w:spacing w:val="-50"/>
          <w:sz w:val="24"/>
          <w:szCs w:val="24"/>
          <w:highlight w:val="none"/>
          <w:lang w:eastAsia="zh-CN"/>
        </w:rPr>
        <w:t xml:space="preserve"> </w:t>
      </w:r>
      <w:r>
        <w:rPr>
          <w:rFonts w:ascii="宋体" w:hAnsi="宋体" w:eastAsia="宋体" w:cs="宋体"/>
          <w:color w:val="auto"/>
          <w:spacing w:val="-1"/>
          <w:sz w:val="24"/>
          <w:szCs w:val="24"/>
          <w:highlight w:val="none"/>
          <w:lang w:eastAsia="zh-CN"/>
        </w:rPr>
        <w:t>款对招标文件所作的澄清、修改，构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成招标文件的组成部分。</w:t>
      </w:r>
    </w:p>
    <w:p w14:paraId="73ADE2C6">
      <w:pPr>
        <w:spacing w:before="204" w:line="219" w:lineRule="auto"/>
        <w:ind w:left="482"/>
        <w:outlineLvl w:val="2"/>
        <w:rPr>
          <w:rFonts w:ascii="宋体" w:hAnsi="宋体" w:eastAsia="宋体" w:cs="宋体"/>
          <w:color w:val="auto"/>
          <w:sz w:val="24"/>
          <w:szCs w:val="24"/>
          <w:highlight w:val="none"/>
          <w:lang w:eastAsia="zh-CN"/>
        </w:rPr>
      </w:pPr>
      <w:bookmarkStart w:id="44" w:name="_Toc3327"/>
      <w:r>
        <w:rPr>
          <w:rFonts w:ascii="宋体" w:hAnsi="宋体" w:eastAsia="宋体" w:cs="宋体"/>
          <w:b/>
          <w:bCs/>
          <w:color w:val="auto"/>
          <w:spacing w:val="-3"/>
          <w:sz w:val="24"/>
          <w:szCs w:val="24"/>
          <w:highlight w:val="none"/>
          <w:lang w:eastAsia="zh-CN"/>
        </w:rPr>
        <w:t>2.2</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招标文件的澄清</w:t>
      </w:r>
      <w:bookmarkEnd w:id="44"/>
    </w:p>
    <w:p w14:paraId="4F2D18E3">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482"/>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 xml:space="preserve">2.2.1 </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应仔细阅读和检查招标文件的全部内容。如发现缺页或附件不全，</w:t>
      </w:r>
      <w:r>
        <w:rPr>
          <w:rFonts w:ascii="宋体" w:hAnsi="宋体" w:eastAsia="宋体" w:cs="宋体"/>
          <w:color w:val="auto"/>
          <w:spacing w:val="4"/>
          <w:sz w:val="24"/>
          <w:szCs w:val="24"/>
          <w:highlight w:val="none"/>
          <w:lang w:eastAsia="zh-CN"/>
        </w:rPr>
        <w:t xml:space="preserve"> </w:t>
      </w:r>
      <w:r>
        <w:rPr>
          <w:rFonts w:ascii="宋体" w:hAnsi="宋体" w:eastAsia="宋体" w:cs="宋体"/>
          <w:color w:val="auto"/>
          <w:spacing w:val="-2"/>
          <w:sz w:val="24"/>
          <w:szCs w:val="24"/>
          <w:highlight w:val="none"/>
          <w:lang w:eastAsia="zh-CN"/>
        </w:rPr>
        <w:t>应及时向采购人提出，以便补齐。如有疑问，应在</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须知前附表规</w:t>
      </w:r>
      <w:r>
        <w:rPr>
          <w:rFonts w:ascii="宋体" w:hAnsi="宋体" w:eastAsia="宋体" w:cs="宋体"/>
          <w:color w:val="auto"/>
          <w:spacing w:val="-3"/>
          <w:sz w:val="24"/>
          <w:szCs w:val="24"/>
          <w:highlight w:val="none"/>
          <w:lang w:eastAsia="zh-CN"/>
        </w:rPr>
        <w:t>定的时间前以</w:t>
      </w:r>
      <w:r>
        <w:rPr>
          <w:rFonts w:ascii="宋体" w:hAnsi="宋体" w:eastAsia="宋体" w:cs="宋体"/>
          <w:color w:val="auto"/>
          <w:spacing w:val="-1"/>
          <w:sz w:val="24"/>
          <w:szCs w:val="24"/>
          <w:highlight w:val="none"/>
          <w:lang w:eastAsia="zh-CN"/>
        </w:rPr>
        <w:t>书面形式，要求采购人对招标文件予以澄清。</w:t>
      </w:r>
    </w:p>
    <w:p w14:paraId="79BDCEAD">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481"/>
        <w:textAlignment w:val="baseline"/>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2.2.2 招标文件的澄清将在</w:t>
      </w:r>
      <w:r>
        <w:rPr>
          <w:rFonts w:hint="eastAsia" w:ascii="宋体" w:hAnsi="宋体" w:eastAsia="宋体" w:cs="宋体"/>
          <w:color w:val="auto"/>
          <w:sz w:val="24"/>
          <w:szCs w:val="24"/>
          <w:highlight w:val="none"/>
          <w:lang w:eastAsia="zh-CN"/>
        </w:rPr>
        <w:t>投标人</w:t>
      </w:r>
      <w:r>
        <w:rPr>
          <w:rFonts w:ascii="宋体" w:hAnsi="宋体" w:eastAsia="宋体" w:cs="宋体"/>
          <w:color w:val="auto"/>
          <w:sz w:val="24"/>
          <w:szCs w:val="24"/>
          <w:highlight w:val="none"/>
          <w:lang w:eastAsia="zh-CN"/>
        </w:rPr>
        <w:t>须知前附表规定的投标</w:t>
      </w:r>
      <w:r>
        <w:rPr>
          <w:rFonts w:ascii="宋体" w:hAnsi="宋体" w:eastAsia="宋体" w:cs="宋体"/>
          <w:color w:val="auto"/>
          <w:spacing w:val="-1"/>
          <w:sz w:val="24"/>
          <w:szCs w:val="24"/>
          <w:highlight w:val="none"/>
          <w:lang w:eastAsia="zh-CN"/>
        </w:rPr>
        <w:t>截止时间</w:t>
      </w:r>
      <w:r>
        <w:rPr>
          <w:rFonts w:ascii="宋体" w:hAnsi="宋体" w:eastAsia="宋体" w:cs="宋体"/>
          <w:color w:val="auto"/>
          <w:spacing w:val="-30"/>
          <w:sz w:val="24"/>
          <w:szCs w:val="24"/>
          <w:highlight w:val="none"/>
          <w:lang w:eastAsia="zh-CN"/>
        </w:rPr>
        <w:t xml:space="preserve"> </w:t>
      </w:r>
      <w:r>
        <w:rPr>
          <w:rFonts w:ascii="宋体" w:hAnsi="宋体" w:eastAsia="宋体" w:cs="宋体"/>
          <w:color w:val="auto"/>
          <w:spacing w:val="-1"/>
          <w:sz w:val="24"/>
          <w:szCs w:val="24"/>
          <w:highlight w:val="none"/>
          <w:lang w:eastAsia="zh-CN"/>
        </w:rPr>
        <w:t>15</w:t>
      </w:r>
      <w:r>
        <w:rPr>
          <w:rFonts w:ascii="宋体" w:hAnsi="宋体" w:eastAsia="宋体" w:cs="宋体"/>
          <w:color w:val="auto"/>
          <w:spacing w:val="-43"/>
          <w:sz w:val="24"/>
          <w:szCs w:val="24"/>
          <w:highlight w:val="none"/>
          <w:lang w:eastAsia="zh-CN"/>
        </w:rPr>
        <w:t xml:space="preserve"> </w:t>
      </w:r>
      <w:r>
        <w:rPr>
          <w:rFonts w:ascii="宋体" w:hAnsi="宋体" w:eastAsia="宋体" w:cs="宋体"/>
          <w:color w:val="auto"/>
          <w:spacing w:val="-1"/>
          <w:sz w:val="24"/>
          <w:szCs w:val="24"/>
          <w:highlight w:val="none"/>
          <w:lang w:eastAsia="zh-CN"/>
        </w:rPr>
        <w:t>天前以书</w:t>
      </w:r>
      <w:r>
        <w:rPr>
          <w:rFonts w:ascii="宋体" w:hAnsi="宋体" w:eastAsia="宋体" w:cs="宋体"/>
          <w:color w:val="auto"/>
          <w:spacing w:val="-2"/>
          <w:sz w:val="24"/>
          <w:szCs w:val="24"/>
          <w:highlight w:val="none"/>
          <w:lang w:eastAsia="zh-CN"/>
        </w:rPr>
        <w:t>面形式发给所有</w:t>
      </w:r>
      <w:r>
        <w:rPr>
          <w:rFonts w:hint="eastAsia" w:ascii="宋体" w:hAnsi="宋体" w:eastAsia="宋体" w:cs="宋体"/>
          <w:color w:val="auto"/>
          <w:spacing w:val="-2"/>
          <w:sz w:val="24"/>
          <w:szCs w:val="24"/>
          <w:highlight w:val="none"/>
          <w:lang w:val="en-US" w:eastAsia="zh-CN"/>
        </w:rPr>
        <w:t>获取</w:t>
      </w:r>
      <w:r>
        <w:rPr>
          <w:rFonts w:ascii="宋体" w:hAnsi="宋体" w:eastAsia="宋体" w:cs="宋体"/>
          <w:color w:val="auto"/>
          <w:spacing w:val="-2"/>
          <w:sz w:val="24"/>
          <w:szCs w:val="24"/>
          <w:highlight w:val="none"/>
          <w:lang w:eastAsia="zh-CN"/>
        </w:rPr>
        <w:t>招标文件的</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，但不指明澄清问题的来源。</w:t>
      </w:r>
      <w:r>
        <w:rPr>
          <w:rFonts w:ascii="宋体" w:hAnsi="宋体" w:eastAsia="宋体" w:cs="宋体"/>
          <w:color w:val="auto"/>
          <w:spacing w:val="-3"/>
          <w:sz w:val="24"/>
          <w:szCs w:val="24"/>
          <w:highlight w:val="none"/>
          <w:lang w:eastAsia="zh-CN"/>
        </w:rPr>
        <w:t>如果澄清发出的</w:t>
      </w:r>
      <w:r>
        <w:rPr>
          <w:rFonts w:ascii="宋体" w:hAnsi="宋体" w:eastAsia="宋体" w:cs="宋体"/>
          <w:color w:val="auto"/>
          <w:spacing w:val="-1"/>
          <w:sz w:val="24"/>
          <w:szCs w:val="24"/>
          <w:highlight w:val="none"/>
          <w:lang w:eastAsia="zh-CN"/>
        </w:rPr>
        <w:t>时间距投标截止时间不足 15 天，相应延长投标截止时间。</w:t>
      </w:r>
    </w:p>
    <w:p w14:paraId="62165CBC">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478"/>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 xml:space="preserve">2.2.3 </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在收到澄清后，应在</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须知前附表规定的时间</w:t>
      </w:r>
      <w:r>
        <w:rPr>
          <w:rFonts w:ascii="宋体" w:hAnsi="宋体" w:eastAsia="宋体" w:cs="宋体"/>
          <w:color w:val="auto"/>
          <w:spacing w:val="-3"/>
          <w:sz w:val="24"/>
          <w:szCs w:val="24"/>
          <w:highlight w:val="none"/>
          <w:lang w:eastAsia="zh-CN"/>
        </w:rPr>
        <w:t>内以书面形式通</w:t>
      </w:r>
      <w:r>
        <w:rPr>
          <w:rFonts w:ascii="宋体" w:hAnsi="宋体" w:eastAsia="宋体" w:cs="宋体"/>
          <w:color w:val="auto"/>
          <w:spacing w:val="-2"/>
          <w:sz w:val="24"/>
          <w:szCs w:val="24"/>
          <w:highlight w:val="none"/>
          <w:lang w:eastAsia="zh-CN"/>
        </w:rPr>
        <w:t>知采购人，确认已收到该澄清。</w:t>
      </w:r>
    </w:p>
    <w:p w14:paraId="404A5157">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textAlignment w:val="baseline"/>
        <w:outlineLvl w:val="2"/>
        <w:rPr>
          <w:rFonts w:ascii="宋体" w:hAnsi="宋体" w:eastAsia="宋体" w:cs="宋体"/>
          <w:color w:val="auto"/>
          <w:sz w:val="24"/>
          <w:szCs w:val="24"/>
          <w:highlight w:val="none"/>
          <w:lang w:eastAsia="zh-CN"/>
        </w:rPr>
      </w:pPr>
      <w:bookmarkStart w:id="45" w:name="_Toc20187"/>
      <w:r>
        <w:rPr>
          <w:rFonts w:ascii="宋体" w:hAnsi="宋体" w:eastAsia="宋体" w:cs="宋体"/>
          <w:b/>
          <w:bCs/>
          <w:color w:val="auto"/>
          <w:spacing w:val="-3"/>
          <w:sz w:val="24"/>
          <w:szCs w:val="24"/>
          <w:highlight w:val="none"/>
          <w:lang w:eastAsia="zh-CN"/>
        </w:rPr>
        <w:t>2.3</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招标文件的修改</w:t>
      </w:r>
      <w:bookmarkEnd w:id="45"/>
    </w:p>
    <w:p w14:paraId="1F083033">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482"/>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2.3.1  在投标截止时间</w:t>
      </w:r>
      <w:r>
        <w:rPr>
          <w:rFonts w:ascii="宋体" w:hAnsi="宋体" w:eastAsia="宋体" w:cs="宋体"/>
          <w:color w:val="auto"/>
          <w:spacing w:val="42"/>
          <w:sz w:val="24"/>
          <w:szCs w:val="24"/>
          <w:highlight w:val="none"/>
          <w:lang w:eastAsia="zh-CN"/>
        </w:rPr>
        <w:t xml:space="preserve"> </w:t>
      </w:r>
      <w:r>
        <w:rPr>
          <w:rFonts w:ascii="宋体" w:hAnsi="宋体" w:eastAsia="宋体" w:cs="宋体"/>
          <w:color w:val="auto"/>
          <w:spacing w:val="1"/>
          <w:sz w:val="24"/>
          <w:szCs w:val="24"/>
          <w:highlight w:val="none"/>
          <w:lang w:eastAsia="zh-CN"/>
        </w:rPr>
        <w:t>15</w:t>
      </w:r>
      <w:r>
        <w:rPr>
          <w:rFonts w:ascii="宋体" w:hAnsi="宋体" w:eastAsia="宋体" w:cs="宋体"/>
          <w:color w:val="auto"/>
          <w:spacing w:val="-43"/>
          <w:sz w:val="24"/>
          <w:szCs w:val="24"/>
          <w:highlight w:val="none"/>
          <w:lang w:eastAsia="zh-CN"/>
        </w:rPr>
        <w:t xml:space="preserve"> </w:t>
      </w:r>
      <w:r>
        <w:rPr>
          <w:rFonts w:ascii="宋体" w:hAnsi="宋体" w:eastAsia="宋体" w:cs="宋体"/>
          <w:color w:val="auto"/>
          <w:spacing w:val="1"/>
          <w:sz w:val="24"/>
          <w:szCs w:val="24"/>
          <w:highlight w:val="none"/>
          <w:lang w:eastAsia="zh-CN"/>
        </w:rPr>
        <w:t>天前，采购人可以书面形式修改招标文件，并通知</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所有已</w:t>
      </w:r>
      <w:r>
        <w:rPr>
          <w:rFonts w:hint="eastAsia" w:ascii="宋体" w:hAnsi="宋体" w:eastAsia="宋体" w:cs="宋体"/>
          <w:color w:val="auto"/>
          <w:spacing w:val="-3"/>
          <w:sz w:val="24"/>
          <w:szCs w:val="24"/>
          <w:highlight w:val="none"/>
          <w:lang w:val="en-US" w:eastAsia="zh-CN"/>
        </w:rPr>
        <w:t>获取</w:t>
      </w:r>
      <w:r>
        <w:rPr>
          <w:rFonts w:ascii="宋体" w:hAnsi="宋体" w:eastAsia="宋体" w:cs="宋体"/>
          <w:color w:val="auto"/>
          <w:spacing w:val="-3"/>
          <w:sz w:val="24"/>
          <w:szCs w:val="24"/>
          <w:highlight w:val="none"/>
          <w:lang w:eastAsia="zh-CN"/>
        </w:rPr>
        <w:t>招标文件的</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。如果修改招标文</w:t>
      </w:r>
      <w:r>
        <w:rPr>
          <w:rFonts w:ascii="宋体" w:hAnsi="宋体" w:eastAsia="宋体" w:cs="宋体"/>
          <w:color w:val="auto"/>
          <w:spacing w:val="-4"/>
          <w:sz w:val="24"/>
          <w:szCs w:val="24"/>
          <w:highlight w:val="none"/>
          <w:lang w:eastAsia="zh-CN"/>
        </w:rPr>
        <w:t>件的时间距投标截止时间不足 15 天，</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相应延长投标截止时间。</w:t>
      </w:r>
    </w:p>
    <w:p w14:paraId="26737BE6">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484" w:firstLineChars="200"/>
        <w:textAlignment w:val="baseline"/>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 xml:space="preserve">2.3.2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收到修改内容后，应在</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须知前附表规定的时间内以书</w:t>
      </w:r>
      <w:r>
        <w:rPr>
          <w:rFonts w:ascii="宋体" w:hAnsi="宋体" w:eastAsia="宋体" w:cs="宋体"/>
          <w:color w:val="auto"/>
          <w:sz w:val="24"/>
          <w:szCs w:val="24"/>
          <w:highlight w:val="none"/>
          <w:lang w:eastAsia="zh-CN"/>
        </w:rPr>
        <w:t>面形</w:t>
      </w:r>
      <w:r>
        <w:rPr>
          <w:rFonts w:ascii="宋体" w:hAnsi="宋体" w:eastAsia="宋体" w:cs="宋体"/>
          <w:color w:val="auto"/>
          <w:spacing w:val="-1"/>
          <w:sz w:val="24"/>
          <w:szCs w:val="24"/>
          <w:highlight w:val="none"/>
          <w:lang w:eastAsia="zh-CN"/>
        </w:rPr>
        <w:t>式通知采购人，确认已收到该修改。</w:t>
      </w:r>
    </w:p>
    <w:p w14:paraId="2DFFCA9E">
      <w:pPr>
        <w:pStyle w:val="5"/>
        <w:spacing w:line="258" w:lineRule="auto"/>
        <w:rPr>
          <w:color w:val="auto"/>
          <w:highlight w:val="none"/>
          <w:lang w:eastAsia="zh-CN"/>
        </w:rPr>
      </w:pPr>
    </w:p>
    <w:p w14:paraId="0F576D25">
      <w:pPr>
        <w:spacing w:before="78" w:line="219" w:lineRule="auto"/>
        <w:ind w:left="484"/>
        <w:outlineLvl w:val="1"/>
        <w:rPr>
          <w:rFonts w:ascii="宋体" w:hAnsi="宋体" w:eastAsia="宋体" w:cs="宋体"/>
          <w:color w:val="auto"/>
          <w:sz w:val="24"/>
          <w:szCs w:val="24"/>
          <w:highlight w:val="none"/>
          <w:lang w:eastAsia="zh-CN"/>
        </w:rPr>
      </w:pPr>
      <w:bookmarkStart w:id="46" w:name="_Toc31136"/>
      <w:r>
        <w:rPr>
          <w:rFonts w:ascii="宋体" w:hAnsi="宋体" w:eastAsia="宋体" w:cs="宋体"/>
          <w:b/>
          <w:bCs/>
          <w:color w:val="auto"/>
          <w:spacing w:val="-7"/>
          <w:sz w:val="24"/>
          <w:szCs w:val="24"/>
          <w:highlight w:val="none"/>
          <w:lang w:eastAsia="zh-CN"/>
        </w:rPr>
        <w:t>3.</w:t>
      </w:r>
      <w:r>
        <w:rPr>
          <w:rFonts w:ascii="宋体" w:hAnsi="宋体" w:eastAsia="宋体" w:cs="宋体"/>
          <w:color w:val="auto"/>
          <w:spacing w:val="14"/>
          <w:sz w:val="24"/>
          <w:szCs w:val="24"/>
          <w:highlight w:val="none"/>
          <w:lang w:eastAsia="zh-CN"/>
        </w:rPr>
        <w:t xml:space="preserve"> </w:t>
      </w:r>
      <w:r>
        <w:rPr>
          <w:rFonts w:ascii="宋体" w:hAnsi="宋体" w:eastAsia="宋体" w:cs="宋体"/>
          <w:b/>
          <w:bCs/>
          <w:color w:val="auto"/>
          <w:spacing w:val="-7"/>
          <w:sz w:val="24"/>
          <w:szCs w:val="24"/>
          <w:highlight w:val="none"/>
          <w:lang w:eastAsia="zh-CN"/>
        </w:rPr>
        <w:t>投标文件</w:t>
      </w:r>
      <w:bookmarkEnd w:id="46"/>
    </w:p>
    <w:p w14:paraId="6A210E08">
      <w:pPr>
        <w:pStyle w:val="5"/>
        <w:spacing w:line="254" w:lineRule="auto"/>
        <w:rPr>
          <w:color w:val="auto"/>
          <w:highlight w:val="none"/>
          <w:lang w:eastAsia="zh-CN"/>
        </w:rPr>
      </w:pPr>
    </w:p>
    <w:p w14:paraId="16817C6E">
      <w:pPr>
        <w:spacing w:before="79" w:line="219" w:lineRule="auto"/>
        <w:ind w:left="484"/>
        <w:outlineLvl w:val="2"/>
        <w:rPr>
          <w:rFonts w:ascii="宋体" w:hAnsi="宋体" w:eastAsia="宋体" w:cs="宋体"/>
          <w:color w:val="auto"/>
          <w:sz w:val="24"/>
          <w:szCs w:val="24"/>
          <w:highlight w:val="none"/>
          <w:lang w:eastAsia="zh-CN"/>
        </w:rPr>
      </w:pPr>
      <w:bookmarkStart w:id="47" w:name="_Toc12208"/>
      <w:r>
        <w:rPr>
          <w:rFonts w:ascii="宋体" w:hAnsi="宋体" w:eastAsia="宋体" w:cs="宋体"/>
          <w:b/>
          <w:bCs/>
          <w:color w:val="auto"/>
          <w:spacing w:val="-3"/>
          <w:sz w:val="24"/>
          <w:szCs w:val="24"/>
          <w:highlight w:val="none"/>
          <w:lang w:eastAsia="zh-CN"/>
        </w:rPr>
        <w:t>3.1</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投标文件的组成</w:t>
      </w:r>
      <w:bookmarkEnd w:id="47"/>
    </w:p>
    <w:p w14:paraId="6D3C908E">
      <w:pPr>
        <w:spacing w:before="214" w:line="219" w:lineRule="auto"/>
        <w:ind w:left="484"/>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3.1.1 投标文件应包括下列内容：</w:t>
      </w:r>
    </w:p>
    <w:p w14:paraId="3664E006">
      <w:pPr>
        <w:spacing w:before="217" w:line="220" w:lineRule="auto"/>
        <w:ind w:left="483"/>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一、投标函及开标一览表</w:t>
      </w:r>
    </w:p>
    <w:p w14:paraId="667EC543">
      <w:pPr>
        <w:spacing w:before="213" w:line="220"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（一）投标函</w:t>
      </w:r>
    </w:p>
    <w:p w14:paraId="6F801028">
      <w:pPr>
        <w:spacing w:before="213" w:line="220"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（二）开标一览表</w:t>
      </w:r>
    </w:p>
    <w:p w14:paraId="20F85CAD">
      <w:pPr>
        <w:spacing w:before="216" w:line="218" w:lineRule="auto"/>
        <w:ind w:left="491"/>
        <w:rPr>
          <w:rFonts w:ascii="宋体" w:hAnsi="宋体" w:eastAsia="宋体" w:cs="宋体"/>
          <w:color w:val="auto"/>
          <w:spacing w:val="-3"/>
          <w:sz w:val="24"/>
          <w:szCs w:val="24"/>
          <w:highlight w:val="none"/>
          <w:lang w:eastAsia="zh-CN"/>
        </w:rPr>
      </w:pPr>
      <w:r>
        <w:rPr>
          <w:rFonts w:ascii="宋体" w:hAnsi="宋体" w:eastAsia="宋体" w:cs="宋体"/>
          <w:color w:val="auto"/>
          <w:spacing w:val="-3"/>
          <w:sz w:val="24"/>
          <w:szCs w:val="24"/>
          <w:highlight w:val="none"/>
          <w:lang w:eastAsia="zh-CN"/>
        </w:rPr>
        <w:t>（三）报价明细表</w:t>
      </w:r>
    </w:p>
    <w:p w14:paraId="560799D4">
      <w:pPr>
        <w:spacing w:before="216" w:line="218" w:lineRule="auto"/>
        <w:ind w:left="491"/>
        <w:rPr>
          <w:rFonts w:ascii="宋体" w:hAnsi="宋体" w:eastAsia="宋体" w:cs="宋体"/>
          <w:color w:val="auto"/>
          <w:spacing w:val="-3"/>
          <w:sz w:val="24"/>
          <w:szCs w:val="24"/>
          <w:highlight w:val="none"/>
          <w:lang w:eastAsia="zh-CN"/>
        </w:rPr>
      </w:pPr>
      <w:r>
        <w:rPr>
          <w:rFonts w:ascii="宋体" w:hAnsi="宋体" w:eastAsia="宋体" w:cs="宋体"/>
          <w:color w:val="auto"/>
          <w:spacing w:val="-3"/>
          <w:sz w:val="24"/>
          <w:szCs w:val="24"/>
          <w:highlight w:val="none"/>
          <w:lang w:eastAsia="zh-CN"/>
        </w:rPr>
        <w:t>（四）技术偏离表</w:t>
      </w:r>
    </w:p>
    <w:p w14:paraId="0A33D679">
      <w:pPr>
        <w:spacing w:before="216" w:line="218" w:lineRule="auto"/>
        <w:ind w:left="491"/>
        <w:rPr>
          <w:rFonts w:ascii="宋体" w:hAnsi="宋体" w:eastAsia="宋体" w:cs="宋体"/>
          <w:color w:val="auto"/>
          <w:spacing w:val="9"/>
          <w:sz w:val="24"/>
          <w:szCs w:val="24"/>
          <w:highlight w:val="none"/>
          <w:lang w:eastAsia="zh-CN"/>
        </w:rPr>
      </w:pPr>
      <w:r>
        <w:rPr>
          <w:rFonts w:ascii="宋体" w:hAnsi="宋体" w:eastAsia="宋体" w:cs="宋体"/>
          <w:color w:val="auto"/>
          <w:spacing w:val="-2"/>
          <w:sz w:val="24"/>
          <w:szCs w:val="24"/>
          <w:highlight w:val="none"/>
          <w:lang w:eastAsia="zh-CN"/>
        </w:rPr>
        <w:t>二、法定代表人身份证明书</w:t>
      </w:r>
      <w:r>
        <w:rPr>
          <w:rFonts w:ascii="宋体" w:hAnsi="宋体" w:eastAsia="宋体" w:cs="宋体"/>
          <w:color w:val="auto"/>
          <w:spacing w:val="9"/>
          <w:sz w:val="24"/>
          <w:szCs w:val="24"/>
          <w:highlight w:val="none"/>
          <w:lang w:eastAsia="zh-CN"/>
        </w:rPr>
        <w:t xml:space="preserve"> </w:t>
      </w:r>
    </w:p>
    <w:p w14:paraId="401D9842">
      <w:pPr>
        <w:spacing w:before="216" w:line="218" w:lineRule="auto"/>
        <w:ind w:left="491"/>
        <w:rPr>
          <w:rFonts w:ascii="宋体" w:hAnsi="宋体" w:eastAsia="宋体" w:cs="宋体"/>
          <w:color w:val="auto"/>
          <w:spacing w:val="-2"/>
          <w:sz w:val="24"/>
          <w:szCs w:val="24"/>
          <w:highlight w:val="none"/>
          <w:lang w:eastAsia="zh-CN"/>
        </w:rPr>
      </w:pPr>
      <w:r>
        <w:rPr>
          <w:rFonts w:ascii="宋体" w:hAnsi="宋体" w:eastAsia="宋体" w:cs="宋体"/>
          <w:color w:val="auto"/>
          <w:spacing w:val="-2"/>
          <w:sz w:val="24"/>
          <w:szCs w:val="24"/>
          <w:highlight w:val="none"/>
          <w:lang w:eastAsia="zh-CN"/>
        </w:rPr>
        <w:t>三、授权委托书</w:t>
      </w:r>
    </w:p>
    <w:p w14:paraId="25E16F07">
      <w:pPr>
        <w:spacing w:before="216" w:line="218"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四、项目实施方案等</w:t>
      </w:r>
    </w:p>
    <w:p w14:paraId="045F34D7">
      <w:pPr>
        <w:spacing w:before="214" w:line="219" w:lineRule="auto"/>
        <w:ind w:left="483"/>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五、</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资格证明承诺函</w:t>
      </w:r>
    </w:p>
    <w:p w14:paraId="57F856D0">
      <w:pPr>
        <w:spacing w:before="214" w:line="219" w:lineRule="auto"/>
        <w:ind w:left="48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六、</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服务承诺和优惠承诺</w:t>
      </w:r>
    </w:p>
    <w:p w14:paraId="0EE7A2FE">
      <w:pPr>
        <w:spacing w:before="203" w:line="219" w:lineRule="auto"/>
        <w:ind w:left="480"/>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七、</w:t>
      </w:r>
      <w:r>
        <w:rPr>
          <w:rFonts w:hint="eastAsia" w:ascii="宋体" w:hAnsi="宋体" w:eastAsia="宋体" w:cs="宋体"/>
          <w:color w:val="auto"/>
          <w:sz w:val="24"/>
          <w:szCs w:val="24"/>
          <w:highlight w:val="none"/>
          <w:lang w:eastAsia="zh-CN"/>
        </w:rPr>
        <w:t>投标人</w:t>
      </w:r>
      <w:r>
        <w:rPr>
          <w:rFonts w:ascii="宋体" w:hAnsi="宋体" w:eastAsia="宋体" w:cs="宋体"/>
          <w:color w:val="auto"/>
          <w:sz w:val="24"/>
          <w:szCs w:val="24"/>
          <w:highlight w:val="none"/>
          <w:lang w:eastAsia="zh-CN"/>
        </w:rPr>
        <w:t>所投产品属于当期政府采购清单规定的节能</w:t>
      </w:r>
      <w:r>
        <w:rPr>
          <w:rFonts w:ascii="宋体" w:hAnsi="宋体" w:eastAsia="宋体" w:cs="宋体"/>
          <w:color w:val="auto"/>
          <w:spacing w:val="-1"/>
          <w:sz w:val="24"/>
          <w:szCs w:val="24"/>
          <w:highlight w:val="none"/>
          <w:lang w:eastAsia="zh-CN"/>
        </w:rPr>
        <w:t>环保产品的证明材料；</w:t>
      </w:r>
    </w:p>
    <w:p w14:paraId="777081BE">
      <w:pPr>
        <w:spacing w:before="215" w:line="219" w:lineRule="auto"/>
        <w:ind w:left="484"/>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八、中小企业声明函（如为中小企业</w:t>
      </w:r>
      <w:r>
        <w:rPr>
          <w:rFonts w:ascii="宋体" w:hAnsi="宋体" w:eastAsia="宋体" w:cs="宋体"/>
          <w:color w:val="auto"/>
          <w:sz w:val="24"/>
          <w:szCs w:val="24"/>
          <w:highlight w:val="none"/>
          <w:lang w:eastAsia="zh-CN"/>
        </w:rPr>
        <w:t>）；</w:t>
      </w:r>
    </w:p>
    <w:p w14:paraId="7E0A5941">
      <w:pPr>
        <w:spacing w:before="214" w:line="219" w:lineRule="auto"/>
        <w:ind w:left="486"/>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九、残疾人福利性单位声明函（如有</w:t>
      </w:r>
      <w:r>
        <w:rPr>
          <w:rFonts w:ascii="宋体" w:hAnsi="宋体" w:eastAsia="宋体" w:cs="宋体"/>
          <w:color w:val="auto"/>
          <w:sz w:val="24"/>
          <w:szCs w:val="24"/>
          <w:highlight w:val="none"/>
          <w:lang w:eastAsia="zh-CN"/>
        </w:rPr>
        <w:t>）；</w:t>
      </w:r>
    </w:p>
    <w:p w14:paraId="16284671">
      <w:pPr>
        <w:spacing w:before="216" w:line="219" w:lineRule="auto"/>
        <w:ind w:left="48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十、招标文件要求的或</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认为须提交的其他材料。</w:t>
      </w:r>
    </w:p>
    <w:p w14:paraId="613DE594">
      <w:pPr>
        <w:spacing w:before="187" w:line="431" w:lineRule="auto"/>
        <w:ind w:firstLine="480"/>
        <w:jc w:val="both"/>
        <w:rPr>
          <w:rFonts w:ascii="宋体" w:hAnsi="宋体" w:eastAsia="宋体" w:cs="宋体"/>
          <w:color w:val="auto"/>
          <w:sz w:val="24"/>
          <w:szCs w:val="24"/>
          <w:highlight w:val="none"/>
          <w:lang w:eastAsia="zh-CN"/>
        </w:rPr>
      </w:pPr>
      <w:r>
        <w:rPr>
          <w:rFonts w:ascii="宋体" w:hAnsi="宋体" w:eastAsia="宋体" w:cs="宋体"/>
          <w:b/>
          <w:bCs/>
          <w:color w:val="auto"/>
          <w:spacing w:val="-2"/>
          <w:sz w:val="24"/>
          <w:szCs w:val="24"/>
          <w:highlight w:val="none"/>
          <w:lang w:eastAsia="zh-CN"/>
        </w:rPr>
        <w:t>注：1、符合《政府采购法》第二十二条规定的资格条件，按照采购文件约定提</w:t>
      </w:r>
      <w:r>
        <w:rPr>
          <w:rFonts w:ascii="宋体" w:hAnsi="宋体" w:eastAsia="宋体" w:cs="宋体"/>
          <w:color w:val="auto"/>
          <w:sz w:val="24"/>
          <w:szCs w:val="24"/>
          <w:highlight w:val="none"/>
          <w:lang w:eastAsia="zh-CN"/>
        </w:rPr>
        <w:t xml:space="preserve">  </w:t>
      </w:r>
      <w:r>
        <w:rPr>
          <w:rFonts w:ascii="宋体" w:hAnsi="宋体" w:eastAsia="宋体" w:cs="宋体"/>
          <w:b/>
          <w:bCs/>
          <w:color w:val="auto"/>
          <w:spacing w:val="-9"/>
          <w:sz w:val="24"/>
          <w:szCs w:val="24"/>
          <w:highlight w:val="none"/>
          <w:lang w:eastAsia="zh-CN"/>
        </w:rPr>
        <w:t>供资格承诺，不再提供资质资料，主要包括</w:t>
      </w:r>
      <w:r>
        <w:rPr>
          <w:rFonts w:hint="eastAsia" w:ascii="宋体" w:hAnsi="宋体" w:eastAsia="宋体" w:cs="宋体"/>
          <w:b/>
          <w:bCs/>
          <w:color w:val="auto"/>
          <w:spacing w:val="-9"/>
          <w:sz w:val="24"/>
          <w:szCs w:val="24"/>
          <w:highlight w:val="none"/>
          <w:lang w:eastAsia="zh-CN"/>
        </w:rPr>
        <w:t>投标人</w:t>
      </w:r>
      <w:r>
        <w:rPr>
          <w:rFonts w:ascii="宋体" w:hAnsi="宋体" w:eastAsia="宋体" w:cs="宋体"/>
          <w:b/>
          <w:bCs/>
          <w:color w:val="auto"/>
          <w:spacing w:val="-9"/>
          <w:sz w:val="24"/>
          <w:szCs w:val="24"/>
          <w:highlight w:val="none"/>
          <w:lang w:eastAsia="zh-CN"/>
        </w:rPr>
        <w:t>在响应文件中无需再提供营业执照、</w:t>
      </w:r>
      <w:r>
        <w:rPr>
          <w:rFonts w:ascii="宋体" w:hAnsi="宋体" w:eastAsia="宋体" w:cs="宋体"/>
          <w:color w:val="auto"/>
          <w:spacing w:val="6"/>
          <w:sz w:val="24"/>
          <w:szCs w:val="24"/>
          <w:highlight w:val="none"/>
          <w:lang w:eastAsia="zh-CN"/>
        </w:rPr>
        <w:t xml:space="preserve"> </w:t>
      </w:r>
      <w:r>
        <w:rPr>
          <w:rFonts w:ascii="宋体" w:hAnsi="宋体" w:eastAsia="宋体" w:cs="宋体"/>
          <w:b/>
          <w:bCs/>
          <w:color w:val="auto"/>
          <w:spacing w:val="-5"/>
          <w:sz w:val="24"/>
          <w:szCs w:val="24"/>
          <w:highlight w:val="none"/>
          <w:lang w:eastAsia="zh-CN"/>
        </w:rPr>
        <w:t>财务状况报告、依法缴纳税收和社会保障资金、具有履行合同所必须的设备和专业技</w:t>
      </w:r>
      <w:r>
        <w:rPr>
          <w:rFonts w:ascii="宋体" w:hAnsi="宋体" w:eastAsia="宋体" w:cs="宋体"/>
          <w:color w:val="auto"/>
          <w:spacing w:val="5"/>
          <w:sz w:val="24"/>
          <w:szCs w:val="24"/>
          <w:highlight w:val="none"/>
          <w:lang w:eastAsia="zh-CN"/>
        </w:rPr>
        <w:t xml:space="preserve">  </w:t>
      </w:r>
      <w:r>
        <w:rPr>
          <w:rFonts w:ascii="宋体" w:hAnsi="宋体" w:eastAsia="宋体" w:cs="宋体"/>
          <w:b/>
          <w:bCs/>
          <w:color w:val="auto"/>
          <w:spacing w:val="-3"/>
          <w:sz w:val="24"/>
          <w:szCs w:val="24"/>
          <w:highlight w:val="none"/>
          <w:lang w:eastAsia="zh-CN"/>
        </w:rPr>
        <w:t>术能力、参加政府采购活动前三年内</w:t>
      </w:r>
      <w:r>
        <w:rPr>
          <w:rFonts w:hint="eastAsia" w:ascii="宋体" w:hAnsi="宋体" w:eastAsia="宋体" w:cs="宋体"/>
          <w:b/>
          <w:bCs/>
          <w:color w:val="auto"/>
          <w:spacing w:val="-3"/>
          <w:sz w:val="24"/>
          <w:szCs w:val="24"/>
          <w:highlight w:val="none"/>
          <w:lang w:val="en-US" w:eastAsia="zh-CN"/>
        </w:rPr>
        <w:t>在</w:t>
      </w:r>
      <w:r>
        <w:rPr>
          <w:rFonts w:ascii="宋体" w:hAnsi="宋体" w:eastAsia="宋体" w:cs="宋体"/>
          <w:b/>
          <w:bCs/>
          <w:color w:val="auto"/>
          <w:spacing w:val="-3"/>
          <w:sz w:val="24"/>
          <w:szCs w:val="24"/>
          <w:highlight w:val="none"/>
          <w:lang w:eastAsia="zh-CN"/>
        </w:rPr>
        <w:t>经营活动中没有重大违法记录相关证明材料。</w:t>
      </w:r>
    </w:p>
    <w:p w14:paraId="33576344">
      <w:pPr>
        <w:spacing w:before="37" w:line="433" w:lineRule="auto"/>
        <w:ind w:right="80" w:firstLine="483"/>
        <w:jc w:val="both"/>
        <w:rPr>
          <w:rFonts w:ascii="宋体" w:hAnsi="宋体" w:eastAsia="宋体" w:cs="宋体"/>
          <w:color w:val="auto"/>
          <w:sz w:val="24"/>
          <w:szCs w:val="24"/>
          <w:highlight w:val="none"/>
          <w:lang w:eastAsia="zh-CN"/>
        </w:rPr>
      </w:pPr>
      <w:r>
        <w:rPr>
          <w:rFonts w:ascii="宋体" w:hAnsi="宋体" w:eastAsia="宋体" w:cs="宋体"/>
          <w:b/>
          <w:bCs/>
          <w:color w:val="auto"/>
          <w:spacing w:val="-5"/>
          <w:sz w:val="24"/>
          <w:szCs w:val="24"/>
          <w:highlight w:val="none"/>
          <w:lang w:eastAsia="zh-CN"/>
        </w:rPr>
        <w:t>2、</w:t>
      </w:r>
      <w:r>
        <w:rPr>
          <w:rFonts w:hint="eastAsia" w:ascii="宋体" w:hAnsi="宋体" w:eastAsia="宋体" w:cs="宋体"/>
          <w:b/>
          <w:bCs/>
          <w:color w:val="auto"/>
          <w:spacing w:val="-5"/>
          <w:sz w:val="24"/>
          <w:szCs w:val="24"/>
          <w:highlight w:val="none"/>
          <w:lang w:eastAsia="zh-CN"/>
        </w:rPr>
        <w:t>投标人</w:t>
      </w:r>
      <w:r>
        <w:rPr>
          <w:rFonts w:ascii="宋体" w:hAnsi="宋体" w:eastAsia="宋体" w:cs="宋体"/>
          <w:b/>
          <w:bCs/>
          <w:color w:val="auto"/>
          <w:spacing w:val="-5"/>
          <w:sz w:val="24"/>
          <w:szCs w:val="24"/>
          <w:highlight w:val="none"/>
          <w:lang w:eastAsia="zh-CN"/>
        </w:rPr>
        <w:t>应当遵循诚实信用原则，不得作虚假承诺。</w:t>
      </w:r>
      <w:r>
        <w:rPr>
          <w:rFonts w:hint="eastAsia" w:ascii="宋体" w:hAnsi="宋体" w:eastAsia="宋体" w:cs="宋体"/>
          <w:b/>
          <w:bCs/>
          <w:color w:val="auto"/>
          <w:spacing w:val="-5"/>
          <w:sz w:val="24"/>
          <w:szCs w:val="24"/>
          <w:highlight w:val="none"/>
          <w:lang w:eastAsia="zh-CN"/>
        </w:rPr>
        <w:t>投标人</w:t>
      </w:r>
      <w:r>
        <w:rPr>
          <w:rFonts w:ascii="宋体" w:hAnsi="宋体" w:eastAsia="宋体" w:cs="宋体"/>
          <w:b/>
          <w:bCs/>
          <w:color w:val="auto"/>
          <w:spacing w:val="-5"/>
          <w:sz w:val="24"/>
          <w:szCs w:val="24"/>
          <w:highlight w:val="none"/>
          <w:lang w:eastAsia="zh-CN"/>
        </w:rPr>
        <w:t>承诺不实的，</w:t>
      </w:r>
      <w:r>
        <w:rPr>
          <w:rFonts w:ascii="宋体" w:hAnsi="宋体" w:eastAsia="宋体" w:cs="宋体"/>
          <w:color w:val="auto"/>
          <w:spacing w:val="-5"/>
          <w:sz w:val="24"/>
          <w:szCs w:val="24"/>
          <w:highlight w:val="none"/>
          <w:lang w:eastAsia="zh-CN"/>
        </w:rPr>
        <w:t xml:space="preserve"> </w:t>
      </w:r>
      <w:r>
        <w:rPr>
          <w:rFonts w:ascii="宋体" w:hAnsi="宋体" w:eastAsia="宋体" w:cs="宋体"/>
          <w:b/>
          <w:bCs/>
          <w:color w:val="auto"/>
          <w:spacing w:val="-5"/>
          <w:sz w:val="24"/>
          <w:szCs w:val="24"/>
          <w:highlight w:val="none"/>
          <w:lang w:eastAsia="zh-CN"/>
        </w:rPr>
        <w:t>属于</w:t>
      </w:r>
      <w:r>
        <w:rPr>
          <w:rFonts w:ascii="宋体" w:hAnsi="宋体" w:eastAsia="宋体" w:cs="宋体"/>
          <w:color w:val="auto"/>
          <w:spacing w:val="6"/>
          <w:sz w:val="24"/>
          <w:szCs w:val="24"/>
          <w:highlight w:val="none"/>
          <w:lang w:eastAsia="zh-CN"/>
        </w:rPr>
        <w:t xml:space="preserve"> </w:t>
      </w:r>
      <w:r>
        <w:rPr>
          <w:rFonts w:ascii="宋体" w:hAnsi="宋体" w:eastAsia="宋体" w:cs="宋体"/>
          <w:b/>
          <w:bCs/>
          <w:color w:val="auto"/>
          <w:spacing w:val="-5"/>
          <w:sz w:val="24"/>
          <w:szCs w:val="24"/>
          <w:highlight w:val="none"/>
          <w:lang w:eastAsia="zh-CN"/>
        </w:rPr>
        <w:t>提供虚假材料谋取中标、成交。按照《政府采购法》第七十七条规定，处以采购金额</w:t>
      </w:r>
      <w:r>
        <w:rPr>
          <w:rFonts w:ascii="宋体" w:hAnsi="宋体" w:eastAsia="宋体" w:cs="宋体"/>
          <w:color w:val="auto"/>
          <w:spacing w:val="12"/>
          <w:sz w:val="24"/>
          <w:szCs w:val="24"/>
          <w:highlight w:val="none"/>
          <w:lang w:eastAsia="zh-CN"/>
        </w:rPr>
        <w:t xml:space="preserve"> </w:t>
      </w:r>
      <w:r>
        <w:rPr>
          <w:rFonts w:ascii="宋体" w:hAnsi="宋体" w:eastAsia="宋体" w:cs="宋体"/>
          <w:b/>
          <w:bCs/>
          <w:color w:val="auto"/>
          <w:spacing w:val="-5"/>
          <w:sz w:val="24"/>
          <w:szCs w:val="24"/>
          <w:highlight w:val="none"/>
          <w:lang w:eastAsia="zh-CN"/>
        </w:rPr>
        <w:t>千分之五以上千分之十以下的罚款，列入不良行为记录名单，在一至三年内禁止参加</w:t>
      </w:r>
      <w:r>
        <w:rPr>
          <w:rFonts w:ascii="宋体" w:hAnsi="宋体" w:eastAsia="宋体" w:cs="宋体"/>
          <w:color w:val="auto"/>
          <w:spacing w:val="12"/>
          <w:sz w:val="24"/>
          <w:szCs w:val="24"/>
          <w:highlight w:val="none"/>
          <w:lang w:eastAsia="zh-CN"/>
        </w:rPr>
        <w:t xml:space="preserve"> </w:t>
      </w:r>
      <w:r>
        <w:rPr>
          <w:rFonts w:ascii="宋体" w:hAnsi="宋体" w:eastAsia="宋体" w:cs="宋体"/>
          <w:b/>
          <w:bCs/>
          <w:color w:val="auto"/>
          <w:spacing w:val="-5"/>
          <w:sz w:val="24"/>
          <w:szCs w:val="24"/>
          <w:highlight w:val="none"/>
          <w:lang w:eastAsia="zh-CN"/>
        </w:rPr>
        <w:t>政府采购活动；有违法所得的，并处没收违法所得，情节严重的，吊销营业执照；构</w:t>
      </w:r>
      <w:r>
        <w:rPr>
          <w:rFonts w:ascii="宋体" w:hAnsi="宋体" w:eastAsia="宋体" w:cs="宋体"/>
          <w:color w:val="auto"/>
          <w:spacing w:val="12"/>
          <w:sz w:val="24"/>
          <w:szCs w:val="24"/>
          <w:highlight w:val="none"/>
          <w:lang w:eastAsia="zh-CN"/>
        </w:rPr>
        <w:t xml:space="preserve"> </w:t>
      </w:r>
      <w:r>
        <w:rPr>
          <w:rFonts w:ascii="宋体" w:hAnsi="宋体" w:eastAsia="宋体" w:cs="宋体"/>
          <w:b/>
          <w:bCs/>
          <w:color w:val="auto"/>
          <w:spacing w:val="-3"/>
          <w:sz w:val="24"/>
          <w:szCs w:val="24"/>
          <w:highlight w:val="none"/>
          <w:lang w:eastAsia="zh-CN"/>
        </w:rPr>
        <w:t>成犯罪的，依法追究刑事责任。</w:t>
      </w:r>
    </w:p>
    <w:p w14:paraId="15739D19">
      <w:pPr>
        <w:spacing w:before="63" w:line="218" w:lineRule="auto"/>
        <w:ind w:left="485"/>
        <w:outlineLvl w:val="2"/>
        <w:rPr>
          <w:rFonts w:ascii="宋体" w:hAnsi="宋体" w:eastAsia="宋体" w:cs="宋体"/>
          <w:color w:val="auto"/>
          <w:sz w:val="24"/>
          <w:szCs w:val="24"/>
          <w:highlight w:val="none"/>
          <w:lang w:eastAsia="zh-CN"/>
        </w:rPr>
      </w:pPr>
      <w:bookmarkStart w:id="48" w:name="_Toc5140"/>
      <w:r>
        <w:rPr>
          <w:rFonts w:ascii="宋体" w:hAnsi="宋体" w:eastAsia="宋体" w:cs="宋体"/>
          <w:b/>
          <w:bCs/>
          <w:color w:val="auto"/>
          <w:spacing w:val="-6"/>
          <w:sz w:val="24"/>
          <w:szCs w:val="24"/>
          <w:highlight w:val="none"/>
          <w:lang w:eastAsia="zh-CN"/>
        </w:rPr>
        <w:t>3.2</w:t>
      </w:r>
      <w:r>
        <w:rPr>
          <w:rFonts w:ascii="宋体" w:hAnsi="宋体" w:eastAsia="宋体" w:cs="宋体"/>
          <w:color w:val="auto"/>
          <w:spacing w:val="13"/>
          <w:sz w:val="24"/>
          <w:szCs w:val="24"/>
          <w:highlight w:val="none"/>
          <w:lang w:eastAsia="zh-CN"/>
        </w:rPr>
        <w:t xml:space="preserve"> </w:t>
      </w:r>
      <w:r>
        <w:rPr>
          <w:rFonts w:ascii="宋体" w:hAnsi="宋体" w:eastAsia="宋体" w:cs="宋体"/>
          <w:b/>
          <w:bCs/>
          <w:color w:val="auto"/>
          <w:spacing w:val="-6"/>
          <w:sz w:val="24"/>
          <w:szCs w:val="24"/>
          <w:highlight w:val="none"/>
          <w:lang w:eastAsia="zh-CN"/>
        </w:rPr>
        <w:t>投标报价</w:t>
      </w:r>
      <w:bookmarkEnd w:id="48"/>
    </w:p>
    <w:p w14:paraId="4BFA1752">
      <w:pPr>
        <w:spacing w:before="220" w:line="343" w:lineRule="auto"/>
        <w:ind w:left="4" w:right="80" w:firstLine="48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3.2.1</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1"/>
          <w:sz w:val="24"/>
          <w:szCs w:val="24"/>
          <w:highlight w:val="none"/>
          <w:lang w:eastAsia="zh-CN"/>
        </w:rPr>
        <w:t>投标报价包括：</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的投标报价应包括货物本身的费用、包装费、运输</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费、装卸费、运输过程保险费、安装费、质量保证费、相关的</w:t>
      </w:r>
      <w:r>
        <w:rPr>
          <w:rFonts w:ascii="宋体" w:hAnsi="宋体" w:eastAsia="宋体" w:cs="宋体"/>
          <w:color w:val="auto"/>
          <w:spacing w:val="-3"/>
          <w:sz w:val="24"/>
          <w:szCs w:val="24"/>
          <w:highlight w:val="none"/>
          <w:lang w:eastAsia="zh-CN"/>
        </w:rPr>
        <w:t>伴随服务费、货物本身</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已支付或将支付的各种税费以及其它交付使用前的所有费用。</w:t>
      </w:r>
      <w:r>
        <w:rPr>
          <w:rFonts w:ascii="宋体" w:hAnsi="宋体" w:eastAsia="宋体" w:cs="宋体"/>
          <w:color w:val="auto"/>
          <w:spacing w:val="-3"/>
          <w:sz w:val="24"/>
          <w:szCs w:val="24"/>
          <w:highlight w:val="none"/>
          <w:lang w:eastAsia="zh-CN"/>
        </w:rPr>
        <w:t>投标价不是唯一的或不</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是固定不变的投标文件将被作为非响应性投标而予以拒绝。</w:t>
      </w:r>
    </w:p>
    <w:p w14:paraId="231369FD">
      <w:pPr>
        <w:spacing w:before="214" w:line="218" w:lineRule="auto"/>
        <w:ind w:left="485"/>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3.2.2</w:t>
      </w:r>
      <w:r>
        <w:rPr>
          <w:rFonts w:ascii="宋体" w:hAnsi="宋体" w:eastAsia="宋体" w:cs="宋体"/>
          <w:color w:val="auto"/>
          <w:spacing w:val="-40"/>
          <w:sz w:val="24"/>
          <w:szCs w:val="24"/>
          <w:highlight w:val="none"/>
          <w:lang w:eastAsia="zh-CN"/>
        </w:rPr>
        <w:t xml:space="preserve"> </w:t>
      </w:r>
      <w:r>
        <w:rPr>
          <w:rFonts w:ascii="宋体" w:hAnsi="宋体" w:eastAsia="宋体" w:cs="宋体"/>
          <w:color w:val="auto"/>
          <w:spacing w:val="-2"/>
          <w:sz w:val="24"/>
          <w:szCs w:val="24"/>
          <w:highlight w:val="none"/>
          <w:lang w:eastAsia="zh-CN"/>
        </w:rPr>
        <w:t>投标报价在中标后不得修改。</w:t>
      </w:r>
    </w:p>
    <w:p w14:paraId="0EB014D3">
      <w:pPr>
        <w:spacing w:before="216" w:line="218" w:lineRule="auto"/>
        <w:ind w:left="485"/>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3.2.3</w:t>
      </w:r>
      <w:r>
        <w:rPr>
          <w:rFonts w:ascii="宋体" w:hAnsi="宋体" w:eastAsia="宋体" w:cs="宋体"/>
          <w:color w:val="auto"/>
          <w:spacing w:val="-45"/>
          <w:sz w:val="24"/>
          <w:szCs w:val="24"/>
          <w:highlight w:val="none"/>
          <w:lang w:eastAsia="zh-CN"/>
        </w:rPr>
        <w:t xml:space="preserve">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只能提出一个不变价格，采购人不接受任何选择价。</w:t>
      </w:r>
    </w:p>
    <w:p w14:paraId="6A2AF301">
      <w:pPr>
        <w:spacing w:before="218" w:line="302" w:lineRule="auto"/>
        <w:ind w:right="80" w:firstLine="484"/>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3.2.4</w:t>
      </w:r>
      <w:r>
        <w:rPr>
          <w:rFonts w:ascii="宋体" w:hAnsi="宋体" w:eastAsia="宋体" w:cs="宋体"/>
          <w:color w:val="auto"/>
          <w:spacing w:val="-48"/>
          <w:sz w:val="24"/>
          <w:szCs w:val="24"/>
          <w:highlight w:val="none"/>
          <w:lang w:eastAsia="zh-CN"/>
        </w:rPr>
        <w:t xml:space="preserve">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必须对招标范围内的所有货物投标，不允许只对其中一种或几种货</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物投标。</w:t>
      </w:r>
    </w:p>
    <w:p w14:paraId="41C6C09D">
      <w:pPr>
        <w:spacing w:before="213" w:line="218" w:lineRule="auto"/>
        <w:ind w:left="485"/>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3.2.5</w:t>
      </w:r>
      <w:r>
        <w:rPr>
          <w:rFonts w:ascii="宋体" w:hAnsi="宋体" w:eastAsia="宋体" w:cs="宋体"/>
          <w:color w:val="auto"/>
          <w:spacing w:val="-45"/>
          <w:sz w:val="24"/>
          <w:szCs w:val="24"/>
          <w:highlight w:val="none"/>
          <w:lang w:eastAsia="zh-CN"/>
        </w:rPr>
        <w:t xml:space="preserve"> </w:t>
      </w:r>
      <w:r>
        <w:rPr>
          <w:rFonts w:ascii="宋体" w:hAnsi="宋体" w:eastAsia="宋体" w:cs="宋体"/>
          <w:color w:val="auto"/>
          <w:spacing w:val="-1"/>
          <w:sz w:val="24"/>
          <w:szCs w:val="24"/>
          <w:highlight w:val="none"/>
          <w:lang w:eastAsia="zh-CN"/>
        </w:rPr>
        <w:t>全部报价均应以人民币为计量币种，并以人民币进行结算。</w:t>
      </w:r>
    </w:p>
    <w:p w14:paraId="4DA24751">
      <w:pPr>
        <w:spacing w:before="218" w:line="301" w:lineRule="auto"/>
        <w:ind w:left="2" w:right="80" w:firstLine="48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3.2.6</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1"/>
          <w:sz w:val="24"/>
          <w:szCs w:val="24"/>
          <w:highlight w:val="none"/>
          <w:lang w:eastAsia="zh-CN"/>
        </w:rPr>
        <w:t>投标报价原则是各</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依据自身实力、管理水平，结合企业所在地区的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人工工资标准，在确保项目质量，确保项目成本的基础上，</w:t>
      </w:r>
      <w:r>
        <w:rPr>
          <w:rFonts w:ascii="宋体" w:hAnsi="宋体" w:eastAsia="宋体" w:cs="宋体"/>
          <w:color w:val="auto"/>
          <w:spacing w:val="-72"/>
          <w:sz w:val="24"/>
          <w:szCs w:val="24"/>
          <w:highlight w:val="none"/>
          <w:lang w:eastAsia="zh-CN"/>
        </w:rPr>
        <w:t xml:space="preserve"> </w:t>
      </w:r>
      <w:r>
        <w:rPr>
          <w:rFonts w:ascii="宋体" w:hAnsi="宋体" w:eastAsia="宋体" w:cs="宋体"/>
          <w:color w:val="auto"/>
          <w:spacing w:val="-3"/>
          <w:sz w:val="24"/>
          <w:szCs w:val="24"/>
          <w:highlight w:val="none"/>
          <w:lang w:eastAsia="zh-CN"/>
        </w:rPr>
        <w:t>自主报价、</w:t>
      </w:r>
      <w:r>
        <w:rPr>
          <w:rFonts w:ascii="宋体" w:hAnsi="宋体" w:eastAsia="宋体" w:cs="宋体"/>
          <w:color w:val="auto"/>
          <w:spacing w:val="-71"/>
          <w:sz w:val="24"/>
          <w:szCs w:val="24"/>
          <w:highlight w:val="none"/>
          <w:lang w:eastAsia="zh-CN"/>
        </w:rPr>
        <w:t xml:space="preserve"> </w:t>
      </w:r>
      <w:r>
        <w:rPr>
          <w:rFonts w:ascii="宋体" w:hAnsi="宋体" w:eastAsia="宋体" w:cs="宋体"/>
          <w:color w:val="auto"/>
          <w:spacing w:val="-3"/>
          <w:sz w:val="24"/>
          <w:szCs w:val="24"/>
          <w:highlight w:val="none"/>
          <w:lang w:eastAsia="zh-CN"/>
        </w:rPr>
        <w:t>自负盈</w:t>
      </w:r>
      <w:r>
        <w:rPr>
          <w:rFonts w:ascii="宋体" w:hAnsi="宋体" w:eastAsia="宋体" w:cs="宋体"/>
          <w:color w:val="auto"/>
          <w:spacing w:val="-4"/>
          <w:sz w:val="24"/>
          <w:szCs w:val="24"/>
          <w:highlight w:val="none"/>
          <w:lang w:eastAsia="zh-CN"/>
        </w:rPr>
        <w:t>亏。</w:t>
      </w:r>
    </w:p>
    <w:p w14:paraId="3DA6175E">
      <w:pPr>
        <w:spacing w:line="301" w:lineRule="auto"/>
        <w:rPr>
          <w:rFonts w:ascii="宋体" w:hAnsi="宋体" w:eastAsia="宋体" w:cs="宋体"/>
          <w:color w:val="auto"/>
          <w:sz w:val="24"/>
          <w:szCs w:val="24"/>
          <w:highlight w:val="none"/>
          <w:lang w:eastAsia="zh-CN"/>
        </w:rPr>
        <w:sectPr>
          <w:footerReference r:id="rId7" w:type="default"/>
          <w:pgSz w:w="11907" w:h="16840"/>
          <w:pgMar w:top="1431" w:right="1439" w:bottom="1139" w:left="1585" w:header="0" w:footer="977" w:gutter="0"/>
          <w:cols w:space="720" w:num="1"/>
        </w:sectPr>
      </w:pPr>
    </w:p>
    <w:p w14:paraId="52091289">
      <w:pPr>
        <w:spacing w:before="203" w:line="378" w:lineRule="auto"/>
        <w:ind w:left="2" w:firstLine="483"/>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3.2.7</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1"/>
          <w:sz w:val="24"/>
          <w:szCs w:val="24"/>
          <w:highlight w:val="none"/>
          <w:lang w:eastAsia="zh-CN"/>
        </w:rPr>
        <w:t>若投标函中的内容与投标一览表内容不一致时，以投标一览表内容为准。</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若投标一览表中的大写金额和小写金额不一致的，以大写金额为准；</w:t>
      </w:r>
      <w:r>
        <w:rPr>
          <w:rFonts w:ascii="宋体" w:hAnsi="宋体" w:eastAsia="宋体" w:cs="宋体"/>
          <w:color w:val="auto"/>
          <w:spacing w:val="-3"/>
          <w:sz w:val="24"/>
          <w:szCs w:val="24"/>
          <w:highlight w:val="none"/>
          <w:lang w:eastAsia="zh-CN"/>
        </w:rPr>
        <w:t>总价金额与单价</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金额不一致的，以单价金额为准，但单价金额小数点有明显错误的除</w:t>
      </w:r>
      <w:r>
        <w:rPr>
          <w:rFonts w:ascii="宋体" w:hAnsi="宋体" w:eastAsia="宋体" w:cs="宋体"/>
          <w:color w:val="auto"/>
          <w:spacing w:val="-3"/>
          <w:sz w:val="24"/>
          <w:szCs w:val="24"/>
          <w:highlight w:val="none"/>
          <w:lang w:eastAsia="zh-CN"/>
        </w:rPr>
        <w:t>外；对不同文字</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文本投标文件的解释发生异议的，以中文文本为准。</w:t>
      </w:r>
    </w:p>
    <w:p w14:paraId="3559E050">
      <w:pPr>
        <w:spacing w:before="34" w:line="220" w:lineRule="auto"/>
        <w:ind w:left="486"/>
        <w:outlineLvl w:val="2"/>
        <w:rPr>
          <w:rFonts w:ascii="宋体" w:hAnsi="宋体" w:eastAsia="宋体" w:cs="宋体"/>
          <w:color w:val="auto"/>
          <w:sz w:val="24"/>
          <w:szCs w:val="24"/>
          <w:highlight w:val="none"/>
          <w:lang w:eastAsia="zh-CN"/>
        </w:rPr>
      </w:pPr>
      <w:bookmarkStart w:id="49" w:name="_Toc5662"/>
      <w:r>
        <w:rPr>
          <w:rFonts w:ascii="宋体" w:hAnsi="宋体" w:eastAsia="宋体" w:cs="宋体"/>
          <w:b/>
          <w:bCs/>
          <w:color w:val="auto"/>
          <w:spacing w:val="-4"/>
          <w:sz w:val="24"/>
          <w:szCs w:val="24"/>
          <w:highlight w:val="none"/>
          <w:lang w:eastAsia="zh-CN"/>
        </w:rPr>
        <w:t>3.3</w:t>
      </w:r>
      <w:r>
        <w:rPr>
          <w:rFonts w:ascii="宋体" w:hAnsi="宋体" w:eastAsia="宋体" w:cs="宋体"/>
          <w:color w:val="auto"/>
          <w:spacing w:val="-4"/>
          <w:sz w:val="24"/>
          <w:szCs w:val="24"/>
          <w:highlight w:val="none"/>
          <w:lang w:eastAsia="zh-CN"/>
        </w:rPr>
        <w:t xml:space="preserve"> </w:t>
      </w:r>
      <w:r>
        <w:rPr>
          <w:rFonts w:ascii="宋体" w:hAnsi="宋体" w:eastAsia="宋体" w:cs="宋体"/>
          <w:b/>
          <w:bCs/>
          <w:color w:val="auto"/>
          <w:spacing w:val="-4"/>
          <w:sz w:val="24"/>
          <w:szCs w:val="24"/>
          <w:highlight w:val="none"/>
          <w:lang w:eastAsia="zh-CN"/>
        </w:rPr>
        <w:t>投标有效期</w:t>
      </w:r>
      <w:bookmarkEnd w:id="49"/>
    </w:p>
    <w:p w14:paraId="2F15EED6">
      <w:pPr>
        <w:spacing w:before="212" w:line="373" w:lineRule="auto"/>
        <w:ind w:left="4" w:firstLine="48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3.3.1</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1"/>
          <w:sz w:val="24"/>
          <w:szCs w:val="24"/>
          <w:highlight w:val="none"/>
          <w:lang w:eastAsia="zh-CN"/>
        </w:rPr>
        <w:t>在</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须知前附表规定的投标有效期内，</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不得要求撤销或修改其</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投标文件。</w:t>
      </w:r>
    </w:p>
    <w:p w14:paraId="770FBE1D">
      <w:pPr>
        <w:spacing w:before="32" w:line="219" w:lineRule="auto"/>
        <w:ind w:left="486"/>
        <w:outlineLvl w:val="2"/>
        <w:rPr>
          <w:rFonts w:ascii="宋体" w:hAnsi="宋体" w:eastAsia="宋体" w:cs="宋体"/>
          <w:color w:val="auto"/>
          <w:sz w:val="24"/>
          <w:szCs w:val="24"/>
          <w:highlight w:val="none"/>
          <w:lang w:eastAsia="zh-CN"/>
        </w:rPr>
      </w:pPr>
      <w:bookmarkStart w:id="50" w:name="_Toc31123"/>
      <w:r>
        <w:rPr>
          <w:rFonts w:ascii="宋体" w:hAnsi="宋体" w:eastAsia="宋体" w:cs="宋体"/>
          <w:b/>
          <w:bCs/>
          <w:color w:val="auto"/>
          <w:spacing w:val="-6"/>
          <w:sz w:val="24"/>
          <w:szCs w:val="24"/>
          <w:highlight w:val="none"/>
          <w:lang w:eastAsia="zh-CN"/>
        </w:rPr>
        <w:t>3.5</w:t>
      </w:r>
      <w:r>
        <w:rPr>
          <w:rFonts w:ascii="宋体" w:hAnsi="宋体" w:eastAsia="宋体" w:cs="宋体"/>
          <w:color w:val="auto"/>
          <w:spacing w:val="23"/>
          <w:sz w:val="24"/>
          <w:szCs w:val="24"/>
          <w:highlight w:val="none"/>
          <w:lang w:eastAsia="zh-CN"/>
        </w:rPr>
        <w:t xml:space="preserve"> </w:t>
      </w:r>
      <w:r>
        <w:rPr>
          <w:rFonts w:ascii="宋体" w:hAnsi="宋体" w:eastAsia="宋体" w:cs="宋体"/>
          <w:b/>
          <w:bCs/>
          <w:color w:val="auto"/>
          <w:spacing w:val="-6"/>
          <w:sz w:val="24"/>
          <w:szCs w:val="24"/>
          <w:highlight w:val="none"/>
          <w:lang w:eastAsia="zh-CN"/>
        </w:rPr>
        <w:t>资格审查资料</w:t>
      </w:r>
      <w:bookmarkEnd w:id="50"/>
    </w:p>
    <w:p w14:paraId="1FEB8160">
      <w:pPr>
        <w:spacing w:before="212" w:line="303" w:lineRule="auto"/>
        <w:ind w:left="5" w:firstLine="480"/>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3.5.1</w:t>
      </w:r>
      <w:r>
        <w:rPr>
          <w:rFonts w:ascii="宋体" w:hAnsi="宋体" w:eastAsia="宋体" w:cs="宋体"/>
          <w:color w:val="auto"/>
          <w:spacing w:val="-43"/>
          <w:sz w:val="24"/>
          <w:szCs w:val="24"/>
          <w:highlight w:val="none"/>
          <w:lang w:eastAsia="zh-CN"/>
        </w:rPr>
        <w:t xml:space="preserve"> </w:t>
      </w:r>
      <w:r>
        <w:rPr>
          <w:rFonts w:ascii="宋体" w:hAnsi="宋体" w:eastAsia="宋体" w:cs="宋体"/>
          <w:color w:val="auto"/>
          <w:spacing w:val="-2"/>
          <w:sz w:val="24"/>
          <w:szCs w:val="24"/>
          <w:highlight w:val="none"/>
          <w:lang w:eastAsia="zh-CN"/>
        </w:rPr>
        <w:t>依据“</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须知</w:t>
      </w:r>
      <w:r>
        <w:rPr>
          <w:rFonts w:ascii="宋体" w:hAnsi="宋体" w:eastAsia="宋体" w:cs="宋体"/>
          <w:color w:val="auto"/>
          <w:spacing w:val="-88"/>
          <w:sz w:val="24"/>
          <w:szCs w:val="24"/>
          <w:highlight w:val="none"/>
          <w:lang w:eastAsia="zh-CN"/>
        </w:rPr>
        <w:t xml:space="preserve"> </w:t>
      </w:r>
      <w:r>
        <w:rPr>
          <w:rFonts w:ascii="宋体" w:hAnsi="宋体" w:eastAsia="宋体" w:cs="宋体"/>
          <w:color w:val="auto"/>
          <w:spacing w:val="-2"/>
          <w:sz w:val="24"/>
          <w:szCs w:val="24"/>
          <w:highlight w:val="none"/>
          <w:lang w:eastAsia="zh-CN"/>
        </w:rPr>
        <w:t>”中的要求提交相应的资格证明文件，作为投标文件的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一部分，以证明其有资格进行投标和有能力履行合同。</w:t>
      </w:r>
    </w:p>
    <w:p w14:paraId="6BCF731D">
      <w:pPr>
        <w:spacing w:before="214" w:line="219" w:lineRule="auto"/>
        <w:ind w:left="486"/>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3.5.2</w:t>
      </w:r>
      <w:r>
        <w:rPr>
          <w:rFonts w:ascii="宋体" w:hAnsi="宋体" w:eastAsia="宋体" w:cs="宋体"/>
          <w:color w:val="auto"/>
          <w:spacing w:val="-36"/>
          <w:sz w:val="24"/>
          <w:szCs w:val="24"/>
          <w:highlight w:val="none"/>
          <w:lang w:eastAsia="zh-CN"/>
        </w:rPr>
        <w:t xml:space="preserve"> </w:t>
      </w:r>
      <w:r>
        <w:rPr>
          <w:rFonts w:ascii="宋体" w:hAnsi="宋体" w:eastAsia="宋体" w:cs="宋体"/>
          <w:color w:val="auto"/>
          <w:spacing w:val="-2"/>
          <w:sz w:val="24"/>
          <w:szCs w:val="24"/>
          <w:highlight w:val="none"/>
          <w:lang w:eastAsia="zh-CN"/>
        </w:rPr>
        <w:t>招标文件规定的</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资格条件。</w:t>
      </w:r>
    </w:p>
    <w:p w14:paraId="2B02AAB5">
      <w:pPr>
        <w:spacing w:before="215" w:line="220" w:lineRule="auto"/>
        <w:ind w:left="486"/>
        <w:outlineLvl w:val="2"/>
        <w:rPr>
          <w:rFonts w:ascii="宋体" w:hAnsi="宋体" w:eastAsia="宋体" w:cs="宋体"/>
          <w:color w:val="auto"/>
          <w:sz w:val="24"/>
          <w:szCs w:val="24"/>
          <w:highlight w:val="none"/>
          <w:lang w:eastAsia="zh-CN"/>
        </w:rPr>
      </w:pPr>
      <w:bookmarkStart w:id="51" w:name="_Toc27880"/>
      <w:r>
        <w:rPr>
          <w:rFonts w:ascii="宋体" w:hAnsi="宋体" w:eastAsia="宋体" w:cs="宋体"/>
          <w:b/>
          <w:bCs/>
          <w:color w:val="auto"/>
          <w:spacing w:val="-3"/>
          <w:sz w:val="24"/>
          <w:szCs w:val="24"/>
          <w:highlight w:val="none"/>
          <w:lang w:eastAsia="zh-CN"/>
        </w:rPr>
        <w:t>3.6</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备选投标方案</w:t>
      </w:r>
      <w:bookmarkEnd w:id="51"/>
    </w:p>
    <w:p w14:paraId="537A5F65">
      <w:pPr>
        <w:spacing w:before="215" w:line="219" w:lineRule="auto"/>
        <w:ind w:left="481"/>
        <w:rPr>
          <w:rFonts w:ascii="宋体" w:hAnsi="宋体" w:eastAsia="宋体" w:cs="宋体"/>
          <w:color w:val="auto"/>
          <w:sz w:val="24"/>
          <w:szCs w:val="24"/>
          <w:highlight w:val="none"/>
          <w:lang w:eastAsia="zh-CN"/>
        </w:rPr>
      </w:pP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不得递交备选投标方案。</w:t>
      </w:r>
    </w:p>
    <w:p w14:paraId="00A03BE3">
      <w:pPr>
        <w:spacing w:before="215" w:line="219" w:lineRule="auto"/>
        <w:ind w:left="486"/>
        <w:outlineLvl w:val="2"/>
        <w:rPr>
          <w:rFonts w:ascii="宋体" w:hAnsi="宋体" w:eastAsia="宋体" w:cs="宋体"/>
          <w:color w:val="auto"/>
          <w:sz w:val="24"/>
          <w:szCs w:val="24"/>
          <w:highlight w:val="none"/>
          <w:lang w:eastAsia="zh-CN"/>
        </w:rPr>
      </w:pPr>
      <w:bookmarkStart w:id="52" w:name="_Toc27260"/>
      <w:r>
        <w:rPr>
          <w:rFonts w:ascii="宋体" w:hAnsi="宋体" w:eastAsia="宋体" w:cs="宋体"/>
          <w:b/>
          <w:bCs/>
          <w:color w:val="auto"/>
          <w:spacing w:val="-3"/>
          <w:sz w:val="24"/>
          <w:szCs w:val="24"/>
          <w:highlight w:val="none"/>
          <w:lang w:eastAsia="zh-CN"/>
        </w:rPr>
        <w:t>3.7</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投标文件的编制</w:t>
      </w:r>
      <w:bookmarkEnd w:id="52"/>
    </w:p>
    <w:p w14:paraId="541EEEA3">
      <w:pPr>
        <w:spacing w:before="213" w:line="303" w:lineRule="auto"/>
        <w:ind w:left="2" w:firstLine="483"/>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3.7.1 投标文件应按招标文件中要求使用焦作市公共资源交易系统投标文件制</w:t>
      </w:r>
      <w:r>
        <w:rPr>
          <w:rFonts w:ascii="宋体" w:hAnsi="宋体" w:eastAsia="宋体" w:cs="宋体"/>
          <w:color w:val="auto"/>
          <w:spacing w:val="7"/>
          <w:sz w:val="24"/>
          <w:szCs w:val="24"/>
          <w:highlight w:val="none"/>
          <w:lang w:eastAsia="zh-CN"/>
        </w:rPr>
        <w:t xml:space="preserve"> </w:t>
      </w:r>
      <w:r>
        <w:rPr>
          <w:rFonts w:ascii="宋体" w:hAnsi="宋体" w:eastAsia="宋体" w:cs="宋体"/>
          <w:color w:val="auto"/>
          <w:spacing w:val="-2"/>
          <w:sz w:val="24"/>
          <w:szCs w:val="24"/>
          <w:highlight w:val="none"/>
          <w:lang w:eastAsia="zh-CN"/>
        </w:rPr>
        <w:t>作专用工具软件编制。</w:t>
      </w:r>
    </w:p>
    <w:p w14:paraId="4C533E9D">
      <w:pPr>
        <w:spacing w:before="213" w:line="302" w:lineRule="auto"/>
        <w:ind w:firstLine="486"/>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3.7.2  投标文件应当对招标文件有关</w:t>
      </w:r>
      <w:r>
        <w:rPr>
          <w:rFonts w:hint="eastAsia" w:ascii="宋体" w:hAnsi="宋体" w:eastAsia="宋体" w:cs="宋体"/>
          <w:color w:val="auto"/>
          <w:spacing w:val="1"/>
          <w:sz w:val="24"/>
          <w:szCs w:val="24"/>
          <w:highlight w:val="none"/>
          <w:lang w:val="en-US" w:eastAsia="zh-CN"/>
        </w:rPr>
        <w:t>合同履行期限</w:t>
      </w:r>
      <w:r>
        <w:rPr>
          <w:rFonts w:ascii="宋体" w:hAnsi="宋体" w:eastAsia="宋体" w:cs="宋体"/>
          <w:color w:val="auto"/>
          <w:spacing w:val="1"/>
          <w:sz w:val="24"/>
          <w:szCs w:val="24"/>
          <w:highlight w:val="none"/>
          <w:lang w:eastAsia="zh-CN"/>
        </w:rPr>
        <w:t>、投标有效期、质量标</w:t>
      </w:r>
      <w:r>
        <w:rPr>
          <w:rFonts w:ascii="宋体" w:hAnsi="宋体" w:eastAsia="宋体" w:cs="宋体"/>
          <w:color w:val="auto"/>
          <w:sz w:val="24"/>
          <w:szCs w:val="24"/>
          <w:highlight w:val="none"/>
          <w:lang w:eastAsia="zh-CN"/>
        </w:rPr>
        <w:t xml:space="preserve">准、采 </w:t>
      </w:r>
      <w:r>
        <w:rPr>
          <w:rFonts w:ascii="宋体" w:hAnsi="宋体" w:eastAsia="宋体" w:cs="宋体"/>
          <w:color w:val="auto"/>
          <w:spacing w:val="-1"/>
          <w:sz w:val="24"/>
          <w:szCs w:val="24"/>
          <w:highlight w:val="none"/>
          <w:lang w:eastAsia="zh-CN"/>
        </w:rPr>
        <w:t>购要求及服务内容、等实质性内容作出响应。</w:t>
      </w:r>
    </w:p>
    <w:p w14:paraId="31F22E98">
      <w:pPr>
        <w:spacing w:before="216" w:line="357" w:lineRule="auto"/>
        <w:ind w:firstLine="485"/>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3.7.3 本项目采用电子开评标方式，潜在</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可提前在焦</w:t>
      </w:r>
      <w:r>
        <w:rPr>
          <w:rFonts w:ascii="宋体" w:hAnsi="宋体" w:eastAsia="宋体" w:cs="宋体"/>
          <w:color w:val="auto"/>
          <w:spacing w:val="-3"/>
          <w:sz w:val="24"/>
          <w:szCs w:val="24"/>
          <w:highlight w:val="none"/>
          <w:lang w:eastAsia="zh-CN"/>
        </w:rPr>
        <w:t>作市交易中心官网首</w:t>
      </w:r>
      <w:r>
        <w:rPr>
          <w:rFonts w:ascii="宋体" w:hAnsi="宋体" w:eastAsia="宋体" w:cs="宋体"/>
          <w:color w:val="auto"/>
          <w:sz w:val="24"/>
          <w:szCs w:val="24"/>
          <w:highlight w:val="none"/>
          <w:lang w:eastAsia="zh-CN"/>
        </w:rPr>
        <w:t xml:space="preserve"> 页---下载中心--下载《焦作市电子招投标系统操作手册》、</w:t>
      </w:r>
      <w:r>
        <w:rPr>
          <w:rFonts w:ascii="宋体" w:hAnsi="宋体" w:eastAsia="宋体" w:cs="宋体"/>
          <w:color w:val="auto"/>
          <w:spacing w:val="-1"/>
          <w:sz w:val="24"/>
          <w:szCs w:val="24"/>
          <w:highlight w:val="none"/>
          <w:lang w:eastAsia="zh-CN"/>
        </w:rPr>
        <w:t>《焦作市公共资源交易</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平台不见面开标操作手册》和《投标文件制作工作工具》等查看操作说</w:t>
      </w:r>
      <w:r>
        <w:rPr>
          <w:rFonts w:ascii="宋体" w:hAnsi="宋体" w:eastAsia="宋体" w:cs="宋体"/>
          <w:color w:val="auto"/>
          <w:spacing w:val="-3"/>
          <w:sz w:val="24"/>
          <w:szCs w:val="24"/>
          <w:highlight w:val="none"/>
          <w:lang w:eastAsia="zh-CN"/>
        </w:rPr>
        <w:t>明，按要求进</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行投标文件制作和上传等。为避免网络拥堵等不可控因素影响投标文件</w:t>
      </w:r>
      <w:r>
        <w:rPr>
          <w:rFonts w:ascii="宋体" w:hAnsi="宋体" w:eastAsia="宋体" w:cs="宋体"/>
          <w:color w:val="auto"/>
          <w:spacing w:val="-3"/>
          <w:sz w:val="24"/>
          <w:szCs w:val="24"/>
          <w:highlight w:val="none"/>
          <w:lang w:eastAsia="zh-CN"/>
        </w:rPr>
        <w:t>的上传，请提</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前上传投标文件，按要求解密投标文件。因文件未及时上传导致投标失</w:t>
      </w:r>
      <w:r>
        <w:rPr>
          <w:rFonts w:ascii="宋体" w:hAnsi="宋体" w:eastAsia="宋体" w:cs="宋体"/>
          <w:color w:val="auto"/>
          <w:spacing w:val="-3"/>
          <w:sz w:val="24"/>
          <w:szCs w:val="24"/>
          <w:highlight w:val="none"/>
          <w:lang w:eastAsia="zh-CN"/>
        </w:rPr>
        <w:t>败的责任由投</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标人自行承担。</w:t>
      </w:r>
    </w:p>
    <w:p w14:paraId="7FBDE5F0">
      <w:pPr>
        <w:pStyle w:val="5"/>
        <w:spacing w:line="256" w:lineRule="auto"/>
        <w:rPr>
          <w:color w:val="auto"/>
          <w:highlight w:val="none"/>
          <w:lang w:eastAsia="zh-CN"/>
        </w:rPr>
      </w:pPr>
    </w:p>
    <w:p w14:paraId="5A2F1D8B">
      <w:pPr>
        <w:spacing w:before="79" w:line="220" w:lineRule="auto"/>
        <w:ind w:left="480"/>
        <w:outlineLvl w:val="1"/>
        <w:rPr>
          <w:rFonts w:ascii="宋体" w:hAnsi="宋体" w:eastAsia="宋体" w:cs="宋体"/>
          <w:color w:val="auto"/>
          <w:sz w:val="24"/>
          <w:szCs w:val="24"/>
          <w:highlight w:val="none"/>
          <w:lang w:eastAsia="zh-CN"/>
        </w:rPr>
      </w:pPr>
      <w:bookmarkStart w:id="53" w:name="_Toc6392"/>
      <w:r>
        <w:rPr>
          <w:rFonts w:ascii="宋体" w:hAnsi="宋体" w:eastAsia="宋体" w:cs="宋体"/>
          <w:b/>
          <w:bCs/>
          <w:color w:val="auto"/>
          <w:spacing w:val="-8"/>
          <w:sz w:val="24"/>
          <w:szCs w:val="24"/>
          <w:highlight w:val="none"/>
          <w:lang w:eastAsia="zh-CN"/>
        </w:rPr>
        <w:t>4.</w:t>
      </w:r>
      <w:r>
        <w:rPr>
          <w:rFonts w:ascii="宋体" w:hAnsi="宋体" w:eastAsia="宋体" w:cs="宋体"/>
          <w:color w:val="auto"/>
          <w:spacing w:val="12"/>
          <w:sz w:val="24"/>
          <w:szCs w:val="24"/>
          <w:highlight w:val="none"/>
          <w:lang w:eastAsia="zh-CN"/>
        </w:rPr>
        <w:t xml:space="preserve"> </w:t>
      </w:r>
      <w:r>
        <w:rPr>
          <w:rFonts w:ascii="宋体" w:hAnsi="宋体" w:eastAsia="宋体" w:cs="宋体"/>
          <w:b/>
          <w:bCs/>
          <w:color w:val="auto"/>
          <w:spacing w:val="-8"/>
          <w:sz w:val="24"/>
          <w:szCs w:val="24"/>
          <w:highlight w:val="none"/>
          <w:lang w:eastAsia="zh-CN"/>
        </w:rPr>
        <w:t>投标</w:t>
      </w:r>
      <w:bookmarkEnd w:id="53"/>
    </w:p>
    <w:p w14:paraId="1EC2D085">
      <w:pPr>
        <w:pStyle w:val="5"/>
        <w:spacing w:line="253" w:lineRule="auto"/>
        <w:rPr>
          <w:color w:val="auto"/>
          <w:highlight w:val="none"/>
          <w:lang w:eastAsia="zh-CN"/>
        </w:rPr>
      </w:pPr>
    </w:p>
    <w:p w14:paraId="5D06DA74">
      <w:pPr>
        <w:spacing w:before="79" w:line="219" w:lineRule="auto"/>
        <w:ind w:left="480"/>
        <w:outlineLvl w:val="2"/>
        <w:rPr>
          <w:rFonts w:ascii="宋体" w:hAnsi="宋体" w:eastAsia="宋体" w:cs="宋体"/>
          <w:color w:val="auto"/>
          <w:sz w:val="24"/>
          <w:szCs w:val="24"/>
          <w:highlight w:val="none"/>
          <w:lang w:eastAsia="zh-CN"/>
        </w:rPr>
      </w:pPr>
      <w:bookmarkStart w:id="54" w:name="_Toc19981"/>
      <w:r>
        <w:rPr>
          <w:rFonts w:ascii="宋体" w:hAnsi="宋体" w:eastAsia="宋体" w:cs="宋体"/>
          <w:b/>
          <w:bCs/>
          <w:color w:val="auto"/>
          <w:spacing w:val="-3"/>
          <w:sz w:val="24"/>
          <w:szCs w:val="24"/>
          <w:highlight w:val="none"/>
          <w:lang w:eastAsia="zh-CN"/>
        </w:rPr>
        <w:t>4.1</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投标文件的密封和标记</w:t>
      </w:r>
      <w:bookmarkEnd w:id="54"/>
    </w:p>
    <w:p w14:paraId="58F3621A">
      <w:pPr>
        <w:spacing w:before="214" w:line="216" w:lineRule="auto"/>
        <w:ind w:left="480"/>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4.1.1.本项目采用网上上传的电子投标文件,应使用</w:t>
      </w:r>
      <w:r>
        <w:rPr>
          <w:rFonts w:ascii="宋体" w:hAnsi="宋体" w:eastAsia="宋体" w:cs="宋体"/>
          <w:color w:val="auto"/>
          <w:spacing w:val="-1"/>
          <w:sz w:val="24"/>
          <w:szCs w:val="24"/>
          <w:highlight w:val="none"/>
          <w:lang w:eastAsia="zh-CN"/>
        </w:rPr>
        <w:t>数字证书认证并加密。</w:t>
      </w:r>
    </w:p>
    <w:p w14:paraId="6BE94221">
      <w:pPr>
        <w:spacing w:line="216" w:lineRule="auto"/>
        <w:rPr>
          <w:rFonts w:ascii="宋体" w:hAnsi="宋体" w:eastAsia="宋体" w:cs="宋体"/>
          <w:color w:val="auto"/>
          <w:sz w:val="24"/>
          <w:szCs w:val="24"/>
          <w:highlight w:val="none"/>
          <w:lang w:eastAsia="zh-CN"/>
        </w:rPr>
        <w:sectPr>
          <w:footerReference r:id="rId8" w:type="default"/>
          <w:pgSz w:w="11907" w:h="16840"/>
          <w:pgMar w:top="1431" w:right="1519" w:bottom="1139" w:left="1584" w:header="0" w:footer="977" w:gutter="0"/>
          <w:cols w:space="720" w:num="1"/>
        </w:sectPr>
      </w:pPr>
    </w:p>
    <w:p w14:paraId="2BE2525C">
      <w:pPr>
        <w:spacing w:before="204" w:line="219" w:lineRule="auto"/>
        <w:ind w:left="480"/>
        <w:outlineLvl w:val="2"/>
        <w:rPr>
          <w:rFonts w:ascii="宋体" w:hAnsi="宋体" w:eastAsia="宋体" w:cs="宋体"/>
          <w:color w:val="auto"/>
          <w:sz w:val="24"/>
          <w:szCs w:val="24"/>
          <w:highlight w:val="none"/>
          <w:lang w:eastAsia="zh-CN"/>
        </w:rPr>
      </w:pPr>
      <w:bookmarkStart w:id="55" w:name="_Toc2724"/>
      <w:r>
        <w:rPr>
          <w:rFonts w:ascii="宋体" w:hAnsi="宋体" w:eastAsia="宋体" w:cs="宋体"/>
          <w:b/>
          <w:bCs/>
          <w:color w:val="auto"/>
          <w:spacing w:val="-3"/>
          <w:sz w:val="24"/>
          <w:szCs w:val="24"/>
          <w:highlight w:val="none"/>
          <w:lang w:eastAsia="zh-CN"/>
        </w:rPr>
        <w:t>4.2</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投标文件的递交</w:t>
      </w:r>
      <w:bookmarkEnd w:id="55"/>
    </w:p>
    <w:p w14:paraId="4D244E8E">
      <w:pPr>
        <w:spacing w:before="214" w:line="376" w:lineRule="auto"/>
        <w:ind w:left="1" w:right="80" w:firstLine="478"/>
        <w:jc w:val="both"/>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4.2.1所有投标文件必须在本招标文件中规定的投标截止</w:t>
      </w:r>
      <w:r>
        <w:rPr>
          <w:rFonts w:ascii="宋体" w:hAnsi="宋体" w:eastAsia="宋体" w:cs="宋体"/>
          <w:color w:val="auto"/>
          <w:spacing w:val="-1"/>
          <w:sz w:val="24"/>
          <w:szCs w:val="24"/>
          <w:highlight w:val="none"/>
          <w:lang w:eastAsia="zh-CN"/>
        </w:rPr>
        <w:t>时间之前提前上传，按</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要求在线签到、解密文件等，解密时间为投标截止时后30分钟内，不能按</w:t>
      </w:r>
      <w:r>
        <w:rPr>
          <w:rFonts w:ascii="宋体" w:hAnsi="宋体" w:eastAsia="宋体" w:cs="宋体"/>
          <w:color w:val="auto"/>
          <w:spacing w:val="-3"/>
          <w:sz w:val="24"/>
          <w:szCs w:val="24"/>
          <w:highlight w:val="none"/>
          <w:lang w:eastAsia="zh-CN"/>
        </w:rPr>
        <w:t>时上传、解</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密者视为自动放弃投标。</w:t>
      </w:r>
    </w:p>
    <w:p w14:paraId="570603AE">
      <w:pPr>
        <w:spacing w:before="32" w:line="219" w:lineRule="auto"/>
        <w:ind w:left="480"/>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4.2.2.采购人拒绝接收在投标文件递交截止时</w:t>
      </w:r>
      <w:r>
        <w:rPr>
          <w:rFonts w:ascii="宋体" w:hAnsi="宋体" w:eastAsia="宋体" w:cs="宋体"/>
          <w:color w:val="auto"/>
          <w:spacing w:val="-1"/>
          <w:sz w:val="24"/>
          <w:szCs w:val="24"/>
          <w:highlight w:val="none"/>
          <w:lang w:eastAsia="zh-CN"/>
        </w:rPr>
        <w:t>间后上传的投标文件。</w:t>
      </w:r>
    </w:p>
    <w:p w14:paraId="6082457C">
      <w:pPr>
        <w:spacing w:before="215" w:line="219" w:lineRule="auto"/>
        <w:ind w:left="480"/>
        <w:outlineLvl w:val="2"/>
        <w:rPr>
          <w:rFonts w:ascii="宋体" w:hAnsi="宋体" w:eastAsia="宋体" w:cs="宋体"/>
          <w:color w:val="auto"/>
          <w:sz w:val="24"/>
          <w:szCs w:val="24"/>
          <w:highlight w:val="none"/>
          <w:lang w:eastAsia="zh-CN"/>
        </w:rPr>
      </w:pPr>
      <w:bookmarkStart w:id="56" w:name="_Toc10506"/>
      <w:r>
        <w:rPr>
          <w:rFonts w:ascii="宋体" w:hAnsi="宋体" w:eastAsia="宋体" w:cs="宋体"/>
          <w:b/>
          <w:bCs/>
          <w:color w:val="auto"/>
          <w:spacing w:val="-3"/>
          <w:sz w:val="24"/>
          <w:szCs w:val="24"/>
          <w:highlight w:val="none"/>
          <w:lang w:eastAsia="zh-CN"/>
        </w:rPr>
        <w:t>4.3</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投标文件的修改与撤回</w:t>
      </w:r>
      <w:bookmarkEnd w:id="56"/>
    </w:p>
    <w:p w14:paraId="695720CB">
      <w:pPr>
        <w:spacing w:before="215" w:line="302" w:lineRule="auto"/>
        <w:ind w:left="5" w:right="80" w:firstLine="474"/>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4.3.1</w:t>
      </w:r>
      <w:r>
        <w:rPr>
          <w:rFonts w:ascii="宋体" w:hAnsi="宋体" w:eastAsia="宋体" w:cs="宋体"/>
          <w:color w:val="auto"/>
          <w:spacing w:val="-40"/>
          <w:sz w:val="24"/>
          <w:szCs w:val="24"/>
          <w:highlight w:val="none"/>
          <w:lang w:eastAsia="zh-CN"/>
        </w:rPr>
        <w:t xml:space="preserve"> </w:t>
      </w:r>
      <w:r>
        <w:rPr>
          <w:rFonts w:ascii="宋体" w:hAnsi="宋体" w:eastAsia="宋体" w:cs="宋体"/>
          <w:color w:val="auto"/>
          <w:spacing w:val="2"/>
          <w:sz w:val="24"/>
          <w:szCs w:val="24"/>
          <w:highlight w:val="none"/>
          <w:lang w:eastAsia="zh-CN"/>
        </w:rPr>
        <w:t>在本章第 2.2.2 项规定的投标截止时间前，</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可以修改或撤回已递</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交的投标文件。</w:t>
      </w:r>
    </w:p>
    <w:p w14:paraId="4BA302B6">
      <w:pPr>
        <w:spacing w:before="215" w:line="302" w:lineRule="auto"/>
        <w:ind w:left="1" w:right="77" w:firstLine="478"/>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4.3.2</w:t>
      </w:r>
      <w:r>
        <w:rPr>
          <w:rFonts w:ascii="宋体" w:hAnsi="宋体" w:eastAsia="宋体" w:cs="宋体"/>
          <w:color w:val="auto"/>
          <w:spacing w:val="-37"/>
          <w:sz w:val="24"/>
          <w:szCs w:val="24"/>
          <w:highlight w:val="none"/>
          <w:lang w:eastAsia="zh-CN"/>
        </w:rPr>
        <w:t xml:space="preserve"> </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修改或撤回已递交投标文件的书面通知应按照本章第 3.7.3 项的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要求签字盖章。</w:t>
      </w:r>
    </w:p>
    <w:p w14:paraId="2F940772">
      <w:pPr>
        <w:spacing w:before="214" w:line="302" w:lineRule="auto"/>
        <w:ind w:firstLine="479"/>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4.3.3</w:t>
      </w:r>
      <w:r>
        <w:rPr>
          <w:rFonts w:ascii="宋体" w:hAnsi="宋体" w:eastAsia="宋体" w:cs="宋体"/>
          <w:color w:val="auto"/>
          <w:spacing w:val="-41"/>
          <w:sz w:val="24"/>
          <w:szCs w:val="24"/>
          <w:highlight w:val="none"/>
          <w:lang w:eastAsia="zh-CN"/>
        </w:rPr>
        <w:t xml:space="preserve"> </w:t>
      </w:r>
      <w:r>
        <w:rPr>
          <w:rFonts w:ascii="宋体" w:hAnsi="宋体" w:eastAsia="宋体" w:cs="宋体"/>
          <w:color w:val="auto"/>
          <w:spacing w:val="-2"/>
          <w:sz w:val="24"/>
          <w:szCs w:val="24"/>
          <w:highlight w:val="none"/>
          <w:lang w:eastAsia="zh-CN"/>
        </w:rPr>
        <w:t>修改的内容为投标文件的组成部分。修改的投标文件应按照本章第 3 条、</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第 4 条规定进行编制、密封、标记和递</w:t>
      </w:r>
      <w:r>
        <w:rPr>
          <w:rFonts w:ascii="宋体" w:hAnsi="宋体" w:eastAsia="宋体" w:cs="宋体"/>
          <w:color w:val="auto"/>
          <w:spacing w:val="-2"/>
          <w:sz w:val="24"/>
          <w:szCs w:val="24"/>
          <w:highlight w:val="none"/>
          <w:lang w:eastAsia="zh-CN"/>
        </w:rPr>
        <w:t>交，并标明“修改</w:t>
      </w:r>
      <w:r>
        <w:rPr>
          <w:rFonts w:ascii="宋体" w:hAnsi="宋体" w:eastAsia="宋体" w:cs="宋体"/>
          <w:color w:val="auto"/>
          <w:spacing w:val="-88"/>
          <w:sz w:val="24"/>
          <w:szCs w:val="24"/>
          <w:highlight w:val="none"/>
          <w:lang w:eastAsia="zh-CN"/>
        </w:rPr>
        <w:t xml:space="preserve"> </w:t>
      </w:r>
      <w:r>
        <w:rPr>
          <w:rFonts w:ascii="宋体" w:hAnsi="宋体" w:eastAsia="宋体" w:cs="宋体"/>
          <w:color w:val="auto"/>
          <w:spacing w:val="-2"/>
          <w:sz w:val="24"/>
          <w:szCs w:val="24"/>
          <w:highlight w:val="none"/>
          <w:lang w:eastAsia="zh-CN"/>
        </w:rPr>
        <w:t>”字样。</w:t>
      </w:r>
    </w:p>
    <w:p w14:paraId="26C4199B">
      <w:pPr>
        <w:pStyle w:val="5"/>
        <w:spacing w:line="256" w:lineRule="auto"/>
        <w:rPr>
          <w:color w:val="auto"/>
          <w:highlight w:val="none"/>
          <w:lang w:eastAsia="zh-CN"/>
        </w:rPr>
      </w:pPr>
    </w:p>
    <w:p w14:paraId="352D1A20">
      <w:pPr>
        <w:spacing w:before="79" w:line="220" w:lineRule="auto"/>
        <w:ind w:left="485"/>
        <w:outlineLvl w:val="1"/>
        <w:rPr>
          <w:rFonts w:ascii="宋体" w:hAnsi="宋体" w:eastAsia="宋体" w:cs="宋体"/>
          <w:color w:val="auto"/>
          <w:sz w:val="24"/>
          <w:szCs w:val="24"/>
          <w:highlight w:val="none"/>
          <w:lang w:eastAsia="zh-CN"/>
        </w:rPr>
      </w:pPr>
      <w:bookmarkStart w:id="57" w:name="_Toc23104"/>
      <w:r>
        <w:rPr>
          <w:rFonts w:ascii="宋体" w:hAnsi="宋体" w:eastAsia="宋体" w:cs="宋体"/>
          <w:b/>
          <w:bCs/>
          <w:color w:val="auto"/>
          <w:spacing w:val="-9"/>
          <w:sz w:val="24"/>
          <w:szCs w:val="24"/>
          <w:highlight w:val="none"/>
          <w:lang w:eastAsia="zh-CN"/>
        </w:rPr>
        <w:t>5.</w:t>
      </w:r>
      <w:r>
        <w:rPr>
          <w:rFonts w:ascii="宋体" w:hAnsi="宋体" w:eastAsia="宋体" w:cs="宋体"/>
          <w:color w:val="auto"/>
          <w:spacing w:val="10"/>
          <w:sz w:val="24"/>
          <w:szCs w:val="24"/>
          <w:highlight w:val="none"/>
          <w:lang w:eastAsia="zh-CN"/>
        </w:rPr>
        <w:t xml:space="preserve"> </w:t>
      </w:r>
      <w:r>
        <w:rPr>
          <w:rFonts w:ascii="宋体" w:hAnsi="宋体" w:eastAsia="宋体" w:cs="宋体"/>
          <w:b/>
          <w:bCs/>
          <w:color w:val="auto"/>
          <w:spacing w:val="-9"/>
          <w:sz w:val="24"/>
          <w:szCs w:val="24"/>
          <w:highlight w:val="none"/>
          <w:lang w:eastAsia="zh-CN"/>
        </w:rPr>
        <w:t>开标</w:t>
      </w:r>
      <w:bookmarkEnd w:id="57"/>
    </w:p>
    <w:p w14:paraId="19EF4E29">
      <w:pPr>
        <w:pStyle w:val="5"/>
        <w:spacing w:line="255" w:lineRule="auto"/>
        <w:rPr>
          <w:color w:val="auto"/>
          <w:highlight w:val="none"/>
          <w:lang w:eastAsia="zh-CN"/>
        </w:rPr>
      </w:pPr>
    </w:p>
    <w:p w14:paraId="2A1C3507">
      <w:pPr>
        <w:spacing w:before="79" w:line="380" w:lineRule="auto"/>
        <w:ind w:right="69" w:firstLine="485"/>
        <w:jc w:val="both"/>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5.1.1</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1"/>
          <w:sz w:val="24"/>
          <w:szCs w:val="24"/>
          <w:highlight w:val="none"/>
          <w:lang w:eastAsia="zh-CN"/>
        </w:rPr>
        <w:t>采购人在规定的投标截止时间（开标时间）和</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须知前附表规定的地</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3"/>
          <w:sz w:val="24"/>
          <w:szCs w:val="24"/>
          <w:highlight w:val="none"/>
          <w:lang w:eastAsia="zh-CN"/>
        </w:rPr>
        <w:t>点公开开标</w:t>
      </w:r>
      <w:r>
        <w:rPr>
          <w:rFonts w:ascii="宋体" w:hAnsi="宋体" w:eastAsia="宋体" w:cs="宋体"/>
          <w:color w:val="auto"/>
          <w:spacing w:val="-64"/>
          <w:sz w:val="24"/>
          <w:szCs w:val="24"/>
          <w:highlight w:val="none"/>
          <w:lang w:eastAsia="zh-CN"/>
        </w:rPr>
        <w:t xml:space="preserve"> </w:t>
      </w:r>
      <w:r>
        <w:rPr>
          <w:rFonts w:ascii="宋体" w:hAnsi="宋体" w:eastAsia="宋体" w:cs="宋体"/>
          <w:color w:val="auto"/>
          <w:spacing w:val="13"/>
          <w:sz w:val="24"/>
          <w:szCs w:val="24"/>
          <w:highlight w:val="none"/>
          <w:lang w:eastAsia="zh-CN"/>
        </w:rPr>
        <w:t>。本项</w:t>
      </w:r>
      <w:r>
        <w:rPr>
          <w:rFonts w:ascii="宋体" w:hAnsi="宋体" w:eastAsia="宋体" w:cs="宋体"/>
          <w:color w:val="auto"/>
          <w:spacing w:val="-40"/>
          <w:sz w:val="24"/>
          <w:szCs w:val="24"/>
          <w:highlight w:val="none"/>
          <w:lang w:eastAsia="zh-CN"/>
        </w:rPr>
        <w:t xml:space="preserve"> </w:t>
      </w:r>
      <w:r>
        <w:rPr>
          <w:rFonts w:ascii="宋体" w:hAnsi="宋体" w:eastAsia="宋体" w:cs="宋体"/>
          <w:color w:val="auto"/>
          <w:spacing w:val="13"/>
          <w:sz w:val="24"/>
          <w:szCs w:val="24"/>
          <w:highlight w:val="none"/>
          <w:lang w:eastAsia="zh-CN"/>
        </w:rPr>
        <w:t>目采用“</w:t>
      </w:r>
      <w:r>
        <w:rPr>
          <w:rFonts w:ascii="宋体" w:hAnsi="宋体" w:eastAsia="宋体" w:cs="宋体"/>
          <w:color w:val="auto"/>
          <w:spacing w:val="-89"/>
          <w:sz w:val="24"/>
          <w:szCs w:val="24"/>
          <w:highlight w:val="none"/>
          <w:lang w:eastAsia="zh-CN"/>
        </w:rPr>
        <w:t xml:space="preserve"> </w:t>
      </w:r>
      <w:r>
        <w:rPr>
          <w:rFonts w:ascii="宋体" w:hAnsi="宋体" w:eastAsia="宋体" w:cs="宋体"/>
          <w:color w:val="auto"/>
          <w:spacing w:val="13"/>
          <w:sz w:val="24"/>
          <w:szCs w:val="24"/>
          <w:highlight w:val="none"/>
          <w:lang w:eastAsia="zh-CN"/>
        </w:rPr>
        <w:t>远程不见面</w:t>
      </w:r>
      <w:r>
        <w:rPr>
          <w:rFonts w:ascii="宋体" w:hAnsi="宋体" w:eastAsia="宋体" w:cs="宋体"/>
          <w:color w:val="auto"/>
          <w:spacing w:val="-65"/>
          <w:sz w:val="24"/>
          <w:szCs w:val="24"/>
          <w:highlight w:val="none"/>
          <w:lang w:eastAsia="zh-CN"/>
        </w:rPr>
        <w:t xml:space="preserve"> </w:t>
      </w:r>
      <w:r>
        <w:rPr>
          <w:rFonts w:ascii="宋体" w:hAnsi="宋体" w:eastAsia="宋体" w:cs="宋体"/>
          <w:color w:val="auto"/>
          <w:spacing w:val="13"/>
          <w:sz w:val="24"/>
          <w:szCs w:val="24"/>
          <w:highlight w:val="none"/>
          <w:lang w:eastAsia="zh-CN"/>
        </w:rPr>
        <w:t>”的开标方</w:t>
      </w:r>
      <w:r>
        <w:rPr>
          <w:rFonts w:ascii="宋体" w:hAnsi="宋体" w:eastAsia="宋体" w:cs="宋体"/>
          <w:color w:val="auto"/>
          <w:spacing w:val="12"/>
          <w:sz w:val="24"/>
          <w:szCs w:val="24"/>
          <w:highlight w:val="none"/>
          <w:lang w:eastAsia="zh-CN"/>
        </w:rPr>
        <w:t>式,载</w:t>
      </w:r>
      <w:r>
        <w:rPr>
          <w:rFonts w:ascii="宋体" w:hAnsi="宋体" w:eastAsia="宋体" w:cs="宋体"/>
          <w:color w:val="auto"/>
          <w:spacing w:val="-64"/>
          <w:sz w:val="24"/>
          <w:szCs w:val="24"/>
          <w:highlight w:val="none"/>
          <w:lang w:eastAsia="zh-CN"/>
        </w:rPr>
        <w:t xml:space="preserve"> </w:t>
      </w:r>
      <w:r>
        <w:rPr>
          <w:rFonts w:ascii="宋体" w:hAnsi="宋体" w:eastAsia="宋体" w:cs="宋体"/>
          <w:color w:val="auto"/>
          <w:spacing w:val="12"/>
          <w:sz w:val="24"/>
          <w:szCs w:val="24"/>
          <w:highlight w:val="none"/>
          <w:lang w:eastAsia="zh-CN"/>
        </w:rPr>
        <w:t>明远程开标大厅</w:t>
      </w:r>
      <w:r>
        <w:rPr>
          <w:rFonts w:ascii="宋体" w:hAnsi="宋体" w:eastAsia="宋体" w:cs="宋体"/>
          <w:color w:val="auto"/>
          <w:spacing w:val="-68"/>
          <w:sz w:val="24"/>
          <w:szCs w:val="24"/>
          <w:highlight w:val="none"/>
          <w:lang w:eastAsia="zh-CN"/>
        </w:rPr>
        <w:t xml:space="preserve"> </w:t>
      </w:r>
      <w:r>
        <w:rPr>
          <w:rFonts w:ascii="宋体" w:hAnsi="宋体" w:eastAsia="宋体" w:cs="宋体"/>
          <w:color w:val="auto"/>
          <w:spacing w:val="12"/>
          <w:sz w:val="24"/>
          <w:szCs w:val="24"/>
          <w:highlight w:val="none"/>
          <w:lang w:eastAsia="zh-CN"/>
        </w:rPr>
        <w:t>网址</w:t>
      </w:r>
      <w:r>
        <w:rPr>
          <w:rFonts w:ascii="宋体" w:hAnsi="宋体" w:eastAsia="宋体" w:cs="宋体"/>
          <w:color w:val="auto"/>
          <w:sz w:val="24"/>
          <w:szCs w:val="24"/>
          <w:highlight w:val="none"/>
          <w:lang w:eastAsia="zh-CN"/>
        </w:rPr>
        <w:t xml:space="preserve"> （http://</w:t>
      </w:r>
      <w:r>
        <w:rPr>
          <w:highlight w:val="none"/>
        </w:rPr>
        <w:fldChar w:fldCharType="begin"/>
      </w:r>
      <w:r>
        <w:rPr>
          <w:highlight w:val="none"/>
          <w:lang w:eastAsia="zh-CN"/>
        </w:rPr>
        <w:instrText xml:space="preserve"> HYPERLINK "122.112.246.33" </w:instrText>
      </w:r>
      <w:r>
        <w:rPr>
          <w:highlight w:val="none"/>
        </w:rPr>
        <w:fldChar w:fldCharType="separate"/>
      </w:r>
      <w:r>
        <w:rPr>
          <w:rFonts w:ascii="宋体" w:hAnsi="宋体" w:eastAsia="宋体" w:cs="宋体"/>
          <w:color w:val="auto"/>
          <w:sz w:val="24"/>
          <w:szCs w:val="24"/>
          <w:highlight w:val="none"/>
          <w:lang w:eastAsia="zh-CN"/>
        </w:rPr>
        <w:t>122.112.246.33</w:t>
      </w:r>
      <w:r>
        <w:rPr>
          <w:rFonts w:ascii="宋体" w:hAnsi="宋体" w:eastAsia="宋体" w:cs="宋体"/>
          <w:color w:val="auto"/>
          <w:sz w:val="24"/>
          <w:szCs w:val="24"/>
          <w:highlight w:val="none"/>
          <w:lang w:eastAsia="zh-CN"/>
        </w:rPr>
        <w:fldChar w:fldCharType="end"/>
      </w:r>
      <w:r>
        <w:rPr>
          <w:rFonts w:ascii="宋体" w:hAnsi="宋体" w:eastAsia="宋体" w:cs="宋体"/>
          <w:color w:val="auto"/>
          <w:sz w:val="24"/>
          <w:szCs w:val="24"/>
          <w:highlight w:val="none"/>
          <w:lang w:eastAsia="zh-CN"/>
        </w:rPr>
        <w:t>/BidOpening/bidopeninghallaction/hall/lo</w:t>
      </w:r>
      <w:r>
        <w:rPr>
          <w:rFonts w:ascii="宋体" w:hAnsi="宋体" w:eastAsia="宋体" w:cs="宋体"/>
          <w:color w:val="auto"/>
          <w:spacing w:val="-1"/>
          <w:sz w:val="24"/>
          <w:szCs w:val="24"/>
          <w:highlight w:val="none"/>
          <w:lang w:eastAsia="zh-CN"/>
        </w:rPr>
        <w:t>gin</w:t>
      </w:r>
      <w:r>
        <w:rPr>
          <w:rFonts w:ascii="宋体" w:hAnsi="宋体" w:eastAsia="宋体" w:cs="宋体"/>
          <w:color w:val="auto"/>
          <w:spacing w:val="46"/>
          <w:sz w:val="24"/>
          <w:szCs w:val="24"/>
          <w:highlight w:val="none"/>
          <w:lang w:eastAsia="zh-CN"/>
        </w:rPr>
        <w:t xml:space="preserve"> </w:t>
      </w:r>
      <w:r>
        <w:rPr>
          <w:rFonts w:ascii="宋体" w:hAnsi="宋体" w:eastAsia="宋体" w:cs="宋体"/>
          <w:color w:val="auto"/>
          <w:spacing w:val="-1"/>
          <w:sz w:val="24"/>
          <w:szCs w:val="24"/>
          <w:highlight w:val="none"/>
          <w:lang w:eastAsia="zh-CN"/>
        </w:rPr>
        <w:t>）。投</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标人无需到现场参加开标会议，无需到达现场提交原件资料。</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应</w:t>
      </w:r>
      <w:r>
        <w:rPr>
          <w:rFonts w:ascii="宋体" w:hAnsi="宋体" w:eastAsia="宋体" w:cs="宋体"/>
          <w:color w:val="auto"/>
          <w:spacing w:val="-3"/>
          <w:sz w:val="24"/>
          <w:szCs w:val="24"/>
          <w:highlight w:val="none"/>
          <w:lang w:eastAsia="zh-CN"/>
        </w:rPr>
        <w:t>当在线准时参</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加开标活动并进行文件解密、答疑澄清等。在规定时间内投标文件未解密的</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w:t>
      </w:r>
      <w:r>
        <w:rPr>
          <w:rFonts w:ascii="宋体" w:hAnsi="宋体" w:eastAsia="宋体" w:cs="宋体"/>
          <w:color w:val="auto"/>
          <w:spacing w:val="6"/>
          <w:sz w:val="24"/>
          <w:szCs w:val="24"/>
          <w:highlight w:val="none"/>
          <w:lang w:eastAsia="zh-CN"/>
        </w:rPr>
        <w:t xml:space="preserve"> </w:t>
      </w:r>
      <w:r>
        <w:rPr>
          <w:rFonts w:ascii="宋体" w:hAnsi="宋体" w:eastAsia="宋体" w:cs="宋体"/>
          <w:color w:val="auto"/>
          <w:spacing w:val="-2"/>
          <w:sz w:val="24"/>
          <w:szCs w:val="24"/>
          <w:highlight w:val="none"/>
          <w:lang w:eastAsia="zh-CN"/>
        </w:rPr>
        <w:t>视为放弃投标。</w:t>
      </w:r>
    </w:p>
    <w:p w14:paraId="326F6C57">
      <w:pPr>
        <w:spacing w:before="35" w:line="370" w:lineRule="auto"/>
        <w:ind w:left="2" w:right="69" w:firstLine="478"/>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所有投标文件必须在本招标文件中规定的投标截止时间之前提前上传投标文件，</w:t>
      </w:r>
      <w:r>
        <w:rPr>
          <w:rFonts w:ascii="宋体" w:hAnsi="宋体" w:eastAsia="宋体" w:cs="宋体"/>
          <w:color w:val="auto"/>
          <w:spacing w:val="1"/>
          <w:sz w:val="24"/>
          <w:szCs w:val="24"/>
          <w:highlight w:val="none"/>
          <w:lang w:eastAsia="zh-CN"/>
        </w:rPr>
        <w:t xml:space="preserve"> </w:t>
      </w:r>
      <w:r>
        <w:rPr>
          <w:rFonts w:ascii="宋体" w:hAnsi="宋体" w:eastAsia="宋体" w:cs="宋体"/>
          <w:color w:val="auto"/>
          <w:spacing w:val="-1"/>
          <w:sz w:val="24"/>
          <w:szCs w:val="24"/>
          <w:highlight w:val="none"/>
          <w:lang w:eastAsia="zh-CN"/>
        </w:rPr>
        <w:t>按要求解密投标文件，不能按时上传、解密者视为自动放弃投标。</w:t>
      </w:r>
    </w:p>
    <w:p w14:paraId="0E481510">
      <w:pPr>
        <w:spacing w:before="38" w:line="219" w:lineRule="auto"/>
        <w:ind w:left="485"/>
        <w:outlineLvl w:val="2"/>
        <w:rPr>
          <w:rFonts w:ascii="宋体" w:hAnsi="宋体" w:eastAsia="宋体" w:cs="宋体"/>
          <w:color w:val="auto"/>
          <w:sz w:val="24"/>
          <w:szCs w:val="24"/>
          <w:highlight w:val="none"/>
          <w:lang w:eastAsia="zh-CN"/>
        </w:rPr>
      </w:pPr>
      <w:bookmarkStart w:id="58" w:name="_Toc18073"/>
      <w:r>
        <w:rPr>
          <w:rFonts w:ascii="宋体" w:hAnsi="宋体" w:eastAsia="宋体" w:cs="宋体"/>
          <w:color w:val="auto"/>
          <w:spacing w:val="-3"/>
          <w:sz w:val="24"/>
          <w:szCs w:val="24"/>
          <w:highlight w:val="none"/>
          <w:lang w:eastAsia="zh-CN"/>
        </w:rPr>
        <w:t>5.1.2</w:t>
      </w:r>
      <w:r>
        <w:rPr>
          <w:rFonts w:ascii="宋体" w:hAnsi="宋体" w:eastAsia="宋体" w:cs="宋体"/>
          <w:color w:val="auto"/>
          <w:spacing w:val="-44"/>
          <w:sz w:val="24"/>
          <w:szCs w:val="24"/>
          <w:highlight w:val="none"/>
          <w:lang w:eastAsia="zh-CN"/>
        </w:rPr>
        <w:t xml:space="preserve"> </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不足</w:t>
      </w:r>
      <w:r>
        <w:rPr>
          <w:rFonts w:ascii="宋体" w:hAnsi="宋体" w:eastAsia="宋体" w:cs="宋体"/>
          <w:color w:val="auto"/>
          <w:spacing w:val="-46"/>
          <w:sz w:val="24"/>
          <w:szCs w:val="24"/>
          <w:highlight w:val="none"/>
          <w:lang w:eastAsia="zh-CN"/>
        </w:rPr>
        <w:t xml:space="preserve"> </w:t>
      </w:r>
      <w:r>
        <w:rPr>
          <w:rFonts w:ascii="宋体" w:hAnsi="宋体" w:eastAsia="宋体" w:cs="宋体"/>
          <w:color w:val="auto"/>
          <w:spacing w:val="-3"/>
          <w:sz w:val="24"/>
          <w:szCs w:val="24"/>
          <w:highlight w:val="none"/>
          <w:lang w:eastAsia="zh-CN"/>
        </w:rPr>
        <w:t>3</w:t>
      </w:r>
      <w:r>
        <w:rPr>
          <w:rFonts w:ascii="宋体" w:hAnsi="宋体" w:eastAsia="宋体" w:cs="宋体"/>
          <w:color w:val="auto"/>
          <w:spacing w:val="-49"/>
          <w:sz w:val="24"/>
          <w:szCs w:val="24"/>
          <w:highlight w:val="none"/>
          <w:lang w:eastAsia="zh-CN"/>
        </w:rPr>
        <w:t xml:space="preserve"> </w:t>
      </w:r>
      <w:r>
        <w:rPr>
          <w:rFonts w:ascii="宋体" w:hAnsi="宋体" w:eastAsia="宋体" w:cs="宋体"/>
          <w:color w:val="auto"/>
          <w:spacing w:val="-3"/>
          <w:sz w:val="24"/>
          <w:szCs w:val="24"/>
          <w:highlight w:val="none"/>
          <w:lang w:eastAsia="zh-CN"/>
        </w:rPr>
        <w:t>家的，不得开标。</w:t>
      </w:r>
      <w:bookmarkEnd w:id="58"/>
    </w:p>
    <w:p w14:paraId="539E002C">
      <w:pPr>
        <w:spacing w:before="214" w:line="220" w:lineRule="auto"/>
        <w:ind w:left="485"/>
        <w:rPr>
          <w:rFonts w:ascii="宋体" w:hAnsi="宋体" w:eastAsia="宋体" w:cs="宋体"/>
          <w:color w:val="auto"/>
          <w:sz w:val="24"/>
          <w:szCs w:val="24"/>
          <w:highlight w:val="none"/>
          <w:lang w:eastAsia="zh-CN"/>
        </w:rPr>
      </w:pPr>
      <w:r>
        <w:rPr>
          <w:rFonts w:ascii="宋体" w:hAnsi="宋体" w:eastAsia="宋体" w:cs="宋体"/>
          <w:b/>
          <w:bCs/>
          <w:color w:val="auto"/>
          <w:spacing w:val="-3"/>
          <w:sz w:val="24"/>
          <w:szCs w:val="24"/>
          <w:highlight w:val="none"/>
          <w:lang w:eastAsia="zh-CN"/>
        </w:rPr>
        <w:t>5.2</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开标时间和地点</w:t>
      </w:r>
    </w:p>
    <w:p w14:paraId="233AAA60">
      <w:pPr>
        <w:spacing w:before="213" w:line="373" w:lineRule="auto"/>
        <w:ind w:right="80" w:firstLine="48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采购人在本章第 2.2.2 项规定的投标截止时间（开标时间）和</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w:t>
      </w:r>
      <w:r>
        <w:rPr>
          <w:rFonts w:ascii="宋体" w:hAnsi="宋体" w:eastAsia="宋体" w:cs="宋体"/>
          <w:color w:val="auto"/>
          <w:spacing w:val="2"/>
          <w:sz w:val="24"/>
          <w:szCs w:val="24"/>
          <w:highlight w:val="none"/>
          <w:lang w:eastAsia="zh-CN"/>
        </w:rPr>
        <w:t xml:space="preserve"> </w:t>
      </w:r>
      <w:r>
        <w:rPr>
          <w:rFonts w:ascii="宋体" w:hAnsi="宋体" w:eastAsia="宋体" w:cs="宋体"/>
          <w:color w:val="auto"/>
          <w:spacing w:val="-1"/>
          <w:sz w:val="24"/>
          <w:szCs w:val="24"/>
          <w:highlight w:val="none"/>
          <w:lang w:eastAsia="zh-CN"/>
        </w:rPr>
        <w:t>表规定的地点公开开标。</w:t>
      </w:r>
    </w:p>
    <w:p w14:paraId="3A7EA9A2">
      <w:pPr>
        <w:spacing w:before="31" w:line="220" w:lineRule="auto"/>
        <w:ind w:left="485"/>
        <w:rPr>
          <w:rFonts w:ascii="宋体" w:hAnsi="宋体" w:eastAsia="宋体" w:cs="宋体"/>
          <w:color w:val="auto"/>
          <w:sz w:val="24"/>
          <w:szCs w:val="24"/>
          <w:highlight w:val="none"/>
          <w:lang w:eastAsia="zh-CN"/>
        </w:rPr>
      </w:pPr>
      <w:r>
        <w:rPr>
          <w:rFonts w:ascii="宋体" w:hAnsi="宋体" w:eastAsia="宋体" w:cs="宋体"/>
          <w:b/>
          <w:bCs/>
          <w:color w:val="auto"/>
          <w:spacing w:val="-6"/>
          <w:sz w:val="24"/>
          <w:szCs w:val="24"/>
          <w:highlight w:val="none"/>
          <w:lang w:eastAsia="zh-CN"/>
        </w:rPr>
        <w:t>5.3</w:t>
      </w:r>
      <w:r>
        <w:rPr>
          <w:rFonts w:ascii="宋体" w:hAnsi="宋体" w:eastAsia="宋体" w:cs="宋体"/>
          <w:color w:val="auto"/>
          <w:spacing w:val="-49"/>
          <w:sz w:val="24"/>
          <w:szCs w:val="24"/>
          <w:highlight w:val="none"/>
          <w:lang w:eastAsia="zh-CN"/>
        </w:rPr>
        <w:t xml:space="preserve"> </w:t>
      </w:r>
      <w:r>
        <w:rPr>
          <w:rFonts w:ascii="宋体" w:hAnsi="宋体" w:eastAsia="宋体" w:cs="宋体"/>
          <w:b/>
          <w:bCs/>
          <w:color w:val="auto"/>
          <w:spacing w:val="-6"/>
          <w:sz w:val="24"/>
          <w:szCs w:val="24"/>
          <w:highlight w:val="none"/>
          <w:lang w:eastAsia="zh-CN"/>
        </w:rPr>
        <w:t>开标程序</w:t>
      </w:r>
    </w:p>
    <w:p w14:paraId="563577F2">
      <w:pPr>
        <w:spacing w:before="213" w:line="219" w:lineRule="auto"/>
        <w:ind w:left="485"/>
        <w:outlineLvl w:val="2"/>
        <w:rPr>
          <w:rFonts w:ascii="宋体" w:hAnsi="宋体" w:eastAsia="宋体" w:cs="宋体"/>
          <w:color w:val="auto"/>
          <w:sz w:val="24"/>
          <w:szCs w:val="24"/>
          <w:highlight w:val="none"/>
          <w:lang w:eastAsia="zh-CN"/>
        </w:rPr>
      </w:pPr>
      <w:bookmarkStart w:id="59" w:name="_Toc21011"/>
      <w:r>
        <w:rPr>
          <w:rFonts w:ascii="宋体" w:hAnsi="宋体" w:eastAsia="宋体" w:cs="宋体"/>
          <w:color w:val="auto"/>
          <w:spacing w:val="-1"/>
          <w:sz w:val="24"/>
          <w:szCs w:val="24"/>
          <w:highlight w:val="none"/>
          <w:lang w:eastAsia="zh-CN"/>
        </w:rPr>
        <w:t>5.3.1</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1"/>
          <w:sz w:val="24"/>
          <w:szCs w:val="24"/>
          <w:highlight w:val="none"/>
          <w:lang w:eastAsia="zh-CN"/>
        </w:rPr>
        <w:t>本项目采用电子开标。投标截止时间到达后，各</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对电子投标文件进</w:t>
      </w:r>
      <w:bookmarkEnd w:id="59"/>
    </w:p>
    <w:p w14:paraId="204E9F48">
      <w:pPr>
        <w:spacing w:line="219" w:lineRule="auto"/>
        <w:rPr>
          <w:rFonts w:ascii="宋体" w:hAnsi="宋体" w:eastAsia="宋体" w:cs="宋体"/>
          <w:color w:val="auto"/>
          <w:sz w:val="24"/>
          <w:szCs w:val="24"/>
          <w:highlight w:val="none"/>
          <w:lang w:eastAsia="zh-CN"/>
        </w:rPr>
        <w:sectPr>
          <w:footerReference r:id="rId9" w:type="default"/>
          <w:pgSz w:w="11907" w:h="16840"/>
          <w:pgMar w:top="1431" w:right="1439" w:bottom="1139" w:left="1585" w:header="0" w:footer="977" w:gutter="0"/>
          <w:cols w:space="720" w:num="1"/>
        </w:sectPr>
      </w:pPr>
    </w:p>
    <w:p w14:paraId="723A7374">
      <w:pPr>
        <w:spacing w:before="205" w:line="370" w:lineRule="auto"/>
        <w:ind w:left="1" w:firstLine="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行解密。解密完成后各</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的电子投标文件的实质性内容将</w:t>
      </w:r>
      <w:r>
        <w:rPr>
          <w:rFonts w:ascii="宋体" w:hAnsi="宋体" w:eastAsia="宋体" w:cs="宋体"/>
          <w:color w:val="auto"/>
          <w:spacing w:val="-3"/>
          <w:sz w:val="24"/>
          <w:szCs w:val="24"/>
          <w:highlight w:val="none"/>
          <w:lang w:eastAsia="zh-CN"/>
        </w:rPr>
        <w:t>自动显示在网页中。投</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标人在投标截止时间前未上传电子投标文件的将被视为放弃投标。</w:t>
      </w:r>
    </w:p>
    <w:p w14:paraId="1F38D1CD">
      <w:pPr>
        <w:spacing w:before="35" w:line="219" w:lineRule="auto"/>
        <w:ind w:left="48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主持人按下列程序进行开标：</w:t>
      </w:r>
    </w:p>
    <w:p w14:paraId="7D6FD306">
      <w:pPr>
        <w:spacing w:before="215"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（1）宣布投标截止时间已到，不再接收投标文件；</w:t>
      </w:r>
    </w:p>
    <w:p w14:paraId="78D393EA">
      <w:pPr>
        <w:spacing w:before="214"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（2）宣布开标人、唱标人、记录人、监标人等有关人员姓名；</w:t>
      </w:r>
    </w:p>
    <w:p w14:paraId="2621DB32">
      <w:pPr>
        <w:spacing w:before="215"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（3）电子投标文件解密；</w:t>
      </w:r>
    </w:p>
    <w:p w14:paraId="2122A161">
      <w:pPr>
        <w:spacing w:before="216"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（4）宣布投标文件开标顺序，电子唱标并记录在案；</w:t>
      </w:r>
    </w:p>
    <w:p w14:paraId="34E442D5">
      <w:pPr>
        <w:spacing w:before="215"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（5）采购人、监标人等有关人员在开标记录上签字确认；</w:t>
      </w:r>
    </w:p>
    <w:p w14:paraId="2D03B3F6">
      <w:pPr>
        <w:spacing w:before="215"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（6）开标结束。</w:t>
      </w:r>
    </w:p>
    <w:p w14:paraId="09E725D1">
      <w:pPr>
        <w:spacing w:before="216" w:line="219" w:lineRule="auto"/>
        <w:ind w:left="485"/>
        <w:outlineLvl w:val="2"/>
        <w:rPr>
          <w:rFonts w:ascii="宋体" w:hAnsi="宋体" w:eastAsia="宋体" w:cs="宋体"/>
          <w:color w:val="auto"/>
          <w:sz w:val="24"/>
          <w:szCs w:val="24"/>
          <w:highlight w:val="none"/>
          <w:lang w:eastAsia="zh-CN"/>
        </w:rPr>
      </w:pPr>
      <w:bookmarkStart w:id="60" w:name="_Toc3273"/>
      <w:r>
        <w:rPr>
          <w:rFonts w:ascii="宋体" w:hAnsi="宋体" w:eastAsia="宋体" w:cs="宋体"/>
          <w:color w:val="auto"/>
          <w:spacing w:val="-1"/>
          <w:sz w:val="24"/>
          <w:szCs w:val="24"/>
          <w:highlight w:val="none"/>
          <w:lang w:eastAsia="zh-CN"/>
        </w:rPr>
        <w:t>5.3.2</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1"/>
          <w:sz w:val="24"/>
          <w:szCs w:val="24"/>
          <w:highlight w:val="none"/>
          <w:lang w:eastAsia="zh-CN"/>
        </w:rPr>
        <w:t>开标时出现下列情况的，采购人将拒绝其投标文件：</w:t>
      </w:r>
      <w:bookmarkEnd w:id="60"/>
    </w:p>
    <w:p w14:paraId="7AC05B50">
      <w:pPr>
        <w:spacing w:before="215"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（1）经检查数字证书无效的投标文件；</w:t>
      </w:r>
    </w:p>
    <w:p w14:paraId="689841C7">
      <w:pPr>
        <w:spacing w:before="214"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未按</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须知前附表规定的时间内解密投标文件的。</w:t>
      </w:r>
    </w:p>
    <w:p w14:paraId="7260CD77">
      <w:pPr>
        <w:spacing w:before="218" w:line="219" w:lineRule="auto"/>
        <w:ind w:left="485"/>
        <w:rPr>
          <w:rFonts w:ascii="宋体" w:hAnsi="宋体" w:eastAsia="宋体" w:cs="宋体"/>
          <w:color w:val="auto"/>
          <w:sz w:val="24"/>
          <w:szCs w:val="24"/>
          <w:highlight w:val="none"/>
          <w:lang w:eastAsia="zh-CN"/>
        </w:rPr>
      </w:pPr>
      <w:r>
        <w:rPr>
          <w:rFonts w:ascii="宋体" w:hAnsi="宋体" w:eastAsia="宋体" w:cs="宋体"/>
          <w:b/>
          <w:bCs/>
          <w:color w:val="auto"/>
          <w:spacing w:val="-6"/>
          <w:sz w:val="24"/>
          <w:szCs w:val="24"/>
          <w:highlight w:val="none"/>
          <w:lang w:eastAsia="zh-CN"/>
        </w:rPr>
        <w:t>5.4</w:t>
      </w:r>
      <w:r>
        <w:rPr>
          <w:rFonts w:ascii="宋体" w:hAnsi="宋体" w:eastAsia="宋体" w:cs="宋体"/>
          <w:color w:val="auto"/>
          <w:spacing w:val="-49"/>
          <w:sz w:val="24"/>
          <w:szCs w:val="24"/>
          <w:highlight w:val="none"/>
          <w:lang w:eastAsia="zh-CN"/>
        </w:rPr>
        <w:t xml:space="preserve"> </w:t>
      </w:r>
      <w:r>
        <w:rPr>
          <w:rFonts w:ascii="宋体" w:hAnsi="宋体" w:eastAsia="宋体" w:cs="宋体"/>
          <w:b/>
          <w:bCs/>
          <w:color w:val="auto"/>
          <w:spacing w:val="-6"/>
          <w:sz w:val="24"/>
          <w:szCs w:val="24"/>
          <w:highlight w:val="none"/>
          <w:lang w:eastAsia="zh-CN"/>
        </w:rPr>
        <w:t>开标异议</w:t>
      </w:r>
    </w:p>
    <w:p w14:paraId="035B077D">
      <w:pPr>
        <w:spacing w:before="215" w:line="301" w:lineRule="auto"/>
        <w:ind w:right="48" w:firstLine="485"/>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5.4.1</w:t>
      </w:r>
      <w:r>
        <w:rPr>
          <w:rFonts w:ascii="宋体" w:hAnsi="宋体" w:eastAsia="宋体" w:cs="宋体"/>
          <w:color w:val="auto"/>
          <w:spacing w:val="-47"/>
          <w:sz w:val="24"/>
          <w:szCs w:val="24"/>
          <w:highlight w:val="none"/>
          <w:lang w:eastAsia="zh-CN"/>
        </w:rPr>
        <w:t xml:space="preserve">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对开标有异议的，应当在开标现场提出（语音异议、文字异议</w:t>
      </w:r>
      <w:r>
        <w:rPr>
          <w:rFonts w:ascii="宋体" w:hAnsi="宋体" w:eastAsia="宋体" w:cs="宋体"/>
          <w:color w:val="auto"/>
          <w:spacing w:val="-26"/>
          <w:sz w:val="24"/>
          <w:szCs w:val="24"/>
          <w:highlight w:val="none"/>
          <w:lang w:eastAsia="zh-CN"/>
        </w:rPr>
        <w:t>），</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采购人当场作出答复，并制作记录。</w:t>
      </w:r>
    </w:p>
    <w:p w14:paraId="060FD44D">
      <w:pPr>
        <w:spacing w:before="218" w:line="219" w:lineRule="auto"/>
        <w:ind w:left="485"/>
        <w:outlineLvl w:val="2"/>
        <w:rPr>
          <w:rFonts w:ascii="宋体" w:hAnsi="宋体" w:eastAsia="宋体" w:cs="宋体"/>
          <w:color w:val="auto"/>
          <w:sz w:val="24"/>
          <w:szCs w:val="24"/>
          <w:highlight w:val="none"/>
          <w:lang w:eastAsia="zh-CN"/>
        </w:rPr>
      </w:pPr>
      <w:bookmarkStart w:id="61" w:name="_Toc6442"/>
      <w:r>
        <w:rPr>
          <w:rFonts w:ascii="宋体" w:hAnsi="宋体" w:eastAsia="宋体" w:cs="宋体"/>
          <w:color w:val="auto"/>
          <w:spacing w:val="-3"/>
          <w:sz w:val="24"/>
          <w:szCs w:val="24"/>
          <w:highlight w:val="none"/>
          <w:lang w:eastAsia="zh-CN"/>
        </w:rPr>
        <w:t>5.4.2</w:t>
      </w:r>
      <w:r>
        <w:rPr>
          <w:rFonts w:ascii="宋体" w:hAnsi="宋体" w:eastAsia="宋体" w:cs="宋体"/>
          <w:color w:val="auto"/>
          <w:spacing w:val="-43"/>
          <w:sz w:val="24"/>
          <w:szCs w:val="24"/>
          <w:highlight w:val="none"/>
          <w:lang w:eastAsia="zh-CN"/>
        </w:rPr>
        <w:t xml:space="preserve"> </w:t>
      </w:r>
      <w:r>
        <w:rPr>
          <w:rFonts w:ascii="宋体" w:hAnsi="宋体" w:eastAsia="宋体" w:cs="宋体"/>
          <w:color w:val="auto"/>
          <w:spacing w:val="-3"/>
          <w:sz w:val="24"/>
          <w:szCs w:val="24"/>
          <w:highlight w:val="none"/>
          <w:lang w:eastAsia="zh-CN"/>
        </w:rPr>
        <w:t>开标异常处理</w:t>
      </w:r>
      <w:bookmarkEnd w:id="61"/>
    </w:p>
    <w:p w14:paraId="0EFA7AF1">
      <w:pPr>
        <w:spacing w:before="213" w:line="371" w:lineRule="auto"/>
        <w:ind w:left="2" w:firstLine="493"/>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当出现以下情况时，应对未开标的项目中止电子开标，对原有资料及信息作出妥</w:t>
      </w:r>
      <w:r>
        <w:rPr>
          <w:rFonts w:ascii="宋体" w:hAnsi="宋体" w:eastAsia="宋体" w:cs="宋体"/>
          <w:color w:val="auto"/>
          <w:spacing w:val="9"/>
          <w:sz w:val="24"/>
          <w:szCs w:val="24"/>
          <w:highlight w:val="none"/>
          <w:lang w:eastAsia="zh-CN"/>
        </w:rPr>
        <w:t xml:space="preserve"> </w:t>
      </w:r>
      <w:r>
        <w:rPr>
          <w:rFonts w:ascii="宋体" w:hAnsi="宋体" w:eastAsia="宋体" w:cs="宋体"/>
          <w:color w:val="auto"/>
          <w:spacing w:val="-1"/>
          <w:sz w:val="24"/>
          <w:szCs w:val="24"/>
          <w:highlight w:val="none"/>
          <w:lang w:eastAsia="zh-CN"/>
        </w:rPr>
        <w:t>善保密处理，并在恢复正常后及时安排时间开标：</w:t>
      </w:r>
    </w:p>
    <w:p w14:paraId="13C54096">
      <w:pPr>
        <w:spacing w:before="38"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（1）系统服务器发生故障，无法访问或无法使用系统；</w:t>
      </w:r>
    </w:p>
    <w:p w14:paraId="3BA0D7A4">
      <w:pPr>
        <w:spacing w:before="214"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（2）系统的软件或数据库出现错误，不能进行正常操作；</w:t>
      </w:r>
    </w:p>
    <w:p w14:paraId="554F31C8">
      <w:pPr>
        <w:spacing w:before="214" w:line="220"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（3）系统发现有安全漏洞，有潜在的泄密危险；</w:t>
      </w:r>
    </w:p>
    <w:p w14:paraId="222B1901">
      <w:pPr>
        <w:spacing w:before="215"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（4）出现断电事故且短时间内无法恢复供电；</w:t>
      </w:r>
    </w:p>
    <w:p w14:paraId="4B657438">
      <w:pPr>
        <w:spacing w:before="215" w:line="220"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（5） 其他无法保证招投标过程正常进行的情形。</w:t>
      </w:r>
    </w:p>
    <w:p w14:paraId="36E94AEB">
      <w:pPr>
        <w:spacing w:before="214" w:line="219" w:lineRule="auto"/>
        <w:ind w:left="485"/>
        <w:rPr>
          <w:rFonts w:ascii="宋体" w:hAnsi="宋体" w:eastAsia="宋体" w:cs="宋体"/>
          <w:color w:val="auto"/>
          <w:sz w:val="24"/>
          <w:szCs w:val="24"/>
          <w:highlight w:val="none"/>
          <w:lang w:eastAsia="zh-CN"/>
        </w:rPr>
      </w:pPr>
      <w:r>
        <w:rPr>
          <w:rFonts w:ascii="宋体" w:hAnsi="宋体" w:eastAsia="宋体" w:cs="宋体"/>
          <w:b/>
          <w:bCs/>
          <w:color w:val="auto"/>
          <w:spacing w:val="-6"/>
          <w:sz w:val="24"/>
          <w:szCs w:val="24"/>
          <w:highlight w:val="none"/>
          <w:lang w:eastAsia="zh-CN"/>
        </w:rPr>
        <w:t>5.5</w:t>
      </w:r>
      <w:r>
        <w:rPr>
          <w:rFonts w:ascii="宋体" w:hAnsi="宋体" w:eastAsia="宋体" w:cs="宋体"/>
          <w:color w:val="auto"/>
          <w:spacing w:val="23"/>
          <w:sz w:val="24"/>
          <w:szCs w:val="24"/>
          <w:highlight w:val="none"/>
          <w:lang w:eastAsia="zh-CN"/>
        </w:rPr>
        <w:t xml:space="preserve"> </w:t>
      </w:r>
      <w:r>
        <w:rPr>
          <w:rFonts w:ascii="宋体" w:hAnsi="宋体" w:eastAsia="宋体" w:cs="宋体"/>
          <w:b/>
          <w:bCs/>
          <w:color w:val="auto"/>
          <w:spacing w:val="-6"/>
          <w:sz w:val="24"/>
          <w:szCs w:val="24"/>
          <w:highlight w:val="none"/>
          <w:lang w:eastAsia="zh-CN"/>
        </w:rPr>
        <w:t>资格审查工作</w:t>
      </w:r>
    </w:p>
    <w:p w14:paraId="5D7B56F9">
      <w:pPr>
        <w:spacing w:before="217" w:line="375" w:lineRule="auto"/>
        <w:ind w:firstLine="479"/>
        <w:jc w:val="both"/>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采购人或代理机构根据有关法律法规和招标文件的规定，</w:t>
      </w:r>
      <w:r>
        <w:rPr>
          <w:rFonts w:ascii="宋体" w:hAnsi="宋体" w:eastAsia="宋体" w:cs="宋体"/>
          <w:color w:val="auto"/>
          <w:spacing w:val="-3"/>
          <w:sz w:val="24"/>
          <w:szCs w:val="24"/>
          <w:highlight w:val="none"/>
          <w:lang w:eastAsia="zh-CN"/>
        </w:rPr>
        <w:t>对</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的资格进行审</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查，审查每个</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提交的资格证明材料是否齐全、完整、合法、有效</w:t>
      </w:r>
      <w:r>
        <w:rPr>
          <w:rFonts w:ascii="宋体" w:hAnsi="宋体" w:eastAsia="宋体" w:cs="宋体"/>
          <w:color w:val="auto"/>
          <w:spacing w:val="-3"/>
          <w:sz w:val="24"/>
          <w:szCs w:val="24"/>
          <w:highlight w:val="none"/>
          <w:lang w:eastAsia="zh-CN"/>
        </w:rPr>
        <w:t>。资格性审查</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通过不足</w:t>
      </w:r>
      <w:r>
        <w:rPr>
          <w:rFonts w:ascii="宋体" w:hAnsi="宋体" w:eastAsia="宋体" w:cs="宋体"/>
          <w:color w:val="auto"/>
          <w:spacing w:val="-44"/>
          <w:sz w:val="24"/>
          <w:szCs w:val="24"/>
          <w:highlight w:val="none"/>
          <w:lang w:eastAsia="zh-CN"/>
        </w:rPr>
        <w:t xml:space="preserve"> </w:t>
      </w:r>
      <w:r>
        <w:rPr>
          <w:rFonts w:ascii="宋体" w:hAnsi="宋体" w:eastAsia="宋体" w:cs="宋体"/>
          <w:color w:val="auto"/>
          <w:spacing w:val="-2"/>
          <w:sz w:val="24"/>
          <w:szCs w:val="24"/>
          <w:highlight w:val="none"/>
          <w:lang w:eastAsia="zh-CN"/>
        </w:rPr>
        <w:t>3</w:t>
      </w:r>
      <w:r>
        <w:rPr>
          <w:rFonts w:ascii="宋体" w:hAnsi="宋体" w:eastAsia="宋体" w:cs="宋体"/>
          <w:color w:val="auto"/>
          <w:spacing w:val="-49"/>
          <w:sz w:val="24"/>
          <w:szCs w:val="24"/>
          <w:highlight w:val="none"/>
          <w:lang w:eastAsia="zh-CN"/>
        </w:rPr>
        <w:t xml:space="preserve"> </w:t>
      </w:r>
      <w:r>
        <w:rPr>
          <w:rFonts w:ascii="宋体" w:hAnsi="宋体" w:eastAsia="宋体" w:cs="宋体"/>
          <w:color w:val="auto"/>
          <w:spacing w:val="-2"/>
          <w:sz w:val="24"/>
          <w:szCs w:val="24"/>
          <w:highlight w:val="none"/>
          <w:lang w:eastAsia="zh-CN"/>
        </w:rPr>
        <w:t>家的，将不再进行下一步评审。</w:t>
      </w:r>
    </w:p>
    <w:p w14:paraId="77104029">
      <w:pPr>
        <w:spacing w:line="375" w:lineRule="auto"/>
        <w:rPr>
          <w:rFonts w:ascii="宋体" w:hAnsi="宋体" w:eastAsia="宋体" w:cs="宋体"/>
          <w:color w:val="auto"/>
          <w:sz w:val="24"/>
          <w:szCs w:val="24"/>
          <w:highlight w:val="none"/>
          <w:lang w:eastAsia="zh-CN"/>
        </w:rPr>
        <w:sectPr>
          <w:footerReference r:id="rId10" w:type="default"/>
          <w:pgSz w:w="11907" w:h="16840"/>
          <w:pgMar w:top="1431" w:right="1519" w:bottom="1139" w:left="1585" w:header="0" w:footer="977" w:gutter="0"/>
          <w:cols w:space="720" w:num="1"/>
        </w:sectPr>
      </w:pPr>
    </w:p>
    <w:p w14:paraId="22DF4309">
      <w:pPr>
        <w:spacing w:before="204" w:line="220" w:lineRule="auto"/>
        <w:ind w:left="482"/>
        <w:outlineLvl w:val="1"/>
        <w:rPr>
          <w:rFonts w:ascii="宋体" w:hAnsi="宋体" w:eastAsia="宋体" w:cs="宋体"/>
          <w:color w:val="auto"/>
          <w:sz w:val="24"/>
          <w:szCs w:val="24"/>
          <w:highlight w:val="none"/>
          <w:lang w:eastAsia="zh-CN"/>
        </w:rPr>
      </w:pPr>
      <w:bookmarkStart w:id="62" w:name="_Toc683"/>
      <w:r>
        <w:rPr>
          <w:rFonts w:ascii="宋体" w:hAnsi="宋体" w:eastAsia="宋体" w:cs="宋体"/>
          <w:b/>
          <w:bCs/>
          <w:color w:val="auto"/>
          <w:spacing w:val="-6"/>
          <w:sz w:val="24"/>
          <w:szCs w:val="24"/>
          <w:highlight w:val="none"/>
          <w:lang w:eastAsia="zh-CN"/>
        </w:rPr>
        <w:t>6.评标</w:t>
      </w:r>
      <w:bookmarkEnd w:id="62"/>
    </w:p>
    <w:p w14:paraId="08ED0524">
      <w:pPr>
        <w:pStyle w:val="5"/>
        <w:spacing w:line="253" w:lineRule="auto"/>
        <w:rPr>
          <w:color w:val="auto"/>
          <w:highlight w:val="none"/>
          <w:lang w:eastAsia="zh-CN"/>
        </w:rPr>
      </w:pPr>
    </w:p>
    <w:p w14:paraId="31A9FE8D">
      <w:pPr>
        <w:spacing w:before="78" w:line="219" w:lineRule="auto"/>
        <w:ind w:left="482"/>
        <w:outlineLvl w:val="2"/>
        <w:rPr>
          <w:rFonts w:ascii="宋体" w:hAnsi="宋体" w:eastAsia="宋体" w:cs="宋体"/>
          <w:color w:val="auto"/>
          <w:sz w:val="24"/>
          <w:szCs w:val="24"/>
          <w:highlight w:val="none"/>
          <w:lang w:eastAsia="zh-CN"/>
        </w:rPr>
      </w:pPr>
      <w:bookmarkStart w:id="63" w:name="_Toc3495"/>
      <w:r>
        <w:rPr>
          <w:rFonts w:ascii="宋体" w:hAnsi="宋体" w:eastAsia="宋体" w:cs="宋体"/>
          <w:b/>
          <w:bCs/>
          <w:color w:val="auto"/>
          <w:spacing w:val="-3"/>
          <w:sz w:val="24"/>
          <w:szCs w:val="24"/>
          <w:highlight w:val="none"/>
          <w:lang w:eastAsia="zh-CN"/>
        </w:rPr>
        <w:t>6.1</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评标委员会</w:t>
      </w:r>
      <w:bookmarkEnd w:id="63"/>
    </w:p>
    <w:p w14:paraId="0B46A89F">
      <w:pPr>
        <w:spacing w:before="215" w:line="302" w:lineRule="auto"/>
        <w:ind w:right="50" w:firstLine="48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6.1.1  评标由采购人依法组建的评标委员会负责。评标委员会由采购人代表和</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评审专家组成。评标委员会成员人数以及评审专家的确</w:t>
      </w:r>
      <w:r>
        <w:rPr>
          <w:rFonts w:ascii="宋体" w:hAnsi="宋体" w:eastAsia="宋体" w:cs="宋体"/>
          <w:color w:val="auto"/>
          <w:spacing w:val="-2"/>
          <w:sz w:val="24"/>
          <w:szCs w:val="24"/>
          <w:highlight w:val="none"/>
          <w:lang w:eastAsia="zh-CN"/>
        </w:rPr>
        <w:t>定方式见</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须知前附表。</w:t>
      </w:r>
    </w:p>
    <w:p w14:paraId="1C4CD4FF">
      <w:pPr>
        <w:spacing w:before="214" w:line="219" w:lineRule="auto"/>
        <w:ind w:left="48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6.1.2  评标委员会成员有下列情形之一的，应当回避：</w:t>
      </w:r>
    </w:p>
    <w:p w14:paraId="3BB79DA8">
      <w:pPr>
        <w:spacing w:before="214"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或</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的主要负责人的近亲属；</w:t>
      </w:r>
    </w:p>
    <w:p w14:paraId="55C5EE5B">
      <w:pPr>
        <w:spacing w:before="217"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（2）项目主管部门或者行政监督部门的人员；</w:t>
      </w:r>
    </w:p>
    <w:p w14:paraId="60A8B5F2">
      <w:pPr>
        <w:spacing w:before="214"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（3）与</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有经济利益关系，可能影响对投标公正评审的；</w:t>
      </w:r>
    </w:p>
    <w:p w14:paraId="44F6C1F1">
      <w:pPr>
        <w:spacing w:before="215" w:line="303" w:lineRule="auto"/>
        <w:ind w:right="80" w:firstLine="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（4）曾因在招标、评标以及其他与招标投标有关活动中从事违</w:t>
      </w:r>
      <w:r>
        <w:rPr>
          <w:rFonts w:ascii="宋体" w:hAnsi="宋体" w:eastAsia="宋体" w:cs="宋体"/>
          <w:color w:val="auto"/>
          <w:sz w:val="24"/>
          <w:szCs w:val="24"/>
          <w:highlight w:val="none"/>
          <w:lang w:eastAsia="zh-CN"/>
        </w:rPr>
        <w:t xml:space="preserve">法行为而受过行 </w:t>
      </w:r>
      <w:r>
        <w:rPr>
          <w:rFonts w:ascii="宋体" w:hAnsi="宋体" w:eastAsia="宋体" w:cs="宋体"/>
          <w:color w:val="auto"/>
          <w:spacing w:val="-1"/>
          <w:sz w:val="24"/>
          <w:szCs w:val="24"/>
          <w:highlight w:val="none"/>
          <w:lang w:eastAsia="zh-CN"/>
        </w:rPr>
        <w:t>政处罚或刑事处罚的。</w:t>
      </w:r>
    </w:p>
    <w:p w14:paraId="37762276">
      <w:pPr>
        <w:spacing w:before="213" w:line="220" w:lineRule="auto"/>
        <w:ind w:left="482"/>
        <w:outlineLvl w:val="2"/>
        <w:rPr>
          <w:rFonts w:ascii="宋体" w:hAnsi="宋体" w:eastAsia="宋体" w:cs="宋体"/>
          <w:color w:val="auto"/>
          <w:sz w:val="24"/>
          <w:szCs w:val="24"/>
          <w:highlight w:val="none"/>
          <w:lang w:eastAsia="zh-CN"/>
        </w:rPr>
      </w:pPr>
      <w:bookmarkStart w:id="64" w:name="_Toc31722"/>
      <w:r>
        <w:rPr>
          <w:rFonts w:ascii="宋体" w:hAnsi="宋体" w:eastAsia="宋体" w:cs="宋体"/>
          <w:b/>
          <w:bCs/>
          <w:color w:val="auto"/>
          <w:spacing w:val="-4"/>
          <w:sz w:val="24"/>
          <w:szCs w:val="24"/>
          <w:highlight w:val="none"/>
          <w:lang w:eastAsia="zh-CN"/>
        </w:rPr>
        <w:t>6.2</w:t>
      </w:r>
      <w:r>
        <w:rPr>
          <w:rFonts w:ascii="宋体" w:hAnsi="宋体" w:eastAsia="宋体" w:cs="宋体"/>
          <w:color w:val="auto"/>
          <w:spacing w:val="-4"/>
          <w:sz w:val="24"/>
          <w:szCs w:val="24"/>
          <w:highlight w:val="none"/>
          <w:lang w:eastAsia="zh-CN"/>
        </w:rPr>
        <w:t xml:space="preserve"> </w:t>
      </w:r>
      <w:r>
        <w:rPr>
          <w:rFonts w:ascii="宋体" w:hAnsi="宋体" w:eastAsia="宋体" w:cs="宋体"/>
          <w:b/>
          <w:bCs/>
          <w:color w:val="auto"/>
          <w:spacing w:val="-4"/>
          <w:sz w:val="24"/>
          <w:szCs w:val="24"/>
          <w:highlight w:val="none"/>
          <w:lang w:eastAsia="zh-CN"/>
        </w:rPr>
        <w:t>评标原则</w:t>
      </w:r>
      <w:bookmarkEnd w:id="64"/>
    </w:p>
    <w:p w14:paraId="41C96127">
      <w:pPr>
        <w:spacing w:before="213" w:line="219" w:lineRule="auto"/>
        <w:ind w:left="48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评标活动遵循公平、公正、科学和择优的原则。</w:t>
      </w:r>
    </w:p>
    <w:p w14:paraId="51026998">
      <w:pPr>
        <w:spacing w:before="217" w:line="220" w:lineRule="auto"/>
        <w:ind w:left="482"/>
        <w:outlineLvl w:val="2"/>
        <w:rPr>
          <w:rFonts w:ascii="宋体" w:hAnsi="宋体" w:eastAsia="宋体" w:cs="宋体"/>
          <w:color w:val="auto"/>
          <w:sz w:val="24"/>
          <w:szCs w:val="24"/>
          <w:highlight w:val="none"/>
          <w:lang w:eastAsia="zh-CN"/>
        </w:rPr>
      </w:pPr>
      <w:bookmarkStart w:id="65" w:name="_Toc4716"/>
      <w:r>
        <w:rPr>
          <w:rFonts w:ascii="宋体" w:hAnsi="宋体" w:eastAsia="宋体" w:cs="宋体"/>
          <w:b/>
          <w:bCs/>
          <w:color w:val="auto"/>
          <w:spacing w:val="-6"/>
          <w:sz w:val="24"/>
          <w:szCs w:val="24"/>
          <w:highlight w:val="none"/>
          <w:lang w:eastAsia="zh-CN"/>
        </w:rPr>
        <w:t>6.3</w:t>
      </w:r>
      <w:r>
        <w:rPr>
          <w:rFonts w:ascii="宋体" w:hAnsi="宋体" w:eastAsia="宋体" w:cs="宋体"/>
          <w:color w:val="auto"/>
          <w:spacing w:val="8"/>
          <w:sz w:val="24"/>
          <w:szCs w:val="24"/>
          <w:highlight w:val="none"/>
          <w:lang w:eastAsia="zh-CN"/>
        </w:rPr>
        <w:t xml:space="preserve"> </w:t>
      </w:r>
      <w:r>
        <w:rPr>
          <w:rFonts w:ascii="宋体" w:hAnsi="宋体" w:eastAsia="宋体" w:cs="宋体"/>
          <w:b/>
          <w:bCs/>
          <w:color w:val="auto"/>
          <w:spacing w:val="-6"/>
          <w:sz w:val="24"/>
          <w:szCs w:val="24"/>
          <w:highlight w:val="none"/>
          <w:lang w:eastAsia="zh-CN"/>
        </w:rPr>
        <w:t>评标</w:t>
      </w:r>
      <w:bookmarkEnd w:id="65"/>
    </w:p>
    <w:p w14:paraId="46438991">
      <w:pPr>
        <w:spacing w:before="214" w:line="330" w:lineRule="auto"/>
        <w:ind w:left="4" w:right="80" w:firstLine="478"/>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6.3.1</w:t>
      </w:r>
      <w:r>
        <w:rPr>
          <w:rFonts w:ascii="宋体" w:hAnsi="宋体" w:eastAsia="宋体" w:cs="宋体"/>
          <w:color w:val="auto"/>
          <w:spacing w:val="-45"/>
          <w:sz w:val="24"/>
          <w:szCs w:val="24"/>
          <w:highlight w:val="none"/>
          <w:lang w:eastAsia="zh-CN"/>
        </w:rPr>
        <w:t xml:space="preserve"> </w:t>
      </w:r>
      <w:r>
        <w:rPr>
          <w:rFonts w:ascii="宋体" w:hAnsi="宋体" w:eastAsia="宋体" w:cs="宋体"/>
          <w:color w:val="auto"/>
          <w:spacing w:val="-1"/>
          <w:sz w:val="24"/>
          <w:szCs w:val="24"/>
          <w:highlight w:val="none"/>
          <w:lang w:eastAsia="zh-CN"/>
        </w:rPr>
        <w:t>在评审过程中，评标委员会发现</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有下列情形之一的，视为</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相</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互串通投标，按照无效投标处理并依据法律、法规追究其相关</w:t>
      </w:r>
      <w:r>
        <w:rPr>
          <w:rFonts w:ascii="宋体" w:hAnsi="宋体" w:eastAsia="宋体" w:cs="宋体"/>
          <w:color w:val="auto"/>
          <w:spacing w:val="-3"/>
          <w:sz w:val="24"/>
          <w:szCs w:val="24"/>
          <w:highlight w:val="none"/>
          <w:lang w:eastAsia="zh-CN"/>
        </w:rPr>
        <w:t>责任。具体表现形式如</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7"/>
          <w:sz w:val="24"/>
          <w:szCs w:val="24"/>
          <w:highlight w:val="none"/>
          <w:lang w:eastAsia="zh-CN"/>
        </w:rPr>
        <w:t>下：</w:t>
      </w:r>
    </w:p>
    <w:p w14:paraId="129E20B5">
      <w:pPr>
        <w:spacing w:before="213"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（1）不同</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的投标文件由同一单位或者个人编制；</w:t>
      </w:r>
    </w:p>
    <w:p w14:paraId="2BD44C0F">
      <w:pPr>
        <w:spacing w:before="214"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（2）不同</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委托同一单位或者个人办理投标事宜；</w:t>
      </w:r>
    </w:p>
    <w:p w14:paraId="05475C93">
      <w:pPr>
        <w:spacing w:before="217"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（3）不同</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的投标文件载明的项目管理成员或者联系人员为同一人；</w:t>
      </w:r>
    </w:p>
    <w:p w14:paraId="6CF603FC">
      <w:pPr>
        <w:spacing w:before="214" w:line="218"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（4）不同</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的投标文件异常一致或者投标报价呈规律性差异；</w:t>
      </w:r>
    </w:p>
    <w:p w14:paraId="12682261">
      <w:pPr>
        <w:spacing w:before="216" w:line="219" w:lineRule="auto"/>
        <w:ind w:left="49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（5）不同</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的投标文件相互混装；</w:t>
      </w:r>
    </w:p>
    <w:p w14:paraId="67067F82">
      <w:pPr>
        <w:spacing w:before="216" w:line="303" w:lineRule="auto"/>
        <w:ind w:left="3" w:right="80" w:firstLine="488"/>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（6）有证据证明</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与采购人、采购代理机构或者其他</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z w:val="24"/>
          <w:szCs w:val="24"/>
          <w:highlight w:val="none"/>
          <w:lang w:eastAsia="zh-CN"/>
        </w:rPr>
        <w:t xml:space="preserve">串通的其他情 </w:t>
      </w:r>
      <w:r>
        <w:rPr>
          <w:rFonts w:ascii="宋体" w:hAnsi="宋体" w:eastAsia="宋体" w:cs="宋体"/>
          <w:color w:val="auto"/>
          <w:spacing w:val="-7"/>
          <w:sz w:val="24"/>
          <w:szCs w:val="24"/>
          <w:highlight w:val="none"/>
          <w:lang w:eastAsia="zh-CN"/>
        </w:rPr>
        <w:t>形；</w:t>
      </w:r>
    </w:p>
    <w:p w14:paraId="73B4556F">
      <w:pPr>
        <w:spacing w:before="213" w:line="329" w:lineRule="auto"/>
        <w:ind w:firstLine="48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6.3.2</w:t>
      </w:r>
      <w:r>
        <w:rPr>
          <w:rFonts w:ascii="宋体" w:hAnsi="宋体" w:eastAsia="宋体" w:cs="宋体"/>
          <w:color w:val="auto"/>
          <w:spacing w:val="-45"/>
          <w:sz w:val="24"/>
          <w:szCs w:val="24"/>
          <w:highlight w:val="none"/>
          <w:lang w:eastAsia="zh-CN"/>
        </w:rPr>
        <w:t xml:space="preserve"> </w:t>
      </w:r>
      <w:r>
        <w:rPr>
          <w:rFonts w:ascii="宋体" w:hAnsi="宋体" w:eastAsia="宋体" w:cs="宋体"/>
          <w:color w:val="auto"/>
          <w:spacing w:val="-1"/>
          <w:sz w:val="24"/>
          <w:szCs w:val="24"/>
          <w:highlight w:val="none"/>
          <w:lang w:eastAsia="zh-CN"/>
        </w:rPr>
        <w:t>评标委员会应当按照招标文件中规定的评标方法和标准，对符合性审查合</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6"/>
          <w:sz w:val="24"/>
          <w:szCs w:val="24"/>
          <w:highlight w:val="none"/>
          <w:lang w:eastAsia="zh-CN"/>
        </w:rPr>
        <w:t>格的投标文件进行商务和技术评估，综合比较与评价。招标文</w:t>
      </w:r>
      <w:r>
        <w:rPr>
          <w:rFonts w:ascii="宋体" w:hAnsi="宋体" w:eastAsia="宋体" w:cs="宋体"/>
          <w:color w:val="auto"/>
          <w:spacing w:val="-7"/>
          <w:sz w:val="24"/>
          <w:szCs w:val="24"/>
          <w:highlight w:val="none"/>
          <w:lang w:eastAsia="zh-CN"/>
        </w:rPr>
        <w:t>件没有规定的评标方法、</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评审因素和标准，不作为评标依据。</w:t>
      </w:r>
    </w:p>
    <w:p w14:paraId="69A8293D">
      <w:pPr>
        <w:spacing w:before="215" w:line="218" w:lineRule="auto"/>
        <w:ind w:left="48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6.3.3</w:t>
      </w:r>
      <w:r>
        <w:rPr>
          <w:rFonts w:ascii="宋体" w:hAnsi="宋体" w:eastAsia="宋体" w:cs="宋体"/>
          <w:color w:val="auto"/>
          <w:spacing w:val="-36"/>
          <w:sz w:val="24"/>
          <w:szCs w:val="24"/>
          <w:highlight w:val="none"/>
          <w:lang w:eastAsia="zh-CN"/>
        </w:rPr>
        <w:t xml:space="preserve"> </w:t>
      </w:r>
      <w:r>
        <w:rPr>
          <w:rFonts w:ascii="宋体" w:hAnsi="宋体" w:eastAsia="宋体" w:cs="宋体"/>
          <w:color w:val="auto"/>
          <w:spacing w:val="-1"/>
          <w:sz w:val="24"/>
          <w:szCs w:val="24"/>
          <w:highlight w:val="none"/>
          <w:lang w:eastAsia="zh-CN"/>
        </w:rPr>
        <w:t>评标时，评标委员会各成员应当独立对每个</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的投标文件进行评价，</w:t>
      </w:r>
    </w:p>
    <w:p w14:paraId="6B4B580A">
      <w:pPr>
        <w:spacing w:line="218" w:lineRule="auto"/>
        <w:rPr>
          <w:rFonts w:ascii="宋体" w:hAnsi="宋体" w:eastAsia="宋体" w:cs="宋体"/>
          <w:color w:val="auto"/>
          <w:sz w:val="24"/>
          <w:szCs w:val="24"/>
          <w:highlight w:val="none"/>
          <w:lang w:eastAsia="zh-CN"/>
        </w:rPr>
        <w:sectPr>
          <w:footerReference r:id="rId11" w:type="default"/>
          <w:pgSz w:w="11907" w:h="16840"/>
          <w:pgMar w:top="1431" w:right="1439" w:bottom="1139" w:left="1585" w:header="0" w:footer="976" w:gutter="0"/>
          <w:cols w:space="720" w:num="1"/>
        </w:sectPr>
      </w:pPr>
    </w:p>
    <w:p w14:paraId="50ADB995">
      <w:pPr>
        <w:spacing w:before="204" w:line="219" w:lineRule="auto"/>
        <w:ind w:left="5"/>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并汇总每个</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的得分。</w:t>
      </w:r>
    </w:p>
    <w:p w14:paraId="3DAC0DF0">
      <w:pPr>
        <w:spacing w:before="214" w:line="370" w:lineRule="auto"/>
        <w:ind w:firstLine="478"/>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评标完成后，评标委员会应当向采购人提交书面评标报告</w:t>
      </w:r>
      <w:r>
        <w:rPr>
          <w:rFonts w:ascii="宋体" w:hAnsi="宋体" w:eastAsia="宋体" w:cs="宋体"/>
          <w:color w:val="auto"/>
          <w:spacing w:val="-3"/>
          <w:sz w:val="24"/>
          <w:szCs w:val="24"/>
          <w:highlight w:val="none"/>
          <w:lang w:eastAsia="zh-CN"/>
        </w:rPr>
        <w:t>和中标候选人名单。评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标委员会推荐中标候选人的人数见</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w:t>
      </w:r>
    </w:p>
    <w:p w14:paraId="4C1F7D06">
      <w:pPr>
        <w:spacing w:before="37" w:line="219" w:lineRule="auto"/>
        <w:ind w:left="48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6.3.4 评标委员会负责具体评标事务，并独立履行下列职责：</w:t>
      </w:r>
    </w:p>
    <w:p w14:paraId="45457A8F">
      <w:pPr>
        <w:spacing w:before="214" w:line="218"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（1）审查、评价投标文件是否符合招标文件的实质性要求；</w:t>
      </w:r>
    </w:p>
    <w:p w14:paraId="612824F3">
      <w:pPr>
        <w:spacing w:before="217" w:line="219"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（2）要求</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对投标文件有关事项作出澄清或者说明；</w:t>
      </w:r>
    </w:p>
    <w:p w14:paraId="4C1DEF41">
      <w:pPr>
        <w:spacing w:before="216" w:line="218"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（3）对投标文件进行比较和评价；</w:t>
      </w:r>
    </w:p>
    <w:p w14:paraId="56835D7F">
      <w:pPr>
        <w:spacing w:before="216" w:line="219"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（4）确定中标候选人名单；</w:t>
      </w:r>
    </w:p>
    <w:p w14:paraId="38108925">
      <w:pPr>
        <w:spacing w:before="214" w:line="218"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（5）向采购人、采购代理机构或者有关部门报告评标中发现的违法行为。</w:t>
      </w:r>
    </w:p>
    <w:p w14:paraId="56E3A559">
      <w:pPr>
        <w:spacing w:before="219" w:line="220" w:lineRule="auto"/>
        <w:ind w:left="237"/>
        <w:outlineLvl w:val="2"/>
        <w:rPr>
          <w:rFonts w:ascii="宋体" w:hAnsi="宋体" w:eastAsia="宋体" w:cs="宋体"/>
          <w:color w:val="auto"/>
          <w:sz w:val="24"/>
          <w:szCs w:val="24"/>
          <w:highlight w:val="none"/>
          <w:lang w:eastAsia="zh-CN"/>
        </w:rPr>
      </w:pPr>
      <w:bookmarkStart w:id="66" w:name="_Toc15924"/>
      <w:r>
        <w:rPr>
          <w:rFonts w:ascii="宋体" w:hAnsi="宋体" w:eastAsia="宋体" w:cs="宋体"/>
          <w:b/>
          <w:bCs/>
          <w:color w:val="auto"/>
          <w:spacing w:val="-6"/>
          <w:sz w:val="24"/>
          <w:szCs w:val="24"/>
          <w:highlight w:val="none"/>
          <w:lang w:eastAsia="zh-CN"/>
        </w:rPr>
        <w:t>6.4</w:t>
      </w:r>
      <w:r>
        <w:rPr>
          <w:rFonts w:ascii="宋体" w:hAnsi="宋体" w:eastAsia="宋体" w:cs="宋体"/>
          <w:color w:val="auto"/>
          <w:spacing w:val="17"/>
          <w:sz w:val="24"/>
          <w:szCs w:val="24"/>
          <w:highlight w:val="none"/>
          <w:lang w:eastAsia="zh-CN"/>
        </w:rPr>
        <w:t xml:space="preserve"> </w:t>
      </w:r>
      <w:r>
        <w:rPr>
          <w:rFonts w:ascii="宋体" w:hAnsi="宋体" w:eastAsia="宋体" w:cs="宋体"/>
          <w:b/>
          <w:bCs/>
          <w:color w:val="auto"/>
          <w:spacing w:val="-6"/>
          <w:sz w:val="24"/>
          <w:szCs w:val="24"/>
          <w:highlight w:val="none"/>
          <w:lang w:eastAsia="zh-CN"/>
        </w:rPr>
        <w:t>废标</w:t>
      </w:r>
      <w:bookmarkEnd w:id="66"/>
    </w:p>
    <w:p w14:paraId="5A77CAE6">
      <w:pPr>
        <w:spacing w:before="212" w:line="219" w:lineRule="auto"/>
        <w:ind w:left="48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招标采购中，出现下列情形之一的，应予废标：</w:t>
      </w:r>
    </w:p>
    <w:p w14:paraId="70DFAEBD">
      <w:pPr>
        <w:spacing w:before="216" w:line="219"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（1）符合专业条件的</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或者对招标文件作实质响应的</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不足三家的；</w:t>
      </w:r>
    </w:p>
    <w:p w14:paraId="077DDF38">
      <w:pPr>
        <w:spacing w:before="216" w:line="219"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（2）出现影响采购公正的违法、违规行为的；</w:t>
      </w:r>
    </w:p>
    <w:p w14:paraId="1E2FD50A">
      <w:pPr>
        <w:spacing w:before="215" w:line="218" w:lineRule="auto"/>
        <w:ind w:left="49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的报价均超过了采购预算，采购人不能支付的；</w:t>
      </w:r>
    </w:p>
    <w:p w14:paraId="6C451FB4">
      <w:pPr>
        <w:spacing w:before="216" w:line="303" w:lineRule="auto"/>
        <w:ind w:left="2" w:firstLine="488"/>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（4）因重大变故，采购任务取消的。废标后，采购人应当将废</w:t>
      </w:r>
      <w:r>
        <w:rPr>
          <w:rFonts w:ascii="宋体" w:hAnsi="宋体" w:eastAsia="宋体" w:cs="宋体"/>
          <w:color w:val="auto"/>
          <w:sz w:val="24"/>
          <w:szCs w:val="24"/>
          <w:highlight w:val="none"/>
          <w:lang w:eastAsia="zh-CN"/>
        </w:rPr>
        <w:t xml:space="preserve">标理由通知所有 </w:t>
      </w:r>
      <w:r>
        <w:rPr>
          <w:rFonts w:hint="eastAsia" w:ascii="宋体" w:hAnsi="宋体" w:eastAsia="宋体" w:cs="宋体"/>
          <w:color w:val="auto"/>
          <w:spacing w:val="-4"/>
          <w:sz w:val="24"/>
          <w:szCs w:val="24"/>
          <w:highlight w:val="none"/>
          <w:lang w:eastAsia="zh-CN"/>
        </w:rPr>
        <w:t>投标人</w:t>
      </w:r>
      <w:r>
        <w:rPr>
          <w:rFonts w:ascii="宋体" w:hAnsi="宋体" w:eastAsia="宋体" w:cs="宋体"/>
          <w:color w:val="auto"/>
          <w:spacing w:val="-4"/>
          <w:sz w:val="24"/>
          <w:szCs w:val="24"/>
          <w:highlight w:val="none"/>
          <w:lang w:eastAsia="zh-CN"/>
        </w:rPr>
        <w:t>。</w:t>
      </w:r>
    </w:p>
    <w:p w14:paraId="6BBDD26F">
      <w:pPr>
        <w:pStyle w:val="5"/>
        <w:spacing w:line="253" w:lineRule="auto"/>
        <w:rPr>
          <w:color w:val="auto"/>
          <w:highlight w:val="none"/>
          <w:lang w:eastAsia="zh-CN"/>
        </w:rPr>
      </w:pPr>
    </w:p>
    <w:p w14:paraId="574CA8E9">
      <w:pPr>
        <w:spacing w:before="78" w:line="221" w:lineRule="auto"/>
        <w:ind w:left="485"/>
        <w:outlineLvl w:val="1"/>
        <w:rPr>
          <w:rFonts w:ascii="宋体" w:hAnsi="宋体" w:eastAsia="宋体" w:cs="宋体"/>
          <w:color w:val="auto"/>
          <w:sz w:val="24"/>
          <w:szCs w:val="24"/>
          <w:highlight w:val="none"/>
          <w:lang w:eastAsia="zh-CN"/>
        </w:rPr>
      </w:pPr>
      <w:bookmarkStart w:id="67" w:name="_Toc29537"/>
      <w:r>
        <w:rPr>
          <w:rFonts w:ascii="宋体" w:hAnsi="宋体" w:eastAsia="宋体" w:cs="宋体"/>
          <w:b/>
          <w:bCs/>
          <w:color w:val="auto"/>
          <w:spacing w:val="-4"/>
          <w:sz w:val="24"/>
          <w:szCs w:val="24"/>
          <w:highlight w:val="none"/>
          <w:lang w:eastAsia="zh-CN"/>
        </w:rPr>
        <w:t>7.</w:t>
      </w:r>
      <w:r>
        <w:rPr>
          <w:rFonts w:ascii="宋体" w:hAnsi="宋体" w:eastAsia="宋体" w:cs="宋体"/>
          <w:color w:val="auto"/>
          <w:spacing w:val="-4"/>
          <w:sz w:val="24"/>
          <w:szCs w:val="24"/>
          <w:highlight w:val="none"/>
          <w:lang w:eastAsia="zh-CN"/>
        </w:rPr>
        <w:t xml:space="preserve"> </w:t>
      </w:r>
      <w:r>
        <w:rPr>
          <w:rFonts w:ascii="宋体" w:hAnsi="宋体" w:eastAsia="宋体" w:cs="宋体"/>
          <w:b/>
          <w:bCs/>
          <w:color w:val="auto"/>
          <w:spacing w:val="-4"/>
          <w:sz w:val="24"/>
          <w:szCs w:val="24"/>
          <w:highlight w:val="none"/>
          <w:lang w:eastAsia="zh-CN"/>
        </w:rPr>
        <w:t>合同授予</w:t>
      </w:r>
      <w:bookmarkEnd w:id="67"/>
    </w:p>
    <w:p w14:paraId="6BF4638F">
      <w:pPr>
        <w:pStyle w:val="5"/>
        <w:spacing w:line="252" w:lineRule="auto"/>
        <w:rPr>
          <w:color w:val="auto"/>
          <w:highlight w:val="none"/>
          <w:lang w:eastAsia="zh-CN"/>
        </w:rPr>
      </w:pPr>
    </w:p>
    <w:p w14:paraId="1415190F">
      <w:pPr>
        <w:spacing w:before="78" w:line="220" w:lineRule="auto"/>
        <w:ind w:left="485"/>
        <w:outlineLvl w:val="2"/>
        <w:rPr>
          <w:rFonts w:ascii="宋体" w:hAnsi="宋体" w:eastAsia="宋体" w:cs="宋体"/>
          <w:color w:val="auto"/>
          <w:sz w:val="24"/>
          <w:szCs w:val="24"/>
          <w:highlight w:val="none"/>
          <w:lang w:eastAsia="zh-CN"/>
        </w:rPr>
      </w:pPr>
      <w:bookmarkStart w:id="68" w:name="_Toc22272"/>
      <w:r>
        <w:rPr>
          <w:rFonts w:ascii="宋体" w:hAnsi="宋体" w:eastAsia="宋体" w:cs="宋体"/>
          <w:b/>
          <w:bCs/>
          <w:color w:val="auto"/>
          <w:spacing w:val="-7"/>
          <w:sz w:val="24"/>
          <w:szCs w:val="24"/>
          <w:highlight w:val="none"/>
          <w:lang w:eastAsia="zh-CN"/>
        </w:rPr>
        <w:t>7.1</w:t>
      </w:r>
      <w:r>
        <w:rPr>
          <w:rFonts w:ascii="宋体" w:hAnsi="宋体" w:eastAsia="宋体" w:cs="宋体"/>
          <w:color w:val="auto"/>
          <w:spacing w:val="20"/>
          <w:sz w:val="24"/>
          <w:szCs w:val="24"/>
          <w:highlight w:val="none"/>
          <w:lang w:eastAsia="zh-CN"/>
        </w:rPr>
        <w:t xml:space="preserve"> </w:t>
      </w:r>
      <w:r>
        <w:rPr>
          <w:rFonts w:ascii="宋体" w:hAnsi="宋体" w:eastAsia="宋体" w:cs="宋体"/>
          <w:b/>
          <w:bCs/>
          <w:color w:val="auto"/>
          <w:spacing w:val="-7"/>
          <w:sz w:val="24"/>
          <w:szCs w:val="24"/>
          <w:highlight w:val="none"/>
          <w:lang w:eastAsia="zh-CN"/>
        </w:rPr>
        <w:t>定标方式</w:t>
      </w:r>
      <w:bookmarkEnd w:id="68"/>
    </w:p>
    <w:p w14:paraId="05BEF2C1">
      <w:pPr>
        <w:spacing w:before="217" w:line="301" w:lineRule="auto"/>
        <w:ind w:firstLine="484"/>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7.1.1</w:t>
      </w:r>
      <w:r>
        <w:rPr>
          <w:rFonts w:ascii="宋体" w:hAnsi="宋体" w:eastAsia="宋体" w:cs="宋体"/>
          <w:color w:val="auto"/>
          <w:spacing w:val="-49"/>
          <w:sz w:val="24"/>
          <w:szCs w:val="24"/>
          <w:highlight w:val="none"/>
          <w:lang w:eastAsia="zh-CN"/>
        </w:rPr>
        <w:t xml:space="preserve"> </w:t>
      </w:r>
      <w:r>
        <w:rPr>
          <w:rFonts w:ascii="宋体" w:hAnsi="宋体" w:eastAsia="宋体" w:cs="宋体"/>
          <w:color w:val="auto"/>
          <w:spacing w:val="-1"/>
          <w:sz w:val="24"/>
          <w:szCs w:val="24"/>
          <w:highlight w:val="none"/>
          <w:lang w:eastAsia="zh-CN"/>
        </w:rPr>
        <w:t>采购人依据评标委员会推荐的中标候选人确定中标人，评标委员会推荐中</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标人候选人的人数见</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须知前附表。</w:t>
      </w:r>
    </w:p>
    <w:p w14:paraId="3EF1C83B">
      <w:pPr>
        <w:spacing w:before="217" w:line="329" w:lineRule="auto"/>
        <w:ind w:firstLine="485"/>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7.1.2</w:t>
      </w:r>
      <w:r>
        <w:rPr>
          <w:rFonts w:ascii="宋体" w:hAnsi="宋体" w:eastAsia="宋体" w:cs="宋体"/>
          <w:color w:val="auto"/>
          <w:spacing w:val="32"/>
          <w:sz w:val="24"/>
          <w:szCs w:val="24"/>
          <w:highlight w:val="none"/>
          <w:lang w:eastAsia="zh-CN"/>
        </w:rPr>
        <w:t xml:space="preserve"> </w:t>
      </w:r>
      <w:r>
        <w:rPr>
          <w:rFonts w:ascii="宋体" w:hAnsi="宋体" w:eastAsia="宋体" w:cs="宋体"/>
          <w:color w:val="auto"/>
          <w:spacing w:val="-3"/>
          <w:sz w:val="24"/>
          <w:szCs w:val="24"/>
          <w:highlight w:val="none"/>
          <w:lang w:eastAsia="zh-CN"/>
        </w:rPr>
        <w:t>中标或者成交</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拒绝与采购人签订合同的，采购人可</w:t>
      </w:r>
      <w:r>
        <w:rPr>
          <w:rFonts w:ascii="宋体" w:hAnsi="宋体" w:eastAsia="宋体" w:cs="宋体"/>
          <w:color w:val="auto"/>
          <w:spacing w:val="-4"/>
          <w:sz w:val="24"/>
          <w:szCs w:val="24"/>
          <w:highlight w:val="none"/>
          <w:lang w:eastAsia="zh-CN"/>
        </w:rPr>
        <w:t>以按照评标报告</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推荐的中标或者成交候选人名单排序，确定下一候选人为中标或者成交</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，也可</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以重新开展政府采购活动。</w:t>
      </w:r>
    </w:p>
    <w:p w14:paraId="6C5E5826">
      <w:pPr>
        <w:spacing w:before="215" w:line="220" w:lineRule="auto"/>
        <w:ind w:left="485"/>
        <w:outlineLvl w:val="2"/>
        <w:rPr>
          <w:rFonts w:ascii="宋体" w:hAnsi="宋体" w:eastAsia="宋体" w:cs="宋体"/>
          <w:color w:val="auto"/>
          <w:sz w:val="24"/>
          <w:szCs w:val="24"/>
          <w:highlight w:val="none"/>
          <w:lang w:eastAsia="zh-CN"/>
        </w:rPr>
      </w:pPr>
      <w:bookmarkStart w:id="69" w:name="_Toc23712"/>
      <w:r>
        <w:rPr>
          <w:rFonts w:ascii="宋体" w:hAnsi="宋体" w:eastAsia="宋体" w:cs="宋体"/>
          <w:b/>
          <w:bCs/>
          <w:color w:val="auto"/>
          <w:spacing w:val="-9"/>
          <w:sz w:val="24"/>
          <w:szCs w:val="24"/>
          <w:highlight w:val="none"/>
          <w:lang w:eastAsia="zh-CN"/>
        </w:rPr>
        <w:t>7.2</w:t>
      </w:r>
      <w:r>
        <w:rPr>
          <w:rFonts w:ascii="宋体" w:hAnsi="宋体" w:eastAsia="宋体" w:cs="宋体"/>
          <w:color w:val="auto"/>
          <w:spacing w:val="34"/>
          <w:sz w:val="24"/>
          <w:szCs w:val="24"/>
          <w:highlight w:val="none"/>
          <w:lang w:eastAsia="zh-CN"/>
        </w:rPr>
        <w:t xml:space="preserve"> </w:t>
      </w:r>
      <w:r>
        <w:rPr>
          <w:rFonts w:ascii="宋体" w:hAnsi="宋体" w:eastAsia="宋体" w:cs="宋体"/>
          <w:b/>
          <w:bCs/>
          <w:color w:val="auto"/>
          <w:spacing w:val="-9"/>
          <w:sz w:val="24"/>
          <w:szCs w:val="24"/>
          <w:highlight w:val="none"/>
          <w:lang w:eastAsia="zh-CN"/>
        </w:rPr>
        <w:t>中标通知</w:t>
      </w:r>
      <w:bookmarkEnd w:id="69"/>
    </w:p>
    <w:p w14:paraId="1C444AE5">
      <w:pPr>
        <w:spacing w:before="216" w:line="301" w:lineRule="auto"/>
        <w:ind w:firstLine="484"/>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7.2.1 在本章第</w:t>
      </w:r>
      <w:r>
        <w:rPr>
          <w:rFonts w:ascii="宋体" w:hAnsi="宋体" w:eastAsia="宋体" w:cs="宋体"/>
          <w:color w:val="auto"/>
          <w:spacing w:val="-40"/>
          <w:sz w:val="24"/>
          <w:szCs w:val="24"/>
          <w:highlight w:val="none"/>
          <w:lang w:eastAsia="zh-CN"/>
        </w:rPr>
        <w:t xml:space="preserve"> </w:t>
      </w:r>
      <w:r>
        <w:rPr>
          <w:rFonts w:ascii="宋体" w:hAnsi="宋体" w:eastAsia="宋体" w:cs="宋体"/>
          <w:color w:val="auto"/>
          <w:spacing w:val="-3"/>
          <w:sz w:val="24"/>
          <w:szCs w:val="24"/>
          <w:highlight w:val="none"/>
          <w:lang w:eastAsia="zh-CN"/>
        </w:rPr>
        <w:t>3.3</w:t>
      </w:r>
      <w:r>
        <w:rPr>
          <w:rFonts w:ascii="宋体" w:hAnsi="宋体" w:eastAsia="宋体" w:cs="宋体"/>
          <w:color w:val="auto"/>
          <w:spacing w:val="-49"/>
          <w:sz w:val="24"/>
          <w:szCs w:val="24"/>
          <w:highlight w:val="none"/>
          <w:lang w:eastAsia="zh-CN"/>
        </w:rPr>
        <w:t xml:space="preserve"> </w:t>
      </w:r>
      <w:r>
        <w:rPr>
          <w:rFonts w:ascii="宋体" w:hAnsi="宋体" w:eastAsia="宋体" w:cs="宋体"/>
          <w:color w:val="auto"/>
          <w:spacing w:val="-3"/>
          <w:sz w:val="24"/>
          <w:szCs w:val="24"/>
          <w:highlight w:val="none"/>
          <w:lang w:eastAsia="zh-CN"/>
        </w:rPr>
        <w:t>款规定的投标有效期内，采购人以书面形式向中标人发出中</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标通知书，同时将中标结果通知未中标的</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w:t>
      </w:r>
    </w:p>
    <w:p w14:paraId="20C9D488">
      <w:pPr>
        <w:spacing w:before="215" w:line="219" w:lineRule="auto"/>
        <w:ind w:left="485"/>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7.2.2</w:t>
      </w:r>
      <w:r>
        <w:rPr>
          <w:rFonts w:ascii="宋体" w:hAnsi="宋体" w:eastAsia="宋体" w:cs="宋体"/>
          <w:color w:val="auto"/>
          <w:spacing w:val="-28"/>
          <w:sz w:val="24"/>
          <w:szCs w:val="24"/>
          <w:highlight w:val="none"/>
          <w:lang w:eastAsia="zh-CN"/>
        </w:rPr>
        <w:t xml:space="preserve"> </w:t>
      </w:r>
      <w:r>
        <w:rPr>
          <w:rFonts w:ascii="宋体" w:hAnsi="宋体" w:eastAsia="宋体" w:cs="宋体"/>
          <w:color w:val="auto"/>
          <w:spacing w:val="-1"/>
          <w:sz w:val="24"/>
          <w:szCs w:val="24"/>
          <w:highlight w:val="none"/>
          <w:lang w:eastAsia="zh-CN"/>
        </w:rPr>
        <w:t>中标人在领取中标通知书后应及时到相关</w:t>
      </w:r>
      <w:r>
        <w:rPr>
          <w:rFonts w:ascii="宋体" w:hAnsi="宋体" w:eastAsia="宋体" w:cs="宋体"/>
          <w:color w:val="auto"/>
          <w:spacing w:val="-2"/>
          <w:sz w:val="24"/>
          <w:szCs w:val="24"/>
          <w:highlight w:val="none"/>
          <w:lang w:eastAsia="zh-CN"/>
        </w:rPr>
        <w:t>部门办理中标后的备案手续。</w:t>
      </w:r>
    </w:p>
    <w:p w14:paraId="6D398E98">
      <w:pPr>
        <w:spacing w:line="219" w:lineRule="auto"/>
        <w:rPr>
          <w:rFonts w:ascii="宋体" w:hAnsi="宋体" w:eastAsia="宋体" w:cs="宋体"/>
          <w:color w:val="auto"/>
          <w:sz w:val="24"/>
          <w:szCs w:val="24"/>
          <w:highlight w:val="none"/>
          <w:lang w:eastAsia="zh-CN"/>
        </w:rPr>
        <w:sectPr>
          <w:footerReference r:id="rId12" w:type="default"/>
          <w:pgSz w:w="11907" w:h="16840"/>
          <w:pgMar w:top="1431" w:right="1519" w:bottom="1139" w:left="1586" w:header="0" w:footer="976" w:gutter="0"/>
          <w:cols w:space="720" w:num="1"/>
        </w:sectPr>
      </w:pPr>
    </w:p>
    <w:p w14:paraId="78674AFA">
      <w:pPr>
        <w:spacing w:before="204" w:line="220" w:lineRule="auto"/>
        <w:ind w:left="487"/>
        <w:outlineLvl w:val="2"/>
        <w:rPr>
          <w:rFonts w:ascii="宋体" w:hAnsi="宋体" w:eastAsia="宋体" w:cs="宋体"/>
          <w:color w:val="auto"/>
          <w:sz w:val="24"/>
          <w:szCs w:val="24"/>
          <w:highlight w:val="none"/>
          <w:lang w:eastAsia="zh-CN"/>
        </w:rPr>
      </w:pPr>
      <w:bookmarkStart w:id="70" w:name="_Toc19572"/>
      <w:r>
        <w:rPr>
          <w:rFonts w:ascii="宋体" w:hAnsi="宋体" w:eastAsia="宋体" w:cs="宋体"/>
          <w:b/>
          <w:bCs/>
          <w:color w:val="auto"/>
          <w:spacing w:val="-6"/>
          <w:sz w:val="24"/>
          <w:szCs w:val="24"/>
          <w:highlight w:val="none"/>
          <w:lang w:eastAsia="zh-CN"/>
        </w:rPr>
        <w:t>7.3</w:t>
      </w:r>
      <w:r>
        <w:rPr>
          <w:rFonts w:ascii="宋体" w:hAnsi="宋体" w:eastAsia="宋体" w:cs="宋体"/>
          <w:color w:val="auto"/>
          <w:spacing w:val="-44"/>
          <w:sz w:val="24"/>
          <w:szCs w:val="24"/>
          <w:highlight w:val="none"/>
          <w:lang w:eastAsia="zh-CN"/>
        </w:rPr>
        <w:t xml:space="preserve"> </w:t>
      </w:r>
      <w:r>
        <w:rPr>
          <w:rFonts w:ascii="宋体" w:hAnsi="宋体" w:eastAsia="宋体" w:cs="宋体"/>
          <w:b/>
          <w:bCs/>
          <w:color w:val="auto"/>
          <w:spacing w:val="-6"/>
          <w:sz w:val="24"/>
          <w:szCs w:val="24"/>
          <w:highlight w:val="none"/>
          <w:lang w:eastAsia="zh-CN"/>
        </w:rPr>
        <w:t>履约保证金</w:t>
      </w:r>
      <w:bookmarkEnd w:id="70"/>
    </w:p>
    <w:p w14:paraId="04B8401C">
      <w:pPr>
        <w:spacing w:before="213" w:line="220" w:lineRule="auto"/>
        <w:ind w:left="487"/>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7.3.1</w:t>
      </w:r>
      <w:r>
        <w:rPr>
          <w:rFonts w:ascii="宋体" w:hAnsi="宋体" w:eastAsia="宋体" w:cs="宋体"/>
          <w:color w:val="auto"/>
          <w:spacing w:val="-41"/>
          <w:sz w:val="24"/>
          <w:szCs w:val="24"/>
          <w:highlight w:val="none"/>
          <w:lang w:eastAsia="zh-CN"/>
        </w:rPr>
        <w:t xml:space="preserve"> </w:t>
      </w:r>
      <w:r>
        <w:rPr>
          <w:rFonts w:ascii="宋体" w:hAnsi="宋体" w:eastAsia="宋体" w:cs="宋体"/>
          <w:color w:val="auto"/>
          <w:spacing w:val="-2"/>
          <w:sz w:val="24"/>
          <w:szCs w:val="24"/>
          <w:highlight w:val="none"/>
          <w:lang w:eastAsia="zh-CN"/>
        </w:rPr>
        <w:t>履约保证金：无</w:t>
      </w:r>
    </w:p>
    <w:p w14:paraId="45B8D789">
      <w:pPr>
        <w:spacing w:before="213" w:line="220" w:lineRule="auto"/>
        <w:ind w:left="487"/>
        <w:rPr>
          <w:rFonts w:ascii="宋体" w:hAnsi="宋体" w:eastAsia="宋体" w:cs="宋体"/>
          <w:color w:val="auto"/>
          <w:spacing w:val="-2"/>
          <w:sz w:val="24"/>
          <w:szCs w:val="24"/>
          <w:highlight w:val="none"/>
          <w:lang w:eastAsia="zh-CN"/>
        </w:rPr>
      </w:pPr>
      <w:r>
        <w:rPr>
          <w:rFonts w:ascii="宋体" w:hAnsi="宋体" w:eastAsia="宋体" w:cs="宋体"/>
          <w:color w:val="auto"/>
          <w:spacing w:val="-2"/>
          <w:sz w:val="24"/>
          <w:szCs w:val="24"/>
          <w:highlight w:val="none"/>
          <w:lang w:eastAsia="zh-CN"/>
        </w:rPr>
        <w:t>7.3.2</w:t>
      </w:r>
      <w:r>
        <w:rPr>
          <w:rFonts w:ascii="宋体" w:hAnsi="宋体" w:eastAsia="宋体" w:cs="宋体"/>
          <w:color w:val="auto"/>
          <w:spacing w:val="-41"/>
          <w:sz w:val="24"/>
          <w:szCs w:val="24"/>
          <w:highlight w:val="none"/>
          <w:lang w:eastAsia="zh-CN"/>
        </w:rPr>
        <w:t xml:space="preserve"> </w:t>
      </w:r>
      <w:r>
        <w:rPr>
          <w:rFonts w:ascii="宋体" w:hAnsi="宋体" w:eastAsia="宋体" w:cs="宋体"/>
          <w:color w:val="auto"/>
          <w:spacing w:val="-2"/>
          <w:sz w:val="24"/>
          <w:szCs w:val="24"/>
          <w:highlight w:val="none"/>
          <w:lang w:eastAsia="zh-CN"/>
        </w:rPr>
        <w:t>投标保证金：无</w:t>
      </w:r>
    </w:p>
    <w:p w14:paraId="2AD08A48">
      <w:pPr>
        <w:spacing w:before="213" w:line="220" w:lineRule="auto"/>
        <w:ind w:left="487"/>
        <w:rPr>
          <w:highlight w:val="none"/>
          <w:lang w:eastAsia="zh-CN"/>
        </w:rPr>
      </w:pPr>
      <w:r>
        <w:rPr>
          <w:rFonts w:ascii="宋体" w:hAnsi="宋体" w:eastAsia="宋体" w:cs="宋体"/>
          <w:color w:val="auto"/>
          <w:spacing w:val="-2"/>
          <w:sz w:val="24"/>
          <w:szCs w:val="24"/>
          <w:highlight w:val="none"/>
          <w:lang w:eastAsia="zh-CN"/>
        </w:rPr>
        <w:t>7.3.</w:t>
      </w:r>
      <w:r>
        <w:rPr>
          <w:rFonts w:hint="eastAsia" w:ascii="宋体" w:hAnsi="宋体" w:eastAsia="宋体" w:cs="宋体"/>
          <w:color w:val="auto"/>
          <w:spacing w:val="-2"/>
          <w:sz w:val="24"/>
          <w:szCs w:val="24"/>
          <w:highlight w:val="none"/>
          <w:lang w:val="en-US" w:eastAsia="zh-CN"/>
        </w:rPr>
        <w:t>3</w:t>
      </w:r>
      <w:r>
        <w:rPr>
          <w:rFonts w:ascii="宋体" w:hAnsi="宋体" w:eastAsia="宋体" w:cs="宋体"/>
          <w:color w:val="auto"/>
          <w:spacing w:val="-41"/>
          <w:sz w:val="24"/>
          <w:szCs w:val="24"/>
          <w:highlight w:val="none"/>
          <w:lang w:eastAsia="zh-CN"/>
        </w:rPr>
        <w:t xml:space="preserve"> </w:t>
      </w:r>
      <w:r>
        <w:rPr>
          <w:rFonts w:hint="eastAsia" w:ascii="宋体" w:hAnsi="宋体" w:eastAsia="宋体" w:cs="宋体"/>
          <w:color w:val="auto"/>
          <w:spacing w:val="-2"/>
          <w:sz w:val="24"/>
          <w:szCs w:val="24"/>
          <w:highlight w:val="none"/>
          <w:lang w:val="en-US" w:eastAsia="zh-CN"/>
        </w:rPr>
        <w:t>质量</w:t>
      </w:r>
      <w:r>
        <w:rPr>
          <w:rFonts w:ascii="宋体" w:hAnsi="宋体" w:eastAsia="宋体" w:cs="宋体"/>
          <w:color w:val="auto"/>
          <w:spacing w:val="-2"/>
          <w:sz w:val="24"/>
          <w:szCs w:val="24"/>
          <w:highlight w:val="none"/>
          <w:lang w:eastAsia="zh-CN"/>
        </w:rPr>
        <w:t>保证金：无</w:t>
      </w:r>
    </w:p>
    <w:p w14:paraId="72F5F616">
      <w:pPr>
        <w:spacing w:before="216" w:line="221" w:lineRule="auto"/>
        <w:ind w:left="487"/>
        <w:outlineLvl w:val="2"/>
        <w:rPr>
          <w:rFonts w:ascii="宋体" w:hAnsi="宋体" w:eastAsia="宋体" w:cs="宋体"/>
          <w:color w:val="auto"/>
          <w:sz w:val="24"/>
          <w:szCs w:val="24"/>
          <w:highlight w:val="none"/>
          <w:lang w:eastAsia="zh-CN"/>
        </w:rPr>
      </w:pPr>
      <w:bookmarkStart w:id="71" w:name="_Toc1102"/>
      <w:r>
        <w:rPr>
          <w:rFonts w:ascii="宋体" w:hAnsi="宋体" w:eastAsia="宋体" w:cs="宋体"/>
          <w:b/>
          <w:bCs/>
          <w:color w:val="auto"/>
          <w:spacing w:val="-4"/>
          <w:sz w:val="24"/>
          <w:szCs w:val="24"/>
          <w:highlight w:val="none"/>
          <w:lang w:eastAsia="zh-CN"/>
        </w:rPr>
        <w:t>7.4</w:t>
      </w:r>
      <w:r>
        <w:rPr>
          <w:rFonts w:ascii="宋体" w:hAnsi="宋体" w:eastAsia="宋体" w:cs="宋体"/>
          <w:color w:val="auto"/>
          <w:spacing w:val="-4"/>
          <w:sz w:val="24"/>
          <w:szCs w:val="24"/>
          <w:highlight w:val="none"/>
          <w:lang w:eastAsia="zh-CN"/>
        </w:rPr>
        <w:t xml:space="preserve"> </w:t>
      </w:r>
      <w:r>
        <w:rPr>
          <w:rFonts w:ascii="宋体" w:hAnsi="宋体" w:eastAsia="宋体" w:cs="宋体"/>
          <w:b/>
          <w:bCs/>
          <w:color w:val="auto"/>
          <w:spacing w:val="-4"/>
          <w:sz w:val="24"/>
          <w:szCs w:val="24"/>
          <w:highlight w:val="none"/>
          <w:lang w:eastAsia="zh-CN"/>
        </w:rPr>
        <w:t>签订合同</w:t>
      </w:r>
      <w:bookmarkEnd w:id="71"/>
    </w:p>
    <w:p w14:paraId="67A42957">
      <w:pPr>
        <w:spacing w:before="210" w:line="361" w:lineRule="auto"/>
        <w:ind w:firstLine="487"/>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7.4.1</w:t>
      </w:r>
      <w:r>
        <w:rPr>
          <w:rFonts w:ascii="宋体" w:hAnsi="宋体" w:eastAsia="宋体" w:cs="宋体"/>
          <w:color w:val="auto"/>
          <w:spacing w:val="32"/>
          <w:sz w:val="24"/>
          <w:szCs w:val="24"/>
          <w:highlight w:val="none"/>
          <w:lang w:eastAsia="zh-CN"/>
        </w:rPr>
        <w:t xml:space="preserve"> </w:t>
      </w:r>
      <w:r>
        <w:rPr>
          <w:rFonts w:ascii="宋体" w:hAnsi="宋体" w:eastAsia="宋体" w:cs="宋体"/>
          <w:color w:val="auto"/>
          <w:spacing w:val="-3"/>
          <w:sz w:val="24"/>
          <w:szCs w:val="24"/>
          <w:highlight w:val="none"/>
          <w:lang w:eastAsia="zh-CN"/>
        </w:rPr>
        <w:t>中标人的投标报价为中标价，中标价即为合同价（当中标</w:t>
      </w:r>
      <w:r>
        <w:rPr>
          <w:rFonts w:ascii="宋体" w:hAnsi="宋体" w:eastAsia="宋体" w:cs="宋体"/>
          <w:color w:val="auto"/>
          <w:spacing w:val="-4"/>
          <w:sz w:val="24"/>
          <w:szCs w:val="24"/>
          <w:highlight w:val="none"/>
          <w:lang w:eastAsia="zh-CN"/>
        </w:rPr>
        <w:t>人的投标报价高</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于控制价的95%时，该中标人的中标价按控制价的</w:t>
      </w:r>
      <w:r>
        <w:rPr>
          <w:rFonts w:ascii="宋体" w:hAnsi="宋体" w:eastAsia="宋体" w:cs="宋体"/>
          <w:color w:val="auto"/>
          <w:spacing w:val="-37"/>
          <w:sz w:val="24"/>
          <w:szCs w:val="24"/>
          <w:highlight w:val="none"/>
          <w:lang w:eastAsia="zh-CN"/>
        </w:rPr>
        <w:t xml:space="preserve"> </w:t>
      </w:r>
      <w:r>
        <w:rPr>
          <w:rFonts w:ascii="宋体" w:hAnsi="宋体" w:eastAsia="宋体" w:cs="宋体"/>
          <w:color w:val="auto"/>
          <w:spacing w:val="2"/>
          <w:sz w:val="24"/>
          <w:szCs w:val="24"/>
          <w:highlight w:val="none"/>
          <w:lang w:eastAsia="zh-CN"/>
        </w:rPr>
        <w:t>95%执行）。采购人和中标人应当</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自中标通知书发出之日起</w:t>
      </w:r>
      <w:r>
        <w:rPr>
          <w:rFonts w:ascii="宋体" w:hAnsi="宋体" w:eastAsia="宋体" w:cs="宋体"/>
          <w:color w:val="auto"/>
          <w:spacing w:val="-33"/>
          <w:sz w:val="24"/>
          <w:szCs w:val="24"/>
          <w:highlight w:val="none"/>
          <w:lang w:eastAsia="zh-CN"/>
        </w:rPr>
        <w:t xml:space="preserve"> </w:t>
      </w:r>
      <w:r>
        <w:rPr>
          <w:rFonts w:ascii="宋体" w:hAnsi="宋体" w:eastAsia="宋体" w:cs="宋体"/>
          <w:color w:val="auto"/>
          <w:spacing w:val="-3"/>
          <w:sz w:val="24"/>
          <w:szCs w:val="24"/>
          <w:highlight w:val="none"/>
          <w:lang w:eastAsia="zh-CN"/>
        </w:rPr>
        <w:t>15 日内，根据招标文件</w:t>
      </w:r>
      <w:r>
        <w:rPr>
          <w:rFonts w:ascii="宋体" w:hAnsi="宋体" w:eastAsia="宋体" w:cs="宋体"/>
          <w:color w:val="auto"/>
          <w:spacing w:val="-4"/>
          <w:sz w:val="24"/>
          <w:szCs w:val="24"/>
          <w:highlight w:val="none"/>
          <w:lang w:eastAsia="zh-CN"/>
        </w:rPr>
        <w:t>和中标人的投标文件订立书面合同。</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非因不可抗力因素放弃中标的，或排名第一的中标候选人未按规定期限与</w:t>
      </w:r>
      <w:r>
        <w:rPr>
          <w:rFonts w:ascii="宋体" w:hAnsi="宋体" w:eastAsia="宋体" w:cs="宋体"/>
          <w:color w:val="auto"/>
          <w:spacing w:val="-3"/>
          <w:sz w:val="24"/>
          <w:szCs w:val="24"/>
          <w:highlight w:val="none"/>
          <w:lang w:eastAsia="zh-CN"/>
        </w:rPr>
        <w:t>采购人签订</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合同的，应赔偿采购人由此造成的损失，损失费的计算方法为该中标候选</w:t>
      </w:r>
      <w:r>
        <w:rPr>
          <w:rFonts w:ascii="宋体" w:hAnsi="宋体" w:eastAsia="宋体" w:cs="宋体"/>
          <w:color w:val="auto"/>
          <w:spacing w:val="-3"/>
          <w:sz w:val="24"/>
          <w:szCs w:val="24"/>
          <w:highlight w:val="none"/>
          <w:lang w:eastAsia="zh-CN"/>
        </w:rPr>
        <w:t>人的投标价</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4"/>
          <w:sz w:val="24"/>
          <w:szCs w:val="24"/>
          <w:highlight w:val="none"/>
          <w:lang w:eastAsia="zh-CN"/>
        </w:rPr>
        <w:t>与重新确定的中标人中标价的差额，并处以采购金额千分之五以上千分之十以下罚款，</w:t>
      </w:r>
      <w:r>
        <w:rPr>
          <w:rFonts w:ascii="宋体" w:hAnsi="宋体" w:eastAsia="宋体" w:cs="宋体"/>
          <w:color w:val="auto"/>
          <w:spacing w:val="15"/>
          <w:sz w:val="24"/>
          <w:szCs w:val="24"/>
          <w:highlight w:val="none"/>
          <w:lang w:eastAsia="zh-CN"/>
        </w:rPr>
        <w:t xml:space="preserve"> </w:t>
      </w:r>
      <w:r>
        <w:rPr>
          <w:rFonts w:ascii="宋体" w:hAnsi="宋体" w:eastAsia="宋体" w:cs="宋体"/>
          <w:color w:val="auto"/>
          <w:spacing w:val="-2"/>
          <w:sz w:val="24"/>
          <w:szCs w:val="24"/>
          <w:highlight w:val="none"/>
          <w:lang w:eastAsia="zh-CN"/>
        </w:rPr>
        <w:t>将其列入不良行为记录名单，在</w:t>
      </w:r>
      <w:r>
        <w:rPr>
          <w:rFonts w:ascii="宋体" w:hAnsi="宋体" w:eastAsia="宋体" w:cs="宋体"/>
          <w:color w:val="auto"/>
          <w:spacing w:val="-33"/>
          <w:sz w:val="24"/>
          <w:szCs w:val="24"/>
          <w:highlight w:val="none"/>
          <w:lang w:eastAsia="zh-CN"/>
        </w:rPr>
        <w:t xml:space="preserve"> </w:t>
      </w:r>
      <w:r>
        <w:rPr>
          <w:rFonts w:ascii="宋体" w:hAnsi="宋体" w:eastAsia="宋体" w:cs="宋体"/>
          <w:color w:val="auto"/>
          <w:spacing w:val="-2"/>
          <w:sz w:val="24"/>
          <w:szCs w:val="24"/>
          <w:highlight w:val="none"/>
          <w:lang w:eastAsia="zh-CN"/>
        </w:rPr>
        <w:t>1</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2"/>
          <w:sz w:val="24"/>
          <w:szCs w:val="24"/>
          <w:highlight w:val="none"/>
          <w:lang w:eastAsia="zh-CN"/>
        </w:rPr>
        <w:t>至</w:t>
      </w:r>
      <w:r>
        <w:rPr>
          <w:rFonts w:ascii="宋体" w:hAnsi="宋体" w:eastAsia="宋体" w:cs="宋体"/>
          <w:color w:val="auto"/>
          <w:spacing w:val="-46"/>
          <w:sz w:val="24"/>
          <w:szCs w:val="24"/>
          <w:highlight w:val="none"/>
          <w:lang w:eastAsia="zh-CN"/>
        </w:rPr>
        <w:t xml:space="preserve"> </w:t>
      </w:r>
      <w:r>
        <w:rPr>
          <w:rFonts w:ascii="宋体" w:hAnsi="宋体" w:eastAsia="宋体" w:cs="宋体"/>
          <w:color w:val="auto"/>
          <w:spacing w:val="-2"/>
          <w:sz w:val="24"/>
          <w:szCs w:val="24"/>
          <w:highlight w:val="none"/>
          <w:lang w:eastAsia="zh-CN"/>
        </w:rPr>
        <w:t>3</w:t>
      </w:r>
      <w:r>
        <w:rPr>
          <w:rFonts w:ascii="宋体" w:hAnsi="宋体" w:eastAsia="宋体" w:cs="宋体"/>
          <w:color w:val="auto"/>
          <w:spacing w:val="-50"/>
          <w:sz w:val="24"/>
          <w:szCs w:val="24"/>
          <w:highlight w:val="none"/>
          <w:lang w:eastAsia="zh-CN"/>
        </w:rPr>
        <w:t xml:space="preserve"> </w:t>
      </w:r>
      <w:r>
        <w:rPr>
          <w:rFonts w:ascii="宋体" w:hAnsi="宋体" w:eastAsia="宋体" w:cs="宋体"/>
          <w:color w:val="auto"/>
          <w:spacing w:val="-2"/>
          <w:sz w:val="24"/>
          <w:szCs w:val="24"/>
          <w:highlight w:val="none"/>
          <w:lang w:eastAsia="zh-CN"/>
        </w:rPr>
        <w:t>年内禁止参加政府采购活动，并予以通报。</w:t>
      </w:r>
    </w:p>
    <w:p w14:paraId="3CFA7D62">
      <w:pPr>
        <w:spacing w:before="213" w:line="303" w:lineRule="auto"/>
        <w:ind w:right="120" w:firstLine="486"/>
        <w:rPr>
          <w:rFonts w:ascii="宋体" w:hAnsi="宋体" w:eastAsia="宋体" w:cs="宋体"/>
          <w:color w:val="auto"/>
          <w:sz w:val="24"/>
          <w:szCs w:val="24"/>
          <w:highlight w:val="none"/>
          <w:lang w:eastAsia="zh-CN"/>
        </w:rPr>
      </w:pPr>
      <w:r>
        <w:rPr>
          <w:rFonts w:ascii="宋体" w:hAnsi="宋体" w:eastAsia="宋体" w:cs="宋体"/>
          <w:color w:val="auto"/>
          <w:spacing w:val="-7"/>
          <w:sz w:val="24"/>
          <w:szCs w:val="24"/>
          <w:highlight w:val="none"/>
          <w:lang w:eastAsia="zh-CN"/>
        </w:rPr>
        <w:t>7.4.2 发出中标通知书后，采购人无正当理由拒签合同的，给中标人造成损失的，</w:t>
      </w:r>
      <w:r>
        <w:rPr>
          <w:rFonts w:ascii="宋体" w:hAnsi="宋体" w:eastAsia="宋体" w:cs="宋体"/>
          <w:color w:val="auto"/>
          <w:spacing w:val="8"/>
          <w:sz w:val="24"/>
          <w:szCs w:val="24"/>
          <w:highlight w:val="none"/>
          <w:lang w:eastAsia="zh-CN"/>
        </w:rPr>
        <w:t xml:space="preserve"> </w:t>
      </w:r>
      <w:r>
        <w:rPr>
          <w:rFonts w:ascii="宋体" w:hAnsi="宋体" w:eastAsia="宋体" w:cs="宋体"/>
          <w:color w:val="auto"/>
          <w:spacing w:val="-2"/>
          <w:sz w:val="24"/>
          <w:szCs w:val="24"/>
          <w:highlight w:val="none"/>
          <w:lang w:eastAsia="zh-CN"/>
        </w:rPr>
        <w:t>还应当赔偿损失。</w:t>
      </w:r>
    </w:p>
    <w:p w14:paraId="183D6BB9">
      <w:pPr>
        <w:pStyle w:val="5"/>
        <w:spacing w:line="254" w:lineRule="auto"/>
        <w:rPr>
          <w:color w:val="auto"/>
          <w:highlight w:val="none"/>
          <w:lang w:eastAsia="zh-CN"/>
        </w:rPr>
      </w:pPr>
    </w:p>
    <w:p w14:paraId="292133B5">
      <w:pPr>
        <w:spacing w:before="78" w:line="220" w:lineRule="auto"/>
        <w:ind w:left="482"/>
        <w:outlineLvl w:val="1"/>
        <w:rPr>
          <w:rFonts w:ascii="宋体" w:hAnsi="宋体" w:eastAsia="宋体" w:cs="宋体"/>
          <w:color w:val="auto"/>
          <w:sz w:val="24"/>
          <w:szCs w:val="24"/>
          <w:highlight w:val="none"/>
          <w:lang w:eastAsia="zh-CN"/>
        </w:rPr>
      </w:pPr>
      <w:bookmarkStart w:id="72" w:name="_Toc27248"/>
      <w:r>
        <w:rPr>
          <w:rFonts w:ascii="宋体" w:hAnsi="宋体" w:eastAsia="宋体" w:cs="宋体"/>
          <w:b/>
          <w:bCs/>
          <w:color w:val="auto"/>
          <w:spacing w:val="-4"/>
          <w:sz w:val="24"/>
          <w:szCs w:val="24"/>
          <w:highlight w:val="none"/>
          <w:lang w:eastAsia="zh-CN"/>
        </w:rPr>
        <w:t>8.</w:t>
      </w:r>
      <w:r>
        <w:rPr>
          <w:rFonts w:ascii="宋体" w:hAnsi="宋体" w:eastAsia="宋体" w:cs="宋体"/>
          <w:color w:val="auto"/>
          <w:spacing w:val="-4"/>
          <w:sz w:val="24"/>
          <w:szCs w:val="24"/>
          <w:highlight w:val="none"/>
          <w:lang w:eastAsia="zh-CN"/>
        </w:rPr>
        <w:t xml:space="preserve"> </w:t>
      </w:r>
      <w:r>
        <w:rPr>
          <w:rFonts w:ascii="宋体" w:hAnsi="宋体" w:eastAsia="宋体" w:cs="宋体"/>
          <w:b/>
          <w:bCs/>
          <w:color w:val="auto"/>
          <w:spacing w:val="-4"/>
          <w:sz w:val="24"/>
          <w:szCs w:val="24"/>
          <w:highlight w:val="none"/>
          <w:lang w:eastAsia="zh-CN"/>
        </w:rPr>
        <w:t>重新招标</w:t>
      </w:r>
      <w:bookmarkEnd w:id="72"/>
    </w:p>
    <w:p w14:paraId="70BE1372">
      <w:pPr>
        <w:pStyle w:val="5"/>
        <w:spacing w:line="253" w:lineRule="auto"/>
        <w:rPr>
          <w:color w:val="auto"/>
          <w:highlight w:val="none"/>
          <w:lang w:eastAsia="zh-CN"/>
        </w:rPr>
      </w:pPr>
    </w:p>
    <w:p w14:paraId="18BC7465">
      <w:pPr>
        <w:spacing w:before="79" w:line="220" w:lineRule="auto"/>
        <w:ind w:left="482"/>
        <w:outlineLvl w:val="2"/>
        <w:rPr>
          <w:rFonts w:ascii="宋体" w:hAnsi="宋体" w:eastAsia="宋体" w:cs="宋体"/>
          <w:color w:val="auto"/>
          <w:sz w:val="24"/>
          <w:szCs w:val="24"/>
          <w:highlight w:val="none"/>
          <w:lang w:eastAsia="zh-CN"/>
        </w:rPr>
      </w:pPr>
      <w:bookmarkStart w:id="73" w:name="_Toc25578"/>
      <w:r>
        <w:rPr>
          <w:rFonts w:ascii="宋体" w:hAnsi="宋体" w:eastAsia="宋体" w:cs="宋体"/>
          <w:b/>
          <w:bCs/>
          <w:color w:val="auto"/>
          <w:spacing w:val="-3"/>
          <w:sz w:val="24"/>
          <w:szCs w:val="24"/>
          <w:highlight w:val="none"/>
          <w:lang w:eastAsia="zh-CN"/>
        </w:rPr>
        <w:t>8.1</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重新招标</w:t>
      </w:r>
      <w:bookmarkEnd w:id="73"/>
    </w:p>
    <w:p w14:paraId="7A38427D">
      <w:pPr>
        <w:spacing w:before="215" w:line="219" w:lineRule="auto"/>
        <w:ind w:left="48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有下列情形之一的，采购人将重新招标：</w:t>
      </w:r>
    </w:p>
    <w:p w14:paraId="1387839D">
      <w:pPr>
        <w:spacing w:before="214" w:line="219" w:lineRule="auto"/>
        <w:ind w:left="493"/>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（1）投标截止时间止，</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少于</w:t>
      </w:r>
      <w:r>
        <w:rPr>
          <w:rFonts w:ascii="宋体" w:hAnsi="宋体" w:eastAsia="宋体" w:cs="宋体"/>
          <w:color w:val="auto"/>
          <w:spacing w:val="-32"/>
          <w:sz w:val="24"/>
          <w:szCs w:val="24"/>
          <w:highlight w:val="none"/>
          <w:lang w:eastAsia="zh-CN"/>
        </w:rPr>
        <w:t xml:space="preserve"> </w:t>
      </w:r>
      <w:r>
        <w:rPr>
          <w:rFonts w:ascii="宋体" w:hAnsi="宋体" w:eastAsia="宋体" w:cs="宋体"/>
          <w:color w:val="auto"/>
          <w:spacing w:val="-3"/>
          <w:sz w:val="24"/>
          <w:szCs w:val="24"/>
          <w:highlight w:val="none"/>
          <w:lang w:eastAsia="zh-CN"/>
        </w:rPr>
        <w:t>3</w:t>
      </w:r>
      <w:r>
        <w:rPr>
          <w:rFonts w:ascii="宋体" w:hAnsi="宋体" w:eastAsia="宋体" w:cs="宋体"/>
          <w:color w:val="auto"/>
          <w:spacing w:val="-50"/>
          <w:sz w:val="24"/>
          <w:szCs w:val="24"/>
          <w:highlight w:val="none"/>
          <w:lang w:eastAsia="zh-CN"/>
        </w:rPr>
        <w:t xml:space="preserve"> </w:t>
      </w:r>
      <w:r>
        <w:rPr>
          <w:rFonts w:ascii="宋体" w:hAnsi="宋体" w:eastAsia="宋体" w:cs="宋体"/>
          <w:color w:val="auto"/>
          <w:spacing w:val="-3"/>
          <w:sz w:val="24"/>
          <w:szCs w:val="24"/>
          <w:highlight w:val="none"/>
          <w:lang w:eastAsia="zh-CN"/>
        </w:rPr>
        <w:t>个的；</w:t>
      </w:r>
    </w:p>
    <w:p w14:paraId="3B20DA77">
      <w:pPr>
        <w:spacing w:before="215" w:line="219" w:lineRule="auto"/>
        <w:ind w:left="493"/>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（2）经评标委员会评审后否决所有投标的。</w:t>
      </w:r>
    </w:p>
    <w:p w14:paraId="7E10EA55">
      <w:pPr>
        <w:pStyle w:val="5"/>
        <w:spacing w:line="258" w:lineRule="auto"/>
        <w:rPr>
          <w:color w:val="auto"/>
          <w:highlight w:val="none"/>
          <w:lang w:eastAsia="zh-CN"/>
        </w:rPr>
      </w:pPr>
    </w:p>
    <w:p w14:paraId="7E531598">
      <w:pPr>
        <w:spacing w:before="78" w:line="219" w:lineRule="auto"/>
        <w:ind w:left="482"/>
        <w:outlineLvl w:val="1"/>
        <w:rPr>
          <w:rFonts w:ascii="宋体" w:hAnsi="宋体" w:eastAsia="宋体" w:cs="宋体"/>
          <w:color w:val="auto"/>
          <w:sz w:val="24"/>
          <w:szCs w:val="24"/>
          <w:highlight w:val="none"/>
          <w:lang w:eastAsia="zh-CN"/>
        </w:rPr>
      </w:pPr>
      <w:bookmarkStart w:id="74" w:name="_Toc13583"/>
      <w:r>
        <w:rPr>
          <w:rFonts w:ascii="宋体" w:hAnsi="宋体" w:eastAsia="宋体" w:cs="宋体"/>
          <w:b/>
          <w:bCs/>
          <w:color w:val="auto"/>
          <w:spacing w:val="-6"/>
          <w:sz w:val="24"/>
          <w:szCs w:val="24"/>
          <w:highlight w:val="none"/>
          <w:lang w:eastAsia="zh-CN"/>
        </w:rPr>
        <w:t>9.</w:t>
      </w:r>
      <w:r>
        <w:rPr>
          <w:rFonts w:ascii="宋体" w:hAnsi="宋体" w:eastAsia="宋体" w:cs="宋体"/>
          <w:color w:val="auto"/>
          <w:spacing w:val="17"/>
          <w:sz w:val="24"/>
          <w:szCs w:val="24"/>
          <w:highlight w:val="none"/>
          <w:lang w:eastAsia="zh-CN"/>
        </w:rPr>
        <w:t xml:space="preserve"> </w:t>
      </w:r>
      <w:r>
        <w:rPr>
          <w:rFonts w:ascii="宋体" w:hAnsi="宋体" w:eastAsia="宋体" w:cs="宋体"/>
          <w:b/>
          <w:bCs/>
          <w:color w:val="auto"/>
          <w:spacing w:val="-6"/>
          <w:sz w:val="24"/>
          <w:szCs w:val="24"/>
          <w:highlight w:val="none"/>
          <w:lang w:eastAsia="zh-CN"/>
        </w:rPr>
        <w:t>纪律和监督</w:t>
      </w:r>
      <w:bookmarkEnd w:id="74"/>
    </w:p>
    <w:p w14:paraId="2134E9B4">
      <w:pPr>
        <w:pStyle w:val="5"/>
        <w:spacing w:line="253" w:lineRule="auto"/>
        <w:rPr>
          <w:color w:val="auto"/>
          <w:highlight w:val="none"/>
          <w:lang w:eastAsia="zh-CN"/>
        </w:rPr>
      </w:pPr>
    </w:p>
    <w:p w14:paraId="4D5D6FC0">
      <w:pPr>
        <w:spacing w:before="79" w:line="219" w:lineRule="auto"/>
        <w:ind w:left="482"/>
        <w:outlineLvl w:val="2"/>
        <w:rPr>
          <w:rFonts w:ascii="宋体" w:hAnsi="宋体" w:eastAsia="宋体" w:cs="宋体"/>
          <w:color w:val="auto"/>
          <w:sz w:val="24"/>
          <w:szCs w:val="24"/>
          <w:highlight w:val="none"/>
          <w:lang w:eastAsia="zh-CN"/>
        </w:rPr>
      </w:pPr>
      <w:bookmarkStart w:id="75" w:name="_Toc1362"/>
      <w:r>
        <w:rPr>
          <w:rFonts w:ascii="宋体" w:hAnsi="宋体" w:eastAsia="宋体" w:cs="宋体"/>
          <w:b/>
          <w:bCs/>
          <w:color w:val="auto"/>
          <w:spacing w:val="-3"/>
          <w:sz w:val="24"/>
          <w:szCs w:val="24"/>
          <w:highlight w:val="none"/>
          <w:lang w:eastAsia="zh-CN"/>
        </w:rPr>
        <w:t>9.1</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对采购人的纪律要求</w:t>
      </w:r>
      <w:bookmarkEnd w:id="75"/>
    </w:p>
    <w:p w14:paraId="2D874910">
      <w:pPr>
        <w:spacing w:before="216" w:line="372" w:lineRule="auto"/>
        <w:ind w:left="25" w:right="181" w:firstLine="455"/>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采购人不得泄漏招标投标活动中应当保密的情况和资料，</w:t>
      </w:r>
      <w:r>
        <w:rPr>
          <w:rFonts w:ascii="宋体" w:hAnsi="宋体" w:eastAsia="宋体" w:cs="宋体"/>
          <w:color w:val="auto"/>
          <w:spacing w:val="-3"/>
          <w:sz w:val="24"/>
          <w:szCs w:val="24"/>
          <w:highlight w:val="none"/>
          <w:lang w:eastAsia="zh-CN"/>
        </w:rPr>
        <w:t>不得与</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串通损害</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国家利益、社会公共利益或者他人合法权益。</w:t>
      </w:r>
    </w:p>
    <w:p w14:paraId="52BC4DFF">
      <w:pPr>
        <w:spacing w:before="33" w:line="219" w:lineRule="auto"/>
        <w:ind w:left="482"/>
        <w:outlineLvl w:val="2"/>
        <w:rPr>
          <w:rFonts w:ascii="宋体" w:hAnsi="宋体" w:eastAsia="宋体" w:cs="宋体"/>
          <w:color w:val="auto"/>
          <w:sz w:val="24"/>
          <w:szCs w:val="24"/>
          <w:highlight w:val="none"/>
          <w:lang w:eastAsia="zh-CN"/>
        </w:rPr>
      </w:pPr>
      <w:bookmarkStart w:id="76" w:name="_Toc5154"/>
      <w:r>
        <w:rPr>
          <w:rFonts w:ascii="宋体" w:hAnsi="宋体" w:eastAsia="宋体" w:cs="宋体"/>
          <w:b/>
          <w:bCs/>
          <w:color w:val="auto"/>
          <w:spacing w:val="-3"/>
          <w:sz w:val="24"/>
          <w:szCs w:val="24"/>
          <w:highlight w:val="none"/>
          <w:lang w:eastAsia="zh-CN"/>
        </w:rPr>
        <w:t>9.2</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对</w:t>
      </w:r>
      <w:r>
        <w:rPr>
          <w:rFonts w:hint="eastAsia" w:ascii="宋体" w:hAnsi="宋体" w:eastAsia="宋体" w:cs="宋体"/>
          <w:b/>
          <w:bCs/>
          <w:color w:val="auto"/>
          <w:spacing w:val="-3"/>
          <w:sz w:val="24"/>
          <w:szCs w:val="24"/>
          <w:highlight w:val="none"/>
          <w:lang w:eastAsia="zh-CN"/>
        </w:rPr>
        <w:t>投标人</w:t>
      </w:r>
      <w:r>
        <w:rPr>
          <w:rFonts w:ascii="宋体" w:hAnsi="宋体" w:eastAsia="宋体" w:cs="宋体"/>
          <w:b/>
          <w:bCs/>
          <w:color w:val="auto"/>
          <w:spacing w:val="-3"/>
          <w:sz w:val="24"/>
          <w:szCs w:val="24"/>
          <w:highlight w:val="none"/>
          <w:lang w:eastAsia="zh-CN"/>
        </w:rPr>
        <w:t>的纪律要求</w:t>
      </w:r>
      <w:bookmarkEnd w:id="76"/>
    </w:p>
    <w:p w14:paraId="1C28357E">
      <w:pPr>
        <w:spacing w:before="214" w:line="376" w:lineRule="auto"/>
        <w:ind w:left="3" w:right="181" w:firstLine="478"/>
        <w:jc w:val="both"/>
        <w:rPr>
          <w:rFonts w:ascii="宋体" w:hAnsi="宋体" w:eastAsia="宋体" w:cs="宋体"/>
          <w:color w:val="auto"/>
          <w:sz w:val="24"/>
          <w:szCs w:val="24"/>
          <w:highlight w:val="none"/>
          <w:lang w:eastAsia="zh-CN"/>
        </w:rPr>
      </w:pP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不得相互串通投标或者与采购人串通投标，不得向</w:t>
      </w:r>
      <w:r>
        <w:rPr>
          <w:rFonts w:ascii="宋体" w:hAnsi="宋体" w:eastAsia="宋体" w:cs="宋体"/>
          <w:color w:val="auto"/>
          <w:spacing w:val="-3"/>
          <w:sz w:val="24"/>
          <w:szCs w:val="24"/>
          <w:highlight w:val="none"/>
          <w:lang w:eastAsia="zh-CN"/>
        </w:rPr>
        <w:t>采购人或者评标委员会</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成员行贿谋取中标，不得以他人名义投标或者以其他方式弄虚作假</w:t>
      </w:r>
      <w:r>
        <w:rPr>
          <w:rFonts w:ascii="宋体" w:hAnsi="宋体" w:eastAsia="宋体" w:cs="宋体"/>
          <w:color w:val="auto"/>
          <w:spacing w:val="-3"/>
          <w:sz w:val="24"/>
          <w:szCs w:val="24"/>
          <w:highlight w:val="none"/>
          <w:lang w:eastAsia="zh-CN"/>
        </w:rPr>
        <w:t>骗取中标；</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不得以任何方式干扰、影响评标工作。</w:t>
      </w:r>
    </w:p>
    <w:p w14:paraId="16490AFC">
      <w:pPr>
        <w:spacing w:line="376" w:lineRule="auto"/>
        <w:rPr>
          <w:rFonts w:ascii="宋体" w:hAnsi="宋体" w:eastAsia="宋体" w:cs="宋体"/>
          <w:color w:val="auto"/>
          <w:sz w:val="24"/>
          <w:szCs w:val="24"/>
          <w:highlight w:val="none"/>
          <w:lang w:eastAsia="zh-CN"/>
        </w:rPr>
        <w:sectPr>
          <w:footerReference r:id="rId13" w:type="default"/>
          <w:pgSz w:w="11907" w:h="16840"/>
          <w:pgMar w:top="1431" w:right="1338" w:bottom="1139" w:left="1584" w:header="0" w:footer="977" w:gutter="0"/>
          <w:cols w:space="720" w:num="1"/>
        </w:sectPr>
      </w:pPr>
    </w:p>
    <w:p w14:paraId="22F0BF2F">
      <w:pPr>
        <w:spacing w:before="203" w:line="219" w:lineRule="auto"/>
        <w:ind w:left="481"/>
        <w:outlineLvl w:val="2"/>
        <w:rPr>
          <w:rFonts w:ascii="宋体" w:hAnsi="宋体" w:eastAsia="宋体" w:cs="宋体"/>
          <w:color w:val="auto"/>
          <w:sz w:val="24"/>
          <w:szCs w:val="24"/>
          <w:highlight w:val="none"/>
          <w:lang w:eastAsia="zh-CN"/>
        </w:rPr>
      </w:pPr>
      <w:bookmarkStart w:id="77" w:name="_Toc18650"/>
      <w:r>
        <w:rPr>
          <w:rFonts w:ascii="宋体" w:hAnsi="宋体" w:eastAsia="宋体" w:cs="宋体"/>
          <w:b/>
          <w:bCs/>
          <w:color w:val="auto"/>
          <w:spacing w:val="-3"/>
          <w:sz w:val="24"/>
          <w:szCs w:val="24"/>
          <w:highlight w:val="none"/>
          <w:lang w:eastAsia="zh-CN"/>
        </w:rPr>
        <w:t>9.3</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对评标委员会成员的纪律要求</w:t>
      </w:r>
      <w:bookmarkEnd w:id="77"/>
    </w:p>
    <w:p w14:paraId="39A6F115">
      <w:pPr>
        <w:spacing w:before="214" w:line="378" w:lineRule="auto"/>
        <w:ind w:left="1" w:firstLine="478"/>
        <w:jc w:val="both"/>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评标委员会成员不得收受他人的财物或者其他好处，不得</w:t>
      </w:r>
      <w:r>
        <w:rPr>
          <w:rFonts w:ascii="宋体" w:hAnsi="宋体" w:eastAsia="宋体" w:cs="宋体"/>
          <w:color w:val="auto"/>
          <w:spacing w:val="-3"/>
          <w:sz w:val="24"/>
          <w:szCs w:val="24"/>
          <w:highlight w:val="none"/>
          <w:lang w:eastAsia="zh-CN"/>
        </w:rPr>
        <w:t>向他人透漏对投标文件</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的评审和比较、中标候选人的推荐情况以及评标有关的其他情况。在</w:t>
      </w:r>
      <w:r>
        <w:rPr>
          <w:rFonts w:ascii="宋体" w:hAnsi="宋体" w:eastAsia="宋体" w:cs="宋体"/>
          <w:color w:val="auto"/>
          <w:spacing w:val="-3"/>
          <w:sz w:val="24"/>
          <w:szCs w:val="24"/>
          <w:highlight w:val="none"/>
          <w:lang w:eastAsia="zh-CN"/>
        </w:rPr>
        <w:t>评标活动中，评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标委员会成员不得擅离职守，影响评标程序正常进行，不得使用第三章“评标</w:t>
      </w:r>
      <w:r>
        <w:rPr>
          <w:rFonts w:ascii="宋体" w:hAnsi="宋体" w:eastAsia="宋体" w:cs="宋体"/>
          <w:color w:val="auto"/>
          <w:spacing w:val="1"/>
          <w:sz w:val="24"/>
          <w:szCs w:val="24"/>
          <w:highlight w:val="none"/>
          <w:lang w:eastAsia="zh-CN"/>
        </w:rPr>
        <w:t>办法</w:t>
      </w:r>
      <w:r>
        <w:rPr>
          <w:rFonts w:ascii="宋体" w:hAnsi="宋体" w:eastAsia="宋体" w:cs="宋体"/>
          <w:color w:val="auto"/>
          <w:spacing w:val="-88"/>
          <w:sz w:val="24"/>
          <w:szCs w:val="24"/>
          <w:highlight w:val="none"/>
          <w:lang w:eastAsia="zh-CN"/>
        </w:rPr>
        <w:t xml:space="preserve"> </w:t>
      </w:r>
      <w:r>
        <w:rPr>
          <w:rFonts w:ascii="宋体" w:hAnsi="宋体" w:eastAsia="宋体" w:cs="宋体"/>
          <w:color w:val="auto"/>
          <w:spacing w:val="1"/>
          <w:sz w:val="24"/>
          <w:szCs w:val="24"/>
          <w:highlight w:val="none"/>
          <w:lang w:eastAsia="zh-CN"/>
        </w:rPr>
        <w:t>”</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没有规定的评审因素和标准进行评标。</w:t>
      </w:r>
    </w:p>
    <w:p w14:paraId="6E08C066">
      <w:pPr>
        <w:spacing w:before="34" w:line="219" w:lineRule="auto"/>
        <w:ind w:left="481"/>
        <w:outlineLvl w:val="2"/>
        <w:rPr>
          <w:rFonts w:ascii="宋体" w:hAnsi="宋体" w:eastAsia="宋体" w:cs="宋体"/>
          <w:color w:val="auto"/>
          <w:sz w:val="24"/>
          <w:szCs w:val="24"/>
          <w:highlight w:val="none"/>
          <w:lang w:eastAsia="zh-CN"/>
        </w:rPr>
      </w:pPr>
      <w:bookmarkStart w:id="78" w:name="_Toc10084"/>
      <w:r>
        <w:rPr>
          <w:rFonts w:ascii="宋体" w:hAnsi="宋体" w:eastAsia="宋体" w:cs="宋体"/>
          <w:b/>
          <w:bCs/>
          <w:color w:val="auto"/>
          <w:spacing w:val="-2"/>
          <w:sz w:val="24"/>
          <w:szCs w:val="24"/>
          <w:highlight w:val="none"/>
          <w:lang w:eastAsia="zh-CN"/>
        </w:rPr>
        <w:t>9.4</w:t>
      </w:r>
      <w:r>
        <w:rPr>
          <w:rFonts w:ascii="宋体" w:hAnsi="宋体" w:eastAsia="宋体" w:cs="宋体"/>
          <w:color w:val="auto"/>
          <w:spacing w:val="-2"/>
          <w:sz w:val="24"/>
          <w:szCs w:val="24"/>
          <w:highlight w:val="none"/>
          <w:lang w:eastAsia="zh-CN"/>
        </w:rPr>
        <w:t xml:space="preserve"> </w:t>
      </w:r>
      <w:r>
        <w:rPr>
          <w:rFonts w:ascii="宋体" w:hAnsi="宋体" w:eastAsia="宋体" w:cs="宋体"/>
          <w:b/>
          <w:bCs/>
          <w:color w:val="auto"/>
          <w:spacing w:val="-2"/>
          <w:sz w:val="24"/>
          <w:szCs w:val="24"/>
          <w:highlight w:val="none"/>
          <w:lang w:eastAsia="zh-CN"/>
        </w:rPr>
        <w:t>对与评标活动有关的工作人员的纪律</w:t>
      </w:r>
      <w:r>
        <w:rPr>
          <w:rFonts w:ascii="宋体" w:hAnsi="宋体" w:eastAsia="宋体" w:cs="宋体"/>
          <w:b/>
          <w:bCs/>
          <w:color w:val="auto"/>
          <w:spacing w:val="-3"/>
          <w:sz w:val="24"/>
          <w:szCs w:val="24"/>
          <w:highlight w:val="none"/>
          <w:lang w:eastAsia="zh-CN"/>
        </w:rPr>
        <w:t>要求</w:t>
      </w:r>
      <w:bookmarkEnd w:id="78"/>
    </w:p>
    <w:p w14:paraId="60D1012F">
      <w:pPr>
        <w:spacing w:before="217" w:line="375" w:lineRule="auto"/>
        <w:ind w:right="184" w:firstLine="485"/>
        <w:jc w:val="both"/>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与评标活动有关的工作人员不得收受他人的财</w:t>
      </w:r>
      <w:r>
        <w:rPr>
          <w:rFonts w:ascii="宋体" w:hAnsi="宋体" w:eastAsia="宋体" w:cs="宋体"/>
          <w:color w:val="auto"/>
          <w:spacing w:val="-3"/>
          <w:sz w:val="24"/>
          <w:szCs w:val="24"/>
          <w:highlight w:val="none"/>
          <w:lang w:eastAsia="zh-CN"/>
        </w:rPr>
        <w:t>物或者其他好处，不得向他人透漏</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对投标文件的评审和比较、中标候选人的推荐情况以及评标有关的其他</w:t>
      </w:r>
      <w:r>
        <w:rPr>
          <w:rFonts w:ascii="宋体" w:hAnsi="宋体" w:eastAsia="宋体" w:cs="宋体"/>
          <w:color w:val="auto"/>
          <w:spacing w:val="-3"/>
          <w:sz w:val="24"/>
          <w:szCs w:val="24"/>
          <w:highlight w:val="none"/>
          <w:lang w:eastAsia="zh-CN"/>
        </w:rPr>
        <w:t>情况。在评标</w:t>
      </w:r>
      <w:r>
        <w:rPr>
          <w:rFonts w:ascii="宋体" w:hAnsi="宋体" w:eastAsia="宋体" w:cs="宋体"/>
          <w:color w:val="auto"/>
          <w:sz w:val="24"/>
          <w:szCs w:val="24"/>
          <w:highlight w:val="none"/>
          <w:lang w:eastAsia="zh-CN"/>
        </w:rPr>
        <w:t xml:space="preserve"> 活动中，与评标活动有关的工作人员不得擅离职守，影</w:t>
      </w:r>
      <w:r>
        <w:rPr>
          <w:rFonts w:ascii="宋体" w:hAnsi="宋体" w:eastAsia="宋体" w:cs="宋体"/>
          <w:color w:val="auto"/>
          <w:spacing w:val="-1"/>
          <w:sz w:val="24"/>
          <w:szCs w:val="24"/>
          <w:highlight w:val="none"/>
          <w:lang w:eastAsia="zh-CN"/>
        </w:rPr>
        <w:t>响评标程序正常进行。</w:t>
      </w:r>
    </w:p>
    <w:p w14:paraId="73E89ADE">
      <w:pPr>
        <w:spacing w:before="37" w:line="220" w:lineRule="auto"/>
        <w:ind w:left="481"/>
        <w:outlineLvl w:val="2"/>
        <w:rPr>
          <w:rFonts w:ascii="宋体" w:hAnsi="宋体" w:eastAsia="宋体" w:cs="宋体"/>
          <w:color w:val="auto"/>
          <w:sz w:val="24"/>
          <w:szCs w:val="24"/>
          <w:highlight w:val="none"/>
          <w:lang w:eastAsia="zh-CN"/>
        </w:rPr>
      </w:pPr>
      <w:bookmarkStart w:id="79" w:name="_Toc29988"/>
      <w:r>
        <w:rPr>
          <w:rFonts w:ascii="宋体" w:hAnsi="宋体" w:eastAsia="宋体" w:cs="宋体"/>
          <w:b/>
          <w:bCs/>
          <w:color w:val="auto"/>
          <w:spacing w:val="-7"/>
          <w:sz w:val="24"/>
          <w:szCs w:val="24"/>
          <w:highlight w:val="none"/>
          <w:lang w:eastAsia="zh-CN"/>
        </w:rPr>
        <w:t>9.5</w:t>
      </w:r>
      <w:r>
        <w:rPr>
          <w:rFonts w:ascii="宋体" w:hAnsi="宋体" w:eastAsia="宋体" w:cs="宋体"/>
          <w:color w:val="auto"/>
          <w:spacing w:val="13"/>
          <w:sz w:val="24"/>
          <w:szCs w:val="24"/>
          <w:highlight w:val="none"/>
          <w:lang w:eastAsia="zh-CN"/>
        </w:rPr>
        <w:t xml:space="preserve"> </w:t>
      </w:r>
      <w:r>
        <w:rPr>
          <w:rFonts w:ascii="宋体" w:hAnsi="宋体" w:eastAsia="宋体" w:cs="宋体"/>
          <w:b/>
          <w:bCs/>
          <w:color w:val="auto"/>
          <w:spacing w:val="-7"/>
          <w:sz w:val="24"/>
          <w:szCs w:val="24"/>
          <w:highlight w:val="none"/>
          <w:lang w:eastAsia="zh-CN"/>
        </w:rPr>
        <w:t>投诉</w:t>
      </w:r>
      <w:bookmarkEnd w:id="79"/>
    </w:p>
    <w:p w14:paraId="005BE961">
      <w:pPr>
        <w:spacing w:before="212" w:line="371" w:lineRule="auto"/>
        <w:ind w:left="25" w:right="184" w:firstLine="455"/>
        <w:rPr>
          <w:rFonts w:ascii="宋体" w:hAnsi="宋体" w:eastAsia="宋体" w:cs="宋体"/>
          <w:color w:val="auto"/>
          <w:sz w:val="24"/>
          <w:szCs w:val="24"/>
          <w:highlight w:val="none"/>
          <w:lang w:eastAsia="zh-CN"/>
        </w:rPr>
      </w:pP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和其他利害关系人认为本次招标活动违反法律、法</w:t>
      </w:r>
      <w:r>
        <w:rPr>
          <w:rFonts w:ascii="宋体" w:hAnsi="宋体" w:eastAsia="宋体" w:cs="宋体"/>
          <w:color w:val="auto"/>
          <w:spacing w:val="-3"/>
          <w:sz w:val="24"/>
          <w:szCs w:val="24"/>
          <w:highlight w:val="none"/>
          <w:lang w:eastAsia="zh-CN"/>
        </w:rPr>
        <w:t>规和规章规定的，有权</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向有关行政监督部门投诉。</w:t>
      </w:r>
    </w:p>
    <w:p w14:paraId="5133B768">
      <w:pPr>
        <w:spacing w:before="157" w:line="219" w:lineRule="auto"/>
        <w:ind w:left="498"/>
        <w:outlineLvl w:val="1"/>
        <w:rPr>
          <w:rFonts w:ascii="宋体" w:hAnsi="宋体" w:eastAsia="宋体" w:cs="宋体"/>
          <w:color w:val="auto"/>
          <w:sz w:val="24"/>
          <w:szCs w:val="24"/>
          <w:highlight w:val="none"/>
          <w:lang w:eastAsia="zh-CN"/>
        </w:rPr>
      </w:pPr>
      <w:bookmarkStart w:id="80" w:name="_Toc29053"/>
      <w:r>
        <w:rPr>
          <w:rFonts w:ascii="宋体" w:hAnsi="宋体" w:eastAsia="宋体" w:cs="宋体"/>
          <w:b/>
          <w:bCs/>
          <w:color w:val="auto"/>
          <w:spacing w:val="-6"/>
          <w:sz w:val="24"/>
          <w:szCs w:val="24"/>
          <w:highlight w:val="none"/>
          <w:lang w:eastAsia="zh-CN"/>
        </w:rPr>
        <w:t>10.</w:t>
      </w:r>
      <w:r>
        <w:rPr>
          <w:rFonts w:ascii="宋体" w:hAnsi="宋体" w:eastAsia="宋体" w:cs="宋体"/>
          <w:color w:val="auto"/>
          <w:spacing w:val="23"/>
          <w:sz w:val="24"/>
          <w:szCs w:val="24"/>
          <w:highlight w:val="none"/>
          <w:lang w:eastAsia="zh-CN"/>
        </w:rPr>
        <w:t xml:space="preserve"> </w:t>
      </w:r>
      <w:r>
        <w:rPr>
          <w:rFonts w:ascii="宋体" w:hAnsi="宋体" w:eastAsia="宋体" w:cs="宋体"/>
          <w:b/>
          <w:bCs/>
          <w:color w:val="auto"/>
          <w:spacing w:val="-6"/>
          <w:sz w:val="24"/>
          <w:szCs w:val="24"/>
          <w:highlight w:val="none"/>
          <w:lang w:eastAsia="zh-CN"/>
        </w:rPr>
        <w:t>需要补充的其他内容</w:t>
      </w:r>
      <w:bookmarkEnd w:id="80"/>
    </w:p>
    <w:p w14:paraId="5A8A66A0">
      <w:pPr>
        <w:pStyle w:val="5"/>
        <w:spacing w:line="254" w:lineRule="auto"/>
        <w:rPr>
          <w:color w:val="auto"/>
          <w:highlight w:val="none"/>
          <w:lang w:eastAsia="zh-CN"/>
        </w:rPr>
      </w:pPr>
    </w:p>
    <w:p w14:paraId="4399CC1B">
      <w:pPr>
        <w:spacing w:before="79" w:line="219" w:lineRule="auto"/>
        <w:ind w:left="498"/>
        <w:outlineLvl w:val="2"/>
        <w:rPr>
          <w:rFonts w:ascii="宋体" w:hAnsi="宋体" w:eastAsia="宋体" w:cs="宋体"/>
          <w:color w:val="auto"/>
          <w:sz w:val="24"/>
          <w:szCs w:val="24"/>
          <w:highlight w:val="none"/>
          <w:lang w:eastAsia="zh-CN"/>
        </w:rPr>
      </w:pPr>
      <w:bookmarkStart w:id="81" w:name="_Toc9876"/>
      <w:r>
        <w:rPr>
          <w:rFonts w:ascii="宋体" w:hAnsi="宋体" w:eastAsia="宋体" w:cs="宋体"/>
          <w:b/>
          <w:bCs/>
          <w:color w:val="auto"/>
          <w:spacing w:val="-9"/>
          <w:sz w:val="24"/>
          <w:szCs w:val="24"/>
          <w:highlight w:val="none"/>
          <w:lang w:eastAsia="zh-CN"/>
        </w:rPr>
        <w:t>10.1</w:t>
      </w:r>
      <w:r>
        <w:rPr>
          <w:rFonts w:ascii="宋体" w:hAnsi="宋体" w:eastAsia="宋体" w:cs="宋体"/>
          <w:color w:val="auto"/>
          <w:spacing w:val="28"/>
          <w:sz w:val="24"/>
          <w:szCs w:val="24"/>
          <w:highlight w:val="none"/>
          <w:lang w:eastAsia="zh-CN"/>
        </w:rPr>
        <w:t xml:space="preserve"> </w:t>
      </w:r>
      <w:r>
        <w:rPr>
          <w:rFonts w:ascii="宋体" w:hAnsi="宋体" w:eastAsia="宋体" w:cs="宋体"/>
          <w:b/>
          <w:bCs/>
          <w:color w:val="auto"/>
          <w:spacing w:val="-9"/>
          <w:sz w:val="24"/>
          <w:szCs w:val="24"/>
          <w:highlight w:val="none"/>
          <w:lang w:eastAsia="zh-CN"/>
        </w:rPr>
        <w:t>费用承担</w:t>
      </w:r>
      <w:bookmarkEnd w:id="81"/>
    </w:p>
    <w:p w14:paraId="69B93719">
      <w:pPr>
        <w:spacing w:before="215" w:line="302" w:lineRule="auto"/>
        <w:ind w:left="18" w:right="218" w:firstLine="49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（1）无论投标结果如何，</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应自行承担所有参与投标的全部费用，采购人</w:t>
      </w:r>
      <w:r>
        <w:rPr>
          <w:rFonts w:ascii="宋体" w:hAnsi="宋体" w:eastAsia="宋体" w:cs="宋体"/>
          <w:color w:val="auto"/>
          <w:spacing w:val="13"/>
          <w:sz w:val="24"/>
          <w:szCs w:val="24"/>
          <w:highlight w:val="none"/>
          <w:lang w:eastAsia="zh-CN"/>
        </w:rPr>
        <w:t xml:space="preserve"> </w:t>
      </w:r>
      <w:r>
        <w:rPr>
          <w:rFonts w:ascii="宋体" w:hAnsi="宋体" w:eastAsia="宋体" w:cs="宋体"/>
          <w:color w:val="auto"/>
          <w:spacing w:val="-1"/>
          <w:sz w:val="24"/>
          <w:szCs w:val="24"/>
          <w:highlight w:val="none"/>
          <w:lang w:eastAsia="zh-CN"/>
        </w:rPr>
        <w:t>和采购代理机构在任何情况下均无义务和责任承担上述费用。</w:t>
      </w:r>
    </w:p>
    <w:p w14:paraId="6031C853">
      <w:pPr>
        <w:spacing w:before="215" w:line="219" w:lineRule="auto"/>
        <w:ind w:left="43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（2）招标代理服务费由中标人支付。</w:t>
      </w:r>
    </w:p>
    <w:p w14:paraId="7F70B35F">
      <w:pPr>
        <w:spacing w:before="214" w:line="219" w:lineRule="auto"/>
        <w:ind w:left="43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与采购人签订合同后，将合同报采购代理机构备案。</w:t>
      </w:r>
    </w:p>
    <w:p w14:paraId="7EBD15B8">
      <w:pPr>
        <w:spacing w:before="216" w:line="371" w:lineRule="auto"/>
        <w:ind w:left="4" w:right="263" w:firstLine="493"/>
        <w:rPr>
          <w:rFonts w:ascii="宋体" w:hAnsi="宋体" w:eastAsia="宋体" w:cs="宋体"/>
          <w:color w:val="auto"/>
          <w:sz w:val="24"/>
          <w:szCs w:val="24"/>
          <w:highlight w:val="none"/>
          <w:lang w:eastAsia="zh-CN"/>
        </w:rPr>
      </w:pPr>
      <w:r>
        <w:rPr>
          <w:rFonts w:ascii="宋体" w:hAnsi="宋体" w:eastAsia="宋体" w:cs="宋体"/>
          <w:b/>
          <w:bCs/>
          <w:color w:val="auto"/>
          <w:spacing w:val="-3"/>
          <w:sz w:val="24"/>
          <w:szCs w:val="24"/>
          <w:highlight w:val="none"/>
          <w:lang w:eastAsia="zh-CN"/>
        </w:rPr>
        <w:t>10.2</w:t>
      </w:r>
      <w:r>
        <w:rPr>
          <w:rFonts w:ascii="宋体" w:hAnsi="宋体" w:eastAsia="宋体" w:cs="宋体"/>
          <w:color w:val="auto"/>
          <w:spacing w:val="-40"/>
          <w:sz w:val="24"/>
          <w:szCs w:val="24"/>
          <w:highlight w:val="none"/>
          <w:lang w:eastAsia="zh-CN"/>
        </w:rPr>
        <w:t xml:space="preserve"> </w:t>
      </w:r>
      <w:r>
        <w:rPr>
          <w:rFonts w:ascii="宋体" w:hAnsi="宋体" w:eastAsia="宋体" w:cs="宋体"/>
          <w:b/>
          <w:bCs/>
          <w:color w:val="auto"/>
          <w:spacing w:val="-3"/>
          <w:sz w:val="24"/>
          <w:szCs w:val="24"/>
          <w:highlight w:val="none"/>
          <w:lang w:eastAsia="zh-CN"/>
        </w:rPr>
        <w:t>本招标文件未尽事宜，按《中华人民共和国政府采购法》等法律法规的有</w:t>
      </w:r>
      <w:r>
        <w:rPr>
          <w:rFonts w:ascii="宋体" w:hAnsi="宋体" w:eastAsia="宋体" w:cs="宋体"/>
          <w:color w:val="auto"/>
          <w:sz w:val="24"/>
          <w:szCs w:val="24"/>
          <w:highlight w:val="none"/>
          <w:lang w:eastAsia="zh-CN"/>
        </w:rPr>
        <w:t xml:space="preserve"> </w:t>
      </w:r>
      <w:r>
        <w:rPr>
          <w:rFonts w:ascii="宋体" w:hAnsi="宋体" w:eastAsia="宋体" w:cs="宋体"/>
          <w:b/>
          <w:bCs/>
          <w:color w:val="auto"/>
          <w:spacing w:val="-4"/>
          <w:sz w:val="24"/>
          <w:szCs w:val="24"/>
          <w:highlight w:val="none"/>
          <w:lang w:eastAsia="zh-CN"/>
        </w:rPr>
        <w:t>关规定执行。</w:t>
      </w:r>
    </w:p>
    <w:p w14:paraId="10C3E06D">
      <w:pPr>
        <w:spacing w:line="371" w:lineRule="auto"/>
        <w:rPr>
          <w:rFonts w:ascii="宋体" w:hAnsi="宋体" w:eastAsia="宋体" w:cs="宋体"/>
          <w:color w:val="auto"/>
          <w:sz w:val="24"/>
          <w:szCs w:val="24"/>
          <w:highlight w:val="none"/>
          <w:lang w:eastAsia="zh-CN"/>
        </w:rPr>
        <w:sectPr>
          <w:footerReference r:id="rId14" w:type="default"/>
          <w:pgSz w:w="11907" w:h="16840"/>
          <w:pgMar w:top="1431" w:right="1335" w:bottom="1139" w:left="1585" w:header="0" w:footer="976" w:gutter="0"/>
          <w:cols w:space="720" w:num="1"/>
        </w:sectPr>
      </w:pPr>
    </w:p>
    <w:p w14:paraId="42E6147C">
      <w:pPr>
        <w:spacing w:before="136" w:line="224" w:lineRule="auto"/>
        <w:ind w:left="2716"/>
        <w:outlineLvl w:val="0"/>
        <w:rPr>
          <w:rFonts w:ascii="宋体" w:hAnsi="宋体" w:eastAsia="宋体" w:cs="宋体"/>
          <w:color w:val="auto"/>
          <w:sz w:val="31"/>
          <w:szCs w:val="31"/>
          <w:highlight w:val="none"/>
          <w:lang w:eastAsia="zh-CN"/>
        </w:rPr>
      </w:pPr>
      <w:bookmarkStart w:id="82" w:name="bookmark7"/>
      <w:bookmarkEnd w:id="82"/>
      <w:bookmarkStart w:id="83" w:name="_Toc14362"/>
      <w:r>
        <w:rPr>
          <w:rFonts w:ascii="宋体" w:hAnsi="宋体" w:eastAsia="宋体" w:cs="宋体"/>
          <w:b/>
          <w:bCs/>
          <w:color w:val="auto"/>
          <w:spacing w:val="6"/>
          <w:sz w:val="31"/>
          <w:szCs w:val="31"/>
          <w:highlight w:val="none"/>
          <w:lang w:eastAsia="zh-CN"/>
        </w:rPr>
        <w:t>第三章</w:t>
      </w:r>
      <w:r>
        <w:rPr>
          <w:rFonts w:ascii="宋体" w:hAnsi="宋体" w:eastAsia="宋体" w:cs="宋体"/>
          <w:color w:val="auto"/>
          <w:spacing w:val="6"/>
          <w:sz w:val="31"/>
          <w:szCs w:val="31"/>
          <w:highlight w:val="none"/>
          <w:lang w:eastAsia="zh-CN"/>
        </w:rPr>
        <w:t xml:space="preserve"> </w:t>
      </w:r>
      <w:r>
        <w:rPr>
          <w:rFonts w:ascii="宋体" w:hAnsi="宋体" w:eastAsia="宋体" w:cs="宋体"/>
          <w:b/>
          <w:bCs/>
          <w:color w:val="auto"/>
          <w:spacing w:val="6"/>
          <w:sz w:val="31"/>
          <w:szCs w:val="31"/>
          <w:highlight w:val="none"/>
          <w:lang w:eastAsia="zh-CN"/>
        </w:rPr>
        <w:t>评标办法（综合评分法）</w:t>
      </w:r>
      <w:bookmarkEnd w:id="83"/>
    </w:p>
    <w:p w14:paraId="4EC890AB">
      <w:pPr>
        <w:pStyle w:val="5"/>
        <w:spacing w:line="391" w:lineRule="auto"/>
        <w:rPr>
          <w:color w:val="auto"/>
          <w:highlight w:val="none"/>
          <w:lang w:eastAsia="zh-CN"/>
        </w:rPr>
      </w:pPr>
    </w:p>
    <w:p w14:paraId="0422C968">
      <w:pPr>
        <w:spacing w:before="91" w:line="219" w:lineRule="auto"/>
        <w:ind w:left="4057"/>
        <w:outlineLvl w:val="1"/>
        <w:rPr>
          <w:rFonts w:ascii="宋体" w:hAnsi="宋体" w:eastAsia="宋体" w:cs="宋体"/>
          <w:color w:val="auto"/>
          <w:sz w:val="28"/>
          <w:szCs w:val="28"/>
          <w:highlight w:val="none"/>
        </w:rPr>
      </w:pPr>
      <w:bookmarkStart w:id="84" w:name="_Toc9114"/>
      <w:r>
        <w:rPr>
          <w:rFonts w:ascii="宋体" w:hAnsi="宋体" w:eastAsia="宋体" w:cs="宋体"/>
          <w:b/>
          <w:bCs/>
          <w:color w:val="auto"/>
          <w:spacing w:val="-4"/>
          <w:sz w:val="28"/>
          <w:szCs w:val="28"/>
          <w:highlight w:val="none"/>
        </w:rPr>
        <w:t>评分办法前附表</w:t>
      </w:r>
      <w:bookmarkEnd w:id="84"/>
    </w:p>
    <w:tbl>
      <w:tblPr>
        <w:tblStyle w:val="15"/>
        <w:tblpPr w:leftFromText="180" w:rightFromText="180" w:vertAnchor="text" w:horzAnchor="page" w:tblpX="1079" w:tblpY="363"/>
        <w:tblOverlap w:val="never"/>
        <w:tblW w:w="995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2"/>
        <w:gridCol w:w="1050"/>
        <w:gridCol w:w="2566"/>
        <w:gridCol w:w="4994"/>
      </w:tblGrid>
      <w:tr w14:paraId="26E1E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2" w:hRule="exact"/>
        </w:trPr>
        <w:tc>
          <w:tcPr>
            <w:tcW w:w="1342" w:type="dxa"/>
            <w:vAlign w:val="center"/>
          </w:tcPr>
          <w:p w14:paraId="7016F298">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b/>
                <w:sz w:val="24"/>
                <w:szCs w:val="24"/>
                <w:highlight w:val="none"/>
              </w:rPr>
            </w:pPr>
            <w:r>
              <w:rPr>
                <w:rFonts w:hint="eastAsia" w:ascii="宋体" w:hAnsi="宋体" w:eastAsia="宋体" w:cs="宋体"/>
                <w:b/>
                <w:bCs/>
                <w:kern w:val="0"/>
                <w:sz w:val="24"/>
                <w:szCs w:val="24"/>
                <w:highlight w:val="none"/>
              </w:rPr>
              <w:t>审查主体</w:t>
            </w:r>
          </w:p>
        </w:tc>
        <w:tc>
          <w:tcPr>
            <w:tcW w:w="3616" w:type="dxa"/>
            <w:gridSpan w:val="2"/>
            <w:vAlign w:val="center"/>
          </w:tcPr>
          <w:p w14:paraId="2CB2C2C4">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b/>
                <w:sz w:val="24"/>
                <w:szCs w:val="24"/>
                <w:highlight w:val="none"/>
              </w:rPr>
            </w:pPr>
            <w:r>
              <w:rPr>
                <w:rFonts w:hint="eastAsia" w:ascii="宋体" w:hAnsi="宋体" w:eastAsia="宋体" w:cs="宋体"/>
                <w:b/>
                <w:sz w:val="24"/>
                <w:szCs w:val="24"/>
                <w:highlight w:val="none"/>
              </w:rPr>
              <w:t>评审因素</w:t>
            </w:r>
          </w:p>
        </w:tc>
        <w:tc>
          <w:tcPr>
            <w:tcW w:w="4994" w:type="dxa"/>
            <w:vAlign w:val="center"/>
          </w:tcPr>
          <w:p w14:paraId="26540C77">
            <w:pPr>
              <w:keepNext w:val="0"/>
              <w:keepLines w:val="0"/>
              <w:pageBreakBefore w:val="0"/>
              <w:widowControl/>
              <w:tabs>
                <w:tab w:val="left" w:pos="417"/>
                <w:tab w:val="center" w:pos="2999"/>
              </w:tabs>
              <w:kinsoku w:val="0"/>
              <w:wordWrap/>
              <w:overflowPunct/>
              <w:topLinePunct w:val="0"/>
              <w:autoSpaceDE w:val="0"/>
              <w:autoSpaceDN w:val="0"/>
              <w:bidi w:val="0"/>
              <w:adjustRightInd w:val="0"/>
              <w:snapToGrid w:val="0"/>
              <w:spacing w:line="360" w:lineRule="exact"/>
              <w:jc w:val="left"/>
              <w:textAlignment w:val="baseline"/>
              <w:rPr>
                <w:rFonts w:hint="eastAsia" w:ascii="宋体" w:hAnsi="宋体" w:eastAsia="宋体" w:cs="宋体"/>
                <w:b/>
                <w:sz w:val="24"/>
                <w:szCs w:val="24"/>
                <w:highlight w:val="none"/>
              </w:rPr>
            </w:pPr>
            <w:r>
              <w:rPr>
                <w:rFonts w:hint="eastAsia" w:ascii="宋体" w:hAnsi="宋体" w:eastAsia="宋体" w:cs="宋体"/>
                <w:b/>
                <w:sz w:val="24"/>
                <w:szCs w:val="24"/>
                <w:highlight w:val="none"/>
              </w:rPr>
              <w:tab/>
            </w:r>
            <w:r>
              <w:rPr>
                <w:rFonts w:hint="eastAsia" w:ascii="宋体" w:hAnsi="宋体" w:eastAsia="宋体" w:cs="宋体"/>
                <w:b/>
                <w:sz w:val="24"/>
                <w:szCs w:val="24"/>
                <w:highlight w:val="none"/>
              </w:rPr>
              <w:tab/>
            </w:r>
            <w:r>
              <w:rPr>
                <w:rFonts w:hint="eastAsia" w:ascii="宋体" w:hAnsi="宋体" w:eastAsia="宋体" w:cs="宋体"/>
                <w:b/>
                <w:sz w:val="24"/>
                <w:szCs w:val="24"/>
                <w:highlight w:val="none"/>
              </w:rPr>
              <w:t>评审标准</w:t>
            </w:r>
          </w:p>
        </w:tc>
      </w:tr>
      <w:tr w14:paraId="029638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trPr>
        <w:tc>
          <w:tcPr>
            <w:tcW w:w="1342" w:type="dxa"/>
            <w:vMerge w:val="restart"/>
            <w:vAlign w:val="center"/>
          </w:tcPr>
          <w:p w14:paraId="25112032">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资格审查小组</w:t>
            </w:r>
          </w:p>
        </w:tc>
        <w:tc>
          <w:tcPr>
            <w:tcW w:w="1050" w:type="dxa"/>
            <w:vMerge w:val="restart"/>
            <w:vAlign w:val="center"/>
          </w:tcPr>
          <w:p w14:paraId="2D9D8ACB">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一、资格评审标准</w:t>
            </w:r>
          </w:p>
        </w:tc>
        <w:tc>
          <w:tcPr>
            <w:tcW w:w="2566" w:type="dxa"/>
            <w:vAlign w:val="center"/>
          </w:tcPr>
          <w:p w14:paraId="7B68C9AC">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营业执照</w:t>
            </w:r>
          </w:p>
        </w:tc>
        <w:tc>
          <w:tcPr>
            <w:tcW w:w="4994" w:type="dxa"/>
            <w:vAlign w:val="center"/>
          </w:tcPr>
          <w:p w14:paraId="39573219">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提供</w:t>
            </w:r>
            <w:r>
              <w:rPr>
                <w:rFonts w:hint="eastAsia" w:ascii="宋体" w:hAnsi="宋体" w:eastAsia="宋体" w:cs="宋体"/>
                <w:sz w:val="24"/>
                <w:szCs w:val="24"/>
                <w:highlight w:val="none"/>
                <w:lang w:eastAsia="zh-CN"/>
              </w:rPr>
              <w:t>政府采购投标人资格信用承诺函</w:t>
            </w:r>
          </w:p>
        </w:tc>
      </w:tr>
      <w:tr w14:paraId="233B6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3" w:hRule="exact"/>
        </w:trPr>
        <w:tc>
          <w:tcPr>
            <w:tcW w:w="1342" w:type="dxa"/>
            <w:vMerge w:val="continue"/>
            <w:vAlign w:val="center"/>
          </w:tcPr>
          <w:p w14:paraId="623B5333">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1050" w:type="dxa"/>
            <w:vMerge w:val="continue"/>
            <w:vAlign w:val="center"/>
          </w:tcPr>
          <w:p w14:paraId="407747AC">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2566" w:type="dxa"/>
            <w:vAlign w:val="center"/>
          </w:tcPr>
          <w:p w14:paraId="5DEB0B7C">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lang w:bidi="hi-IN"/>
              </w:rPr>
            </w:pPr>
            <w:r>
              <w:rPr>
                <w:rFonts w:hint="eastAsia" w:ascii="宋体" w:hAnsi="宋体" w:eastAsia="宋体" w:cs="宋体"/>
                <w:color w:val="auto"/>
                <w:spacing w:val="-1"/>
                <w:sz w:val="24"/>
                <w:szCs w:val="24"/>
                <w:highlight w:val="none"/>
                <w:lang w:eastAsia="zh-CN"/>
              </w:rPr>
              <w:t>满足</w:t>
            </w:r>
            <w:r>
              <w:rPr>
                <w:rFonts w:hint="eastAsia" w:ascii="宋体" w:hAnsi="宋体" w:eastAsia="宋体" w:cs="宋体"/>
                <w:sz w:val="24"/>
                <w:szCs w:val="24"/>
                <w:highlight w:val="none"/>
              </w:rPr>
              <w:t>《中华人民共和国政府采购法》第二十二条之规定</w:t>
            </w:r>
          </w:p>
        </w:tc>
        <w:tc>
          <w:tcPr>
            <w:tcW w:w="4994" w:type="dxa"/>
            <w:vAlign w:val="center"/>
          </w:tcPr>
          <w:p w14:paraId="222DAAF8">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lang w:bidi="hi-IN"/>
              </w:rPr>
            </w:pPr>
            <w:r>
              <w:rPr>
                <w:rFonts w:hint="eastAsia" w:ascii="宋体" w:hAnsi="宋体" w:eastAsia="宋体" w:cs="宋体"/>
                <w:sz w:val="24"/>
                <w:szCs w:val="24"/>
                <w:highlight w:val="none"/>
              </w:rPr>
              <w:t>提供</w:t>
            </w:r>
            <w:r>
              <w:rPr>
                <w:rFonts w:hint="eastAsia" w:ascii="宋体" w:hAnsi="宋体" w:eastAsia="宋体" w:cs="宋体"/>
                <w:sz w:val="24"/>
                <w:szCs w:val="24"/>
                <w:highlight w:val="none"/>
                <w:lang w:eastAsia="zh-CN"/>
              </w:rPr>
              <w:t>政府采购投标人资格信用承诺函</w:t>
            </w:r>
          </w:p>
        </w:tc>
      </w:tr>
      <w:tr w14:paraId="2D9E2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exact"/>
        </w:trPr>
        <w:tc>
          <w:tcPr>
            <w:tcW w:w="1342" w:type="dxa"/>
            <w:vMerge w:val="continue"/>
            <w:vAlign w:val="center"/>
          </w:tcPr>
          <w:p w14:paraId="52F09D36">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1050" w:type="dxa"/>
            <w:vMerge w:val="continue"/>
            <w:vAlign w:val="center"/>
          </w:tcPr>
          <w:p w14:paraId="3C6911C8">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2566" w:type="dxa"/>
            <w:vAlign w:val="center"/>
          </w:tcPr>
          <w:p w14:paraId="20D92601">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lang w:bidi="hi-IN"/>
              </w:rPr>
            </w:pPr>
            <w:r>
              <w:rPr>
                <w:rFonts w:hint="eastAsia" w:ascii="宋体" w:hAnsi="宋体" w:eastAsia="宋体" w:cs="宋体"/>
                <w:sz w:val="24"/>
                <w:szCs w:val="24"/>
                <w:highlight w:val="none"/>
              </w:rPr>
              <w:t>法定代表人证明或法</w:t>
            </w:r>
            <w:r>
              <w:rPr>
                <w:rFonts w:hint="eastAsia" w:ascii="宋体" w:hAnsi="宋体" w:eastAsia="宋体" w:cs="宋体"/>
                <w:sz w:val="24"/>
                <w:szCs w:val="24"/>
                <w:highlight w:val="none"/>
                <w:lang w:val="en-US" w:eastAsia="zh-CN"/>
              </w:rPr>
              <w:t>定代表</w:t>
            </w:r>
            <w:r>
              <w:rPr>
                <w:rFonts w:hint="eastAsia" w:ascii="宋体" w:hAnsi="宋体" w:eastAsia="宋体" w:cs="宋体"/>
                <w:sz w:val="24"/>
                <w:szCs w:val="24"/>
                <w:highlight w:val="none"/>
              </w:rPr>
              <w:t>人授权委托书</w:t>
            </w:r>
          </w:p>
        </w:tc>
        <w:tc>
          <w:tcPr>
            <w:tcW w:w="4994" w:type="dxa"/>
            <w:vAlign w:val="center"/>
          </w:tcPr>
          <w:p w14:paraId="287F9E6F">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lang w:bidi="hi-IN"/>
              </w:rPr>
            </w:pPr>
            <w:r>
              <w:rPr>
                <w:rFonts w:hint="eastAsia" w:ascii="宋体" w:hAnsi="宋体" w:eastAsia="宋体" w:cs="宋体"/>
                <w:sz w:val="24"/>
                <w:szCs w:val="24"/>
                <w:highlight w:val="none"/>
              </w:rPr>
              <w:t>提供法定代表人（负责人）证明或法人授权委托书</w:t>
            </w:r>
          </w:p>
        </w:tc>
      </w:tr>
      <w:tr w14:paraId="7BBAA3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exact"/>
        </w:trPr>
        <w:tc>
          <w:tcPr>
            <w:tcW w:w="1342" w:type="dxa"/>
            <w:vMerge w:val="continue"/>
            <w:vAlign w:val="center"/>
          </w:tcPr>
          <w:p w14:paraId="32CE8CEB">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1050" w:type="dxa"/>
            <w:vMerge w:val="continue"/>
            <w:vAlign w:val="center"/>
          </w:tcPr>
          <w:p w14:paraId="555B14FE">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2566" w:type="dxa"/>
            <w:vAlign w:val="center"/>
          </w:tcPr>
          <w:p w14:paraId="05046DBF">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信誉要求</w:t>
            </w:r>
          </w:p>
        </w:tc>
        <w:tc>
          <w:tcPr>
            <w:tcW w:w="4994" w:type="dxa"/>
            <w:vAlign w:val="center"/>
          </w:tcPr>
          <w:p w14:paraId="463B6E09">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color w:val="auto"/>
                <w:spacing w:val="-4"/>
                <w:sz w:val="24"/>
                <w:szCs w:val="24"/>
                <w:highlight w:val="none"/>
                <w:lang w:eastAsia="zh-CN"/>
              </w:rPr>
              <w:t>符合第二章“投标人须知</w:t>
            </w:r>
            <w:r>
              <w:rPr>
                <w:rFonts w:hint="eastAsia" w:ascii="宋体" w:hAnsi="宋体" w:eastAsia="宋体" w:cs="宋体"/>
                <w:color w:val="auto"/>
                <w:spacing w:val="-89"/>
                <w:sz w:val="24"/>
                <w:szCs w:val="24"/>
                <w:highlight w:val="none"/>
                <w:lang w:eastAsia="zh-CN"/>
              </w:rPr>
              <w:t xml:space="preserve"> </w:t>
            </w:r>
            <w:r>
              <w:rPr>
                <w:rFonts w:hint="eastAsia" w:ascii="宋体" w:hAnsi="宋体" w:eastAsia="宋体" w:cs="宋体"/>
                <w:color w:val="auto"/>
                <w:spacing w:val="-4"/>
                <w:sz w:val="24"/>
                <w:szCs w:val="24"/>
                <w:highlight w:val="none"/>
                <w:lang w:eastAsia="zh-CN"/>
              </w:rPr>
              <w:t>”第</w:t>
            </w:r>
            <w:r>
              <w:rPr>
                <w:rFonts w:hint="eastAsia" w:ascii="宋体" w:hAnsi="宋体" w:eastAsia="宋体" w:cs="宋体"/>
                <w:color w:val="auto"/>
                <w:spacing w:val="-33"/>
                <w:sz w:val="24"/>
                <w:szCs w:val="24"/>
                <w:highlight w:val="none"/>
                <w:lang w:eastAsia="zh-CN"/>
              </w:rPr>
              <w:t xml:space="preserve"> </w:t>
            </w:r>
            <w:r>
              <w:rPr>
                <w:rFonts w:hint="eastAsia" w:ascii="宋体" w:hAnsi="宋体" w:eastAsia="宋体" w:cs="宋体"/>
                <w:color w:val="auto"/>
                <w:spacing w:val="-4"/>
                <w:sz w:val="24"/>
                <w:szCs w:val="24"/>
                <w:highlight w:val="none"/>
                <w:lang w:eastAsia="zh-CN"/>
              </w:rPr>
              <w:t>1.4.1</w:t>
            </w:r>
            <w:r>
              <w:rPr>
                <w:rFonts w:hint="eastAsia" w:ascii="宋体" w:hAnsi="宋体" w:eastAsia="宋体" w:cs="宋体"/>
                <w:color w:val="auto"/>
                <w:spacing w:val="-47"/>
                <w:sz w:val="24"/>
                <w:szCs w:val="24"/>
                <w:highlight w:val="none"/>
                <w:lang w:eastAsia="zh-CN"/>
              </w:rPr>
              <w:t xml:space="preserve"> </w:t>
            </w:r>
            <w:r>
              <w:rPr>
                <w:rFonts w:hint="eastAsia" w:ascii="宋体" w:hAnsi="宋体" w:eastAsia="宋体" w:cs="宋体"/>
                <w:color w:val="auto"/>
                <w:spacing w:val="-4"/>
                <w:sz w:val="24"/>
                <w:szCs w:val="24"/>
                <w:highlight w:val="none"/>
                <w:lang w:eastAsia="zh-CN"/>
              </w:rPr>
              <w:t>项规定</w:t>
            </w:r>
          </w:p>
        </w:tc>
      </w:tr>
      <w:tr w14:paraId="2D5FE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342" w:type="dxa"/>
            <w:vMerge w:val="continue"/>
            <w:tcBorders>
              <w:bottom w:val="single" w:color="auto" w:sz="4" w:space="0"/>
            </w:tcBorders>
            <w:vAlign w:val="center"/>
          </w:tcPr>
          <w:p w14:paraId="2F98BBBE">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1050" w:type="dxa"/>
            <w:vMerge w:val="continue"/>
            <w:tcBorders>
              <w:bottom w:val="single" w:color="auto" w:sz="4" w:space="0"/>
            </w:tcBorders>
            <w:vAlign w:val="center"/>
          </w:tcPr>
          <w:p w14:paraId="69A3E502">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2566" w:type="dxa"/>
            <w:tcBorders>
              <w:bottom w:val="single" w:color="auto" w:sz="4" w:space="0"/>
            </w:tcBorders>
            <w:vAlign w:val="center"/>
          </w:tcPr>
          <w:p w14:paraId="2C848028">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其他要求</w:t>
            </w:r>
          </w:p>
        </w:tc>
        <w:tc>
          <w:tcPr>
            <w:tcW w:w="4994" w:type="dxa"/>
            <w:tcBorders>
              <w:bottom w:val="single" w:color="auto" w:sz="4" w:space="0"/>
            </w:tcBorders>
            <w:vAlign w:val="center"/>
          </w:tcPr>
          <w:p w14:paraId="3E8688C4">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color w:val="auto"/>
                <w:spacing w:val="-4"/>
                <w:sz w:val="24"/>
                <w:szCs w:val="24"/>
                <w:highlight w:val="none"/>
                <w:lang w:eastAsia="zh-CN"/>
              </w:rPr>
              <w:t>符合第二章“投标人须知</w:t>
            </w:r>
            <w:r>
              <w:rPr>
                <w:rFonts w:hint="eastAsia" w:ascii="宋体" w:hAnsi="宋体" w:eastAsia="宋体" w:cs="宋体"/>
                <w:color w:val="auto"/>
                <w:spacing w:val="-89"/>
                <w:sz w:val="24"/>
                <w:szCs w:val="24"/>
                <w:highlight w:val="none"/>
                <w:lang w:eastAsia="zh-CN"/>
              </w:rPr>
              <w:t xml:space="preserve"> </w:t>
            </w:r>
            <w:r>
              <w:rPr>
                <w:rFonts w:hint="eastAsia" w:ascii="宋体" w:hAnsi="宋体" w:eastAsia="宋体" w:cs="宋体"/>
                <w:color w:val="auto"/>
                <w:spacing w:val="-4"/>
                <w:sz w:val="24"/>
                <w:szCs w:val="24"/>
                <w:highlight w:val="none"/>
                <w:lang w:eastAsia="zh-CN"/>
              </w:rPr>
              <w:t>”第</w:t>
            </w:r>
            <w:r>
              <w:rPr>
                <w:rFonts w:hint="eastAsia" w:ascii="宋体" w:hAnsi="宋体" w:eastAsia="宋体" w:cs="宋体"/>
                <w:color w:val="auto"/>
                <w:spacing w:val="-33"/>
                <w:sz w:val="24"/>
                <w:szCs w:val="24"/>
                <w:highlight w:val="none"/>
                <w:lang w:eastAsia="zh-CN"/>
              </w:rPr>
              <w:t xml:space="preserve"> </w:t>
            </w:r>
            <w:r>
              <w:rPr>
                <w:rFonts w:hint="eastAsia" w:ascii="宋体" w:hAnsi="宋体" w:eastAsia="宋体" w:cs="宋体"/>
                <w:color w:val="auto"/>
                <w:spacing w:val="-4"/>
                <w:sz w:val="24"/>
                <w:szCs w:val="24"/>
                <w:highlight w:val="none"/>
                <w:lang w:eastAsia="zh-CN"/>
              </w:rPr>
              <w:t>1.4.1</w:t>
            </w:r>
            <w:r>
              <w:rPr>
                <w:rFonts w:hint="eastAsia" w:ascii="宋体" w:hAnsi="宋体" w:eastAsia="宋体" w:cs="宋体"/>
                <w:color w:val="auto"/>
                <w:spacing w:val="-47"/>
                <w:sz w:val="24"/>
                <w:szCs w:val="24"/>
                <w:highlight w:val="none"/>
                <w:lang w:eastAsia="zh-CN"/>
              </w:rPr>
              <w:t xml:space="preserve"> </w:t>
            </w:r>
            <w:r>
              <w:rPr>
                <w:rFonts w:hint="eastAsia" w:ascii="宋体" w:hAnsi="宋体" w:eastAsia="宋体" w:cs="宋体"/>
                <w:color w:val="auto"/>
                <w:spacing w:val="-4"/>
                <w:sz w:val="24"/>
                <w:szCs w:val="24"/>
                <w:highlight w:val="none"/>
                <w:lang w:eastAsia="zh-CN"/>
              </w:rPr>
              <w:t>项规定</w:t>
            </w:r>
          </w:p>
        </w:tc>
      </w:tr>
      <w:tr w14:paraId="3F15C5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exact"/>
        </w:trPr>
        <w:tc>
          <w:tcPr>
            <w:tcW w:w="1342" w:type="dxa"/>
            <w:vMerge w:val="restart"/>
            <w:tcBorders>
              <w:top w:val="single" w:color="auto" w:sz="4" w:space="0"/>
              <w:left w:val="single" w:color="auto" w:sz="4" w:space="0"/>
              <w:bottom w:val="single" w:color="auto" w:sz="4" w:space="0"/>
              <w:right w:val="single" w:color="auto" w:sz="4" w:space="0"/>
            </w:tcBorders>
            <w:vAlign w:val="center"/>
          </w:tcPr>
          <w:p w14:paraId="750D5438">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评标委员会</w:t>
            </w:r>
          </w:p>
        </w:tc>
        <w:tc>
          <w:tcPr>
            <w:tcW w:w="1050" w:type="dxa"/>
            <w:vMerge w:val="restart"/>
            <w:tcBorders>
              <w:top w:val="single" w:color="auto" w:sz="4" w:space="0"/>
              <w:left w:val="single" w:color="auto" w:sz="4" w:space="0"/>
              <w:bottom w:val="single" w:color="auto" w:sz="4" w:space="0"/>
              <w:right w:val="single" w:color="auto" w:sz="4" w:space="0"/>
            </w:tcBorders>
            <w:vAlign w:val="center"/>
          </w:tcPr>
          <w:p w14:paraId="0C2A7068">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二、形式评审标准</w:t>
            </w:r>
          </w:p>
        </w:tc>
        <w:tc>
          <w:tcPr>
            <w:tcW w:w="2566" w:type="dxa"/>
            <w:tcBorders>
              <w:top w:val="single" w:color="auto" w:sz="4" w:space="0"/>
              <w:left w:val="single" w:color="auto" w:sz="4" w:space="0"/>
              <w:bottom w:val="single" w:color="auto" w:sz="4" w:space="0"/>
              <w:right w:val="single" w:color="auto" w:sz="4" w:space="0"/>
            </w:tcBorders>
            <w:vAlign w:val="center"/>
          </w:tcPr>
          <w:p w14:paraId="2AE226D0">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lang w:eastAsia="zh-CN"/>
              </w:rPr>
              <w:t>投标人</w:t>
            </w:r>
            <w:r>
              <w:rPr>
                <w:rFonts w:hint="eastAsia" w:ascii="宋体" w:hAnsi="宋体" w:eastAsia="宋体" w:cs="宋体"/>
                <w:sz w:val="24"/>
                <w:szCs w:val="24"/>
                <w:highlight w:val="none"/>
              </w:rPr>
              <w:t>名称</w:t>
            </w:r>
          </w:p>
        </w:tc>
        <w:tc>
          <w:tcPr>
            <w:tcW w:w="4994" w:type="dxa"/>
            <w:tcBorders>
              <w:top w:val="single" w:color="auto" w:sz="4" w:space="0"/>
              <w:left w:val="single" w:color="auto" w:sz="4" w:space="0"/>
              <w:bottom w:val="single" w:color="auto" w:sz="4" w:space="0"/>
              <w:right w:val="single" w:color="auto" w:sz="4" w:space="0"/>
            </w:tcBorders>
            <w:vAlign w:val="center"/>
          </w:tcPr>
          <w:p w14:paraId="1EF101F8">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与营业执照等证件一致</w:t>
            </w:r>
          </w:p>
        </w:tc>
      </w:tr>
      <w:tr w14:paraId="04468B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exact"/>
        </w:trPr>
        <w:tc>
          <w:tcPr>
            <w:tcW w:w="1342" w:type="dxa"/>
            <w:vMerge w:val="continue"/>
            <w:tcBorders>
              <w:top w:val="single" w:color="auto" w:sz="4" w:space="0"/>
              <w:left w:val="single" w:color="auto" w:sz="4" w:space="0"/>
              <w:bottom w:val="single" w:color="auto" w:sz="4" w:space="0"/>
              <w:right w:val="single" w:color="auto" w:sz="4" w:space="0"/>
            </w:tcBorders>
            <w:vAlign w:val="center"/>
          </w:tcPr>
          <w:p w14:paraId="3B4D2505">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1050" w:type="dxa"/>
            <w:vMerge w:val="continue"/>
            <w:tcBorders>
              <w:top w:val="single" w:color="auto" w:sz="4" w:space="0"/>
              <w:left w:val="single" w:color="auto" w:sz="4" w:space="0"/>
              <w:bottom w:val="single" w:color="auto" w:sz="4" w:space="0"/>
              <w:right w:val="single" w:color="auto" w:sz="4" w:space="0"/>
            </w:tcBorders>
            <w:vAlign w:val="center"/>
          </w:tcPr>
          <w:p w14:paraId="50D5B395">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2566" w:type="dxa"/>
            <w:tcBorders>
              <w:top w:val="single" w:color="auto" w:sz="4" w:space="0"/>
              <w:left w:val="single" w:color="auto" w:sz="4" w:space="0"/>
              <w:bottom w:val="single" w:color="auto" w:sz="4" w:space="0"/>
              <w:right w:val="single" w:color="auto" w:sz="4" w:space="0"/>
            </w:tcBorders>
            <w:vAlign w:val="center"/>
          </w:tcPr>
          <w:p w14:paraId="1BF57885">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投标函签字盖章</w:t>
            </w:r>
          </w:p>
        </w:tc>
        <w:tc>
          <w:tcPr>
            <w:tcW w:w="4994" w:type="dxa"/>
            <w:tcBorders>
              <w:top w:val="single" w:color="auto" w:sz="4" w:space="0"/>
              <w:left w:val="single" w:color="auto" w:sz="4" w:space="0"/>
              <w:bottom w:val="single" w:color="auto" w:sz="4" w:space="0"/>
              <w:right w:val="single" w:color="auto" w:sz="4" w:space="0"/>
            </w:tcBorders>
            <w:vAlign w:val="center"/>
          </w:tcPr>
          <w:p w14:paraId="7698CAEE">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加盖单位公章并有法定代表人或其委托代理人签字或盖章</w:t>
            </w:r>
          </w:p>
        </w:tc>
      </w:tr>
      <w:tr w14:paraId="31FE8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exact"/>
        </w:trPr>
        <w:tc>
          <w:tcPr>
            <w:tcW w:w="1342" w:type="dxa"/>
            <w:vMerge w:val="continue"/>
            <w:tcBorders>
              <w:top w:val="single" w:color="auto" w:sz="4" w:space="0"/>
              <w:left w:val="single" w:color="auto" w:sz="4" w:space="0"/>
              <w:bottom w:val="single" w:color="auto" w:sz="4" w:space="0"/>
              <w:right w:val="single" w:color="auto" w:sz="4" w:space="0"/>
            </w:tcBorders>
            <w:vAlign w:val="center"/>
          </w:tcPr>
          <w:p w14:paraId="7F51F048">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1050" w:type="dxa"/>
            <w:vMerge w:val="continue"/>
            <w:tcBorders>
              <w:top w:val="single" w:color="auto" w:sz="4" w:space="0"/>
              <w:left w:val="single" w:color="auto" w:sz="4" w:space="0"/>
              <w:bottom w:val="single" w:color="auto" w:sz="4" w:space="0"/>
              <w:right w:val="single" w:color="auto" w:sz="4" w:space="0"/>
            </w:tcBorders>
            <w:vAlign w:val="center"/>
          </w:tcPr>
          <w:p w14:paraId="775DC076">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2566" w:type="dxa"/>
            <w:tcBorders>
              <w:top w:val="single" w:color="auto" w:sz="4" w:space="0"/>
              <w:left w:val="single" w:color="auto" w:sz="4" w:space="0"/>
              <w:bottom w:val="single" w:color="auto" w:sz="4" w:space="0"/>
              <w:right w:val="single" w:color="auto" w:sz="4" w:space="0"/>
            </w:tcBorders>
            <w:vAlign w:val="center"/>
          </w:tcPr>
          <w:p w14:paraId="33E6E7C4">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投标文件格式</w:t>
            </w:r>
          </w:p>
        </w:tc>
        <w:tc>
          <w:tcPr>
            <w:tcW w:w="4994" w:type="dxa"/>
            <w:tcBorders>
              <w:top w:val="single" w:color="auto" w:sz="4" w:space="0"/>
              <w:left w:val="single" w:color="auto" w:sz="4" w:space="0"/>
              <w:bottom w:val="single" w:color="auto" w:sz="4" w:space="0"/>
              <w:right w:val="single" w:color="auto" w:sz="4" w:space="0"/>
            </w:tcBorders>
            <w:vAlign w:val="center"/>
          </w:tcPr>
          <w:p w14:paraId="50BA9FE2">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符合招标文件格式要求</w:t>
            </w:r>
          </w:p>
        </w:tc>
      </w:tr>
      <w:tr w14:paraId="3E7F7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trPr>
        <w:tc>
          <w:tcPr>
            <w:tcW w:w="1342" w:type="dxa"/>
            <w:vMerge w:val="continue"/>
            <w:tcBorders>
              <w:top w:val="single" w:color="auto" w:sz="4" w:space="0"/>
              <w:left w:val="single" w:color="auto" w:sz="4" w:space="0"/>
              <w:bottom w:val="single" w:color="auto" w:sz="4" w:space="0"/>
              <w:right w:val="single" w:color="auto" w:sz="4" w:space="0"/>
            </w:tcBorders>
            <w:vAlign w:val="center"/>
          </w:tcPr>
          <w:p w14:paraId="28B8E8F6">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1050" w:type="dxa"/>
            <w:vMerge w:val="continue"/>
            <w:tcBorders>
              <w:top w:val="single" w:color="auto" w:sz="4" w:space="0"/>
              <w:left w:val="single" w:color="auto" w:sz="4" w:space="0"/>
              <w:bottom w:val="single" w:color="auto" w:sz="4" w:space="0"/>
              <w:right w:val="single" w:color="auto" w:sz="4" w:space="0"/>
            </w:tcBorders>
            <w:vAlign w:val="center"/>
          </w:tcPr>
          <w:p w14:paraId="54950E31">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2566" w:type="dxa"/>
            <w:tcBorders>
              <w:top w:val="single" w:color="auto" w:sz="4" w:space="0"/>
              <w:left w:val="single" w:color="auto" w:sz="4" w:space="0"/>
              <w:bottom w:val="single" w:color="auto" w:sz="4" w:space="0"/>
              <w:right w:val="single" w:color="auto" w:sz="4" w:space="0"/>
            </w:tcBorders>
            <w:vAlign w:val="center"/>
          </w:tcPr>
          <w:p w14:paraId="01F1CCD8">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报价唯一</w:t>
            </w:r>
          </w:p>
        </w:tc>
        <w:tc>
          <w:tcPr>
            <w:tcW w:w="4994" w:type="dxa"/>
            <w:tcBorders>
              <w:top w:val="single" w:color="auto" w:sz="4" w:space="0"/>
              <w:left w:val="single" w:color="auto" w:sz="4" w:space="0"/>
              <w:bottom w:val="single" w:color="auto" w:sz="4" w:space="0"/>
              <w:right w:val="single" w:color="auto" w:sz="4" w:space="0"/>
            </w:tcBorders>
            <w:vAlign w:val="center"/>
          </w:tcPr>
          <w:p w14:paraId="5A2CF090">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只能有一个有效报价</w:t>
            </w:r>
          </w:p>
        </w:tc>
      </w:tr>
      <w:tr w14:paraId="72761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exact"/>
        </w:trPr>
        <w:tc>
          <w:tcPr>
            <w:tcW w:w="1342" w:type="dxa"/>
            <w:vMerge w:val="continue"/>
            <w:tcBorders>
              <w:top w:val="single" w:color="auto" w:sz="4" w:space="0"/>
              <w:left w:val="single" w:color="auto" w:sz="4" w:space="0"/>
              <w:bottom w:val="single" w:color="auto" w:sz="4" w:space="0"/>
              <w:right w:val="single" w:color="auto" w:sz="4" w:space="0"/>
            </w:tcBorders>
            <w:vAlign w:val="center"/>
          </w:tcPr>
          <w:p w14:paraId="0EEA2C9F">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p>
        </w:tc>
        <w:tc>
          <w:tcPr>
            <w:tcW w:w="1050" w:type="dxa"/>
            <w:vMerge w:val="restart"/>
            <w:tcBorders>
              <w:top w:val="single" w:color="auto" w:sz="4" w:space="0"/>
              <w:left w:val="single" w:color="auto" w:sz="4" w:space="0"/>
              <w:bottom w:val="single" w:color="auto" w:sz="4" w:space="0"/>
              <w:right w:val="single" w:color="auto" w:sz="4" w:space="0"/>
            </w:tcBorders>
            <w:vAlign w:val="center"/>
          </w:tcPr>
          <w:p w14:paraId="097B3BE0">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三、响应性评审标准</w:t>
            </w:r>
          </w:p>
        </w:tc>
        <w:tc>
          <w:tcPr>
            <w:tcW w:w="2566" w:type="dxa"/>
            <w:tcBorders>
              <w:top w:val="single" w:color="auto" w:sz="4" w:space="0"/>
              <w:left w:val="single" w:color="auto" w:sz="4" w:space="0"/>
              <w:bottom w:val="single" w:color="auto" w:sz="4" w:space="0"/>
              <w:right w:val="single" w:color="auto" w:sz="4" w:space="0"/>
            </w:tcBorders>
            <w:vAlign w:val="center"/>
          </w:tcPr>
          <w:p w14:paraId="4B7E9CF4">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合同履行期限</w:t>
            </w:r>
          </w:p>
        </w:tc>
        <w:tc>
          <w:tcPr>
            <w:tcW w:w="4994" w:type="dxa"/>
            <w:tcBorders>
              <w:top w:val="single" w:color="auto" w:sz="4" w:space="0"/>
              <w:left w:val="single" w:color="auto" w:sz="4" w:space="0"/>
              <w:bottom w:val="single" w:color="auto" w:sz="4" w:space="0"/>
              <w:right w:val="single" w:color="auto" w:sz="4" w:space="0"/>
            </w:tcBorders>
            <w:vAlign w:val="center"/>
          </w:tcPr>
          <w:p w14:paraId="6070801C">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default"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30日历天</w:t>
            </w:r>
          </w:p>
        </w:tc>
      </w:tr>
      <w:tr w14:paraId="519AE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exact"/>
        </w:trPr>
        <w:tc>
          <w:tcPr>
            <w:tcW w:w="1342" w:type="dxa"/>
            <w:vMerge w:val="continue"/>
            <w:tcBorders>
              <w:top w:val="single" w:color="auto" w:sz="4" w:space="0"/>
              <w:left w:val="single" w:color="auto" w:sz="4" w:space="0"/>
              <w:bottom w:val="single" w:color="auto" w:sz="4" w:space="0"/>
              <w:right w:val="single" w:color="auto" w:sz="4" w:space="0"/>
            </w:tcBorders>
          </w:tcPr>
          <w:p w14:paraId="64BEB326">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1050" w:type="dxa"/>
            <w:vMerge w:val="continue"/>
            <w:tcBorders>
              <w:top w:val="single" w:color="auto" w:sz="4" w:space="0"/>
              <w:left w:val="single" w:color="auto" w:sz="4" w:space="0"/>
              <w:bottom w:val="single" w:color="auto" w:sz="4" w:space="0"/>
              <w:right w:val="single" w:color="auto" w:sz="4" w:space="0"/>
            </w:tcBorders>
          </w:tcPr>
          <w:p w14:paraId="6828841B">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2566" w:type="dxa"/>
            <w:tcBorders>
              <w:top w:val="single" w:color="auto" w:sz="4" w:space="0"/>
              <w:left w:val="single" w:color="auto" w:sz="4" w:space="0"/>
              <w:bottom w:val="single" w:color="auto" w:sz="4" w:space="0"/>
              <w:right w:val="single" w:color="auto" w:sz="4" w:space="0"/>
            </w:tcBorders>
            <w:vAlign w:val="center"/>
          </w:tcPr>
          <w:p w14:paraId="2555F8AF">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质  量</w:t>
            </w:r>
          </w:p>
        </w:tc>
        <w:tc>
          <w:tcPr>
            <w:tcW w:w="4994" w:type="dxa"/>
            <w:tcBorders>
              <w:top w:val="single" w:color="auto" w:sz="4" w:space="0"/>
              <w:left w:val="single" w:color="auto" w:sz="4" w:space="0"/>
              <w:bottom w:val="single" w:color="auto" w:sz="4" w:space="0"/>
              <w:right w:val="single" w:color="auto" w:sz="4" w:space="0"/>
            </w:tcBorders>
            <w:vAlign w:val="center"/>
          </w:tcPr>
          <w:p w14:paraId="60A15D32">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合格，符合国家及行业规范标准</w:t>
            </w:r>
          </w:p>
        </w:tc>
      </w:tr>
      <w:tr w14:paraId="72E7F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exact"/>
        </w:trPr>
        <w:tc>
          <w:tcPr>
            <w:tcW w:w="1342" w:type="dxa"/>
            <w:vMerge w:val="continue"/>
            <w:tcBorders>
              <w:top w:val="single" w:color="auto" w:sz="4" w:space="0"/>
              <w:left w:val="single" w:color="auto" w:sz="4" w:space="0"/>
              <w:bottom w:val="single" w:color="auto" w:sz="4" w:space="0"/>
              <w:right w:val="single" w:color="auto" w:sz="4" w:space="0"/>
            </w:tcBorders>
          </w:tcPr>
          <w:p w14:paraId="4FA0A6B4">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1050" w:type="dxa"/>
            <w:vMerge w:val="continue"/>
            <w:tcBorders>
              <w:top w:val="single" w:color="auto" w:sz="4" w:space="0"/>
              <w:left w:val="single" w:color="auto" w:sz="4" w:space="0"/>
              <w:bottom w:val="single" w:color="auto" w:sz="4" w:space="0"/>
              <w:right w:val="single" w:color="auto" w:sz="4" w:space="0"/>
            </w:tcBorders>
          </w:tcPr>
          <w:p w14:paraId="507F0EFB">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2566" w:type="dxa"/>
            <w:tcBorders>
              <w:top w:val="single" w:color="auto" w:sz="4" w:space="0"/>
              <w:left w:val="single" w:color="auto" w:sz="4" w:space="0"/>
              <w:bottom w:val="single" w:color="auto" w:sz="4" w:space="0"/>
              <w:right w:val="single" w:color="auto" w:sz="4" w:space="0"/>
            </w:tcBorders>
            <w:vAlign w:val="center"/>
          </w:tcPr>
          <w:p w14:paraId="7E68597E">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质保期</w:t>
            </w:r>
          </w:p>
        </w:tc>
        <w:tc>
          <w:tcPr>
            <w:tcW w:w="4994" w:type="dxa"/>
            <w:tcBorders>
              <w:top w:val="single" w:color="auto" w:sz="4" w:space="0"/>
              <w:left w:val="single" w:color="auto" w:sz="4" w:space="0"/>
              <w:bottom w:val="single" w:color="auto" w:sz="4" w:space="0"/>
              <w:right w:val="single" w:color="auto" w:sz="4" w:space="0"/>
            </w:tcBorders>
            <w:vAlign w:val="center"/>
          </w:tcPr>
          <w:p w14:paraId="23632EE8">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一年</w:t>
            </w:r>
          </w:p>
        </w:tc>
      </w:tr>
      <w:tr w14:paraId="3609B1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exact"/>
        </w:trPr>
        <w:tc>
          <w:tcPr>
            <w:tcW w:w="1342" w:type="dxa"/>
            <w:vMerge w:val="continue"/>
            <w:tcBorders>
              <w:top w:val="single" w:color="auto" w:sz="4" w:space="0"/>
              <w:left w:val="single" w:color="auto" w:sz="4" w:space="0"/>
              <w:bottom w:val="single" w:color="auto" w:sz="4" w:space="0"/>
              <w:right w:val="single" w:color="auto" w:sz="4" w:space="0"/>
            </w:tcBorders>
          </w:tcPr>
          <w:p w14:paraId="1361808B">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1050" w:type="dxa"/>
            <w:vMerge w:val="continue"/>
            <w:tcBorders>
              <w:top w:val="single" w:color="auto" w:sz="4" w:space="0"/>
              <w:left w:val="single" w:color="auto" w:sz="4" w:space="0"/>
              <w:bottom w:val="single" w:color="auto" w:sz="4" w:space="0"/>
              <w:right w:val="single" w:color="auto" w:sz="4" w:space="0"/>
            </w:tcBorders>
          </w:tcPr>
          <w:p w14:paraId="34CCAC9D">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2566" w:type="dxa"/>
            <w:tcBorders>
              <w:top w:val="single" w:color="auto" w:sz="4" w:space="0"/>
              <w:left w:val="single" w:color="auto" w:sz="4" w:space="0"/>
              <w:bottom w:val="single" w:color="auto" w:sz="4" w:space="0"/>
              <w:right w:val="single" w:color="auto" w:sz="4" w:space="0"/>
            </w:tcBorders>
            <w:vAlign w:val="center"/>
          </w:tcPr>
          <w:p w14:paraId="27ACF007">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商务报价</w:t>
            </w:r>
          </w:p>
        </w:tc>
        <w:tc>
          <w:tcPr>
            <w:tcW w:w="4994" w:type="dxa"/>
            <w:tcBorders>
              <w:top w:val="single" w:color="auto" w:sz="4" w:space="0"/>
              <w:left w:val="single" w:color="auto" w:sz="4" w:space="0"/>
              <w:bottom w:val="single" w:color="auto" w:sz="4" w:space="0"/>
              <w:right w:val="single" w:color="auto" w:sz="4" w:space="0"/>
            </w:tcBorders>
            <w:vAlign w:val="center"/>
          </w:tcPr>
          <w:p w14:paraId="08397FA4">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只能有一个有效报价，且不能超过招标控制价</w:t>
            </w:r>
          </w:p>
        </w:tc>
      </w:tr>
      <w:tr w14:paraId="77F77C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exact"/>
        </w:trPr>
        <w:tc>
          <w:tcPr>
            <w:tcW w:w="1342" w:type="dxa"/>
            <w:vMerge w:val="continue"/>
            <w:tcBorders>
              <w:top w:val="single" w:color="auto" w:sz="4" w:space="0"/>
              <w:left w:val="single" w:color="auto" w:sz="4" w:space="0"/>
              <w:bottom w:val="single" w:color="auto" w:sz="4" w:space="0"/>
              <w:right w:val="single" w:color="auto" w:sz="4" w:space="0"/>
            </w:tcBorders>
          </w:tcPr>
          <w:p w14:paraId="2DFFEF62">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1050" w:type="dxa"/>
            <w:vMerge w:val="continue"/>
            <w:tcBorders>
              <w:top w:val="single" w:color="auto" w:sz="4" w:space="0"/>
              <w:left w:val="single" w:color="auto" w:sz="4" w:space="0"/>
              <w:bottom w:val="single" w:color="auto" w:sz="4" w:space="0"/>
              <w:right w:val="single" w:color="auto" w:sz="4" w:space="0"/>
            </w:tcBorders>
          </w:tcPr>
          <w:p w14:paraId="6307E0A3">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2566" w:type="dxa"/>
            <w:tcBorders>
              <w:top w:val="single" w:color="auto" w:sz="4" w:space="0"/>
              <w:left w:val="single" w:color="auto" w:sz="4" w:space="0"/>
              <w:bottom w:val="single" w:color="auto" w:sz="4" w:space="0"/>
              <w:right w:val="single" w:color="auto" w:sz="4" w:space="0"/>
            </w:tcBorders>
            <w:vAlign w:val="center"/>
          </w:tcPr>
          <w:p w14:paraId="77E9CAF6">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投标有效期</w:t>
            </w:r>
          </w:p>
        </w:tc>
        <w:tc>
          <w:tcPr>
            <w:tcW w:w="4994" w:type="dxa"/>
            <w:tcBorders>
              <w:top w:val="single" w:color="auto" w:sz="4" w:space="0"/>
              <w:left w:val="single" w:color="auto" w:sz="4" w:space="0"/>
              <w:bottom w:val="single" w:color="auto" w:sz="4" w:space="0"/>
              <w:right w:val="single" w:color="auto" w:sz="4" w:space="0"/>
            </w:tcBorders>
            <w:vAlign w:val="center"/>
          </w:tcPr>
          <w:p w14:paraId="661735B1">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60日历天（从投标截止之日算起）</w:t>
            </w:r>
          </w:p>
        </w:tc>
      </w:tr>
      <w:tr w14:paraId="57920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1" w:hRule="exact"/>
        </w:trPr>
        <w:tc>
          <w:tcPr>
            <w:tcW w:w="1342" w:type="dxa"/>
            <w:vMerge w:val="continue"/>
            <w:tcBorders>
              <w:top w:val="single" w:color="auto" w:sz="4" w:space="0"/>
              <w:left w:val="single" w:color="auto" w:sz="4" w:space="0"/>
              <w:bottom w:val="single" w:color="auto" w:sz="4" w:space="0"/>
              <w:right w:val="single" w:color="auto" w:sz="4" w:space="0"/>
            </w:tcBorders>
          </w:tcPr>
          <w:p w14:paraId="4E51C72B">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1050" w:type="dxa"/>
            <w:vMerge w:val="continue"/>
            <w:tcBorders>
              <w:top w:val="single" w:color="auto" w:sz="4" w:space="0"/>
              <w:left w:val="single" w:color="auto" w:sz="4" w:space="0"/>
              <w:bottom w:val="single" w:color="auto" w:sz="4" w:space="0"/>
              <w:right w:val="single" w:color="auto" w:sz="4" w:space="0"/>
            </w:tcBorders>
          </w:tcPr>
          <w:p w14:paraId="185B7E15">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2566" w:type="dxa"/>
            <w:tcBorders>
              <w:top w:val="single" w:color="auto" w:sz="4" w:space="0"/>
              <w:left w:val="single" w:color="auto" w:sz="4" w:space="0"/>
              <w:bottom w:val="single" w:color="auto" w:sz="4" w:space="0"/>
              <w:right w:val="single" w:color="auto" w:sz="4" w:space="0"/>
            </w:tcBorders>
            <w:vAlign w:val="center"/>
          </w:tcPr>
          <w:p w14:paraId="6ABA1FE0">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权利义务</w:t>
            </w:r>
          </w:p>
        </w:tc>
        <w:tc>
          <w:tcPr>
            <w:tcW w:w="4994" w:type="dxa"/>
            <w:tcBorders>
              <w:top w:val="single" w:color="auto" w:sz="4" w:space="0"/>
              <w:left w:val="single" w:color="auto" w:sz="4" w:space="0"/>
              <w:bottom w:val="single" w:color="auto" w:sz="4" w:space="0"/>
              <w:right w:val="single" w:color="auto" w:sz="4" w:space="0"/>
            </w:tcBorders>
            <w:vAlign w:val="center"/>
          </w:tcPr>
          <w:p w14:paraId="6B788BFF">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符合招标文件第四章“合同条款及格式”规定</w:t>
            </w:r>
          </w:p>
        </w:tc>
      </w:tr>
      <w:tr w14:paraId="35AD86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2" w:hRule="exact"/>
        </w:trPr>
        <w:tc>
          <w:tcPr>
            <w:tcW w:w="1342" w:type="dxa"/>
            <w:vMerge w:val="continue"/>
            <w:tcBorders>
              <w:top w:val="single" w:color="auto" w:sz="4" w:space="0"/>
              <w:left w:val="single" w:color="auto" w:sz="4" w:space="0"/>
              <w:bottom w:val="single" w:color="auto" w:sz="4" w:space="0"/>
              <w:right w:val="single" w:color="auto" w:sz="4" w:space="0"/>
            </w:tcBorders>
          </w:tcPr>
          <w:p w14:paraId="5938A9F5">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1050" w:type="dxa"/>
            <w:vMerge w:val="continue"/>
            <w:tcBorders>
              <w:top w:val="single" w:color="auto" w:sz="4" w:space="0"/>
              <w:left w:val="single" w:color="auto" w:sz="4" w:space="0"/>
              <w:bottom w:val="single" w:color="auto" w:sz="4" w:space="0"/>
              <w:right w:val="single" w:color="auto" w:sz="4" w:space="0"/>
            </w:tcBorders>
          </w:tcPr>
          <w:p w14:paraId="43635EB5">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2566" w:type="dxa"/>
            <w:tcBorders>
              <w:top w:val="single" w:color="auto" w:sz="4" w:space="0"/>
              <w:left w:val="single" w:color="auto" w:sz="4" w:space="0"/>
              <w:bottom w:val="single" w:color="auto" w:sz="4" w:space="0"/>
              <w:right w:val="single" w:color="auto" w:sz="4" w:space="0"/>
            </w:tcBorders>
            <w:vAlign w:val="center"/>
          </w:tcPr>
          <w:p w14:paraId="058C2E9A">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采购内容及</w:t>
            </w:r>
            <w:r>
              <w:rPr>
                <w:rFonts w:hint="eastAsia" w:ascii="宋体" w:hAnsi="宋体" w:eastAsia="宋体" w:cs="宋体"/>
                <w:sz w:val="24"/>
                <w:szCs w:val="24"/>
                <w:highlight w:val="none"/>
              </w:rPr>
              <w:t>要求</w:t>
            </w:r>
          </w:p>
        </w:tc>
        <w:tc>
          <w:tcPr>
            <w:tcW w:w="4994" w:type="dxa"/>
            <w:tcBorders>
              <w:top w:val="single" w:color="auto" w:sz="4" w:space="0"/>
              <w:left w:val="single" w:color="auto" w:sz="4" w:space="0"/>
              <w:bottom w:val="single" w:color="auto" w:sz="4" w:space="0"/>
              <w:right w:val="single" w:color="auto" w:sz="4" w:space="0"/>
            </w:tcBorders>
            <w:vAlign w:val="center"/>
          </w:tcPr>
          <w:p w14:paraId="3D57C265">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符合</w:t>
            </w:r>
            <w:r>
              <w:rPr>
                <w:rFonts w:hint="eastAsia" w:ascii="宋体" w:hAnsi="宋体" w:eastAsia="宋体" w:cs="宋体"/>
                <w:sz w:val="24"/>
                <w:szCs w:val="24"/>
                <w:highlight w:val="none"/>
                <w:lang w:val="en-US" w:eastAsia="zh-CN"/>
              </w:rPr>
              <w:t>第五章</w:t>
            </w:r>
            <w:r>
              <w:rPr>
                <w:rFonts w:hint="eastAsia" w:ascii="宋体" w:hAnsi="宋体" w:eastAsia="宋体" w:cs="宋体"/>
                <w:sz w:val="24"/>
                <w:szCs w:val="24"/>
                <w:highlight w:val="none"/>
              </w:rPr>
              <w:t>“采购内容及要求”规定，若不符合</w:t>
            </w:r>
            <w:r>
              <w:rPr>
                <w:rFonts w:hint="eastAsia" w:ascii="宋体" w:hAnsi="宋体" w:eastAsia="宋体" w:cs="宋体"/>
                <w:sz w:val="24"/>
                <w:szCs w:val="24"/>
                <w:highlight w:val="none"/>
                <w:lang w:val="en-US" w:eastAsia="zh-CN"/>
              </w:rPr>
              <w:t>采购内容及技术</w:t>
            </w:r>
            <w:r>
              <w:rPr>
                <w:rFonts w:hint="eastAsia" w:ascii="宋体" w:hAnsi="宋体" w:eastAsia="宋体" w:cs="宋体"/>
                <w:sz w:val="24"/>
                <w:szCs w:val="24"/>
                <w:highlight w:val="none"/>
              </w:rPr>
              <w:t>要求规定，将不再进行评审</w:t>
            </w:r>
          </w:p>
        </w:tc>
      </w:tr>
      <w:tr w14:paraId="627A45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1" w:hRule="exact"/>
        </w:trPr>
        <w:tc>
          <w:tcPr>
            <w:tcW w:w="1342" w:type="dxa"/>
            <w:vMerge w:val="continue"/>
            <w:tcBorders>
              <w:top w:val="single" w:color="auto" w:sz="4" w:space="0"/>
              <w:left w:val="single" w:color="auto" w:sz="4" w:space="0"/>
              <w:bottom w:val="single" w:color="auto" w:sz="4" w:space="0"/>
              <w:right w:val="single" w:color="auto" w:sz="4" w:space="0"/>
            </w:tcBorders>
          </w:tcPr>
          <w:p w14:paraId="4F1BEB4F">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1050" w:type="dxa"/>
            <w:vMerge w:val="continue"/>
            <w:tcBorders>
              <w:top w:val="single" w:color="auto" w:sz="4" w:space="0"/>
              <w:left w:val="single" w:color="auto" w:sz="4" w:space="0"/>
              <w:bottom w:val="single" w:color="auto" w:sz="4" w:space="0"/>
              <w:right w:val="single" w:color="auto" w:sz="4" w:space="0"/>
            </w:tcBorders>
          </w:tcPr>
          <w:p w14:paraId="5773B239">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p>
        </w:tc>
        <w:tc>
          <w:tcPr>
            <w:tcW w:w="2566" w:type="dxa"/>
            <w:tcBorders>
              <w:top w:val="single" w:color="auto" w:sz="4" w:space="0"/>
              <w:left w:val="single" w:color="auto" w:sz="4" w:space="0"/>
              <w:bottom w:val="single" w:color="auto" w:sz="4" w:space="0"/>
              <w:right w:val="single" w:color="auto" w:sz="4" w:space="0"/>
            </w:tcBorders>
            <w:vAlign w:val="center"/>
          </w:tcPr>
          <w:p w14:paraId="0F424F86">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投标文件的其他响应</w:t>
            </w:r>
          </w:p>
        </w:tc>
        <w:tc>
          <w:tcPr>
            <w:tcW w:w="4994" w:type="dxa"/>
            <w:tcBorders>
              <w:top w:val="single" w:color="auto" w:sz="4" w:space="0"/>
              <w:left w:val="single" w:color="auto" w:sz="4" w:space="0"/>
              <w:bottom w:val="single" w:color="auto" w:sz="4" w:space="0"/>
              <w:right w:val="single" w:color="auto" w:sz="4" w:space="0"/>
            </w:tcBorders>
            <w:vAlign w:val="center"/>
          </w:tcPr>
          <w:p w14:paraId="7233D6EE">
            <w:pPr>
              <w:keepNext w:val="0"/>
              <w:keepLines w:val="0"/>
              <w:pageBreakBefore w:val="0"/>
              <w:widowControl/>
              <w:kinsoku w:val="0"/>
              <w:wordWrap/>
              <w:overflowPunct/>
              <w:topLinePunct w:val="0"/>
              <w:autoSpaceDE w:val="0"/>
              <w:autoSpaceDN w:val="0"/>
              <w:bidi w:val="0"/>
              <w:adjustRightInd w:val="0"/>
              <w:snapToGrid w:val="0"/>
              <w:spacing w:line="360" w:lineRule="exac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符合法律、法规和招标文件中规定的其他实质性要求的</w:t>
            </w:r>
          </w:p>
        </w:tc>
      </w:tr>
    </w:tbl>
    <w:tbl>
      <w:tblPr>
        <w:tblStyle w:val="19"/>
        <w:tblpPr w:leftFromText="180" w:rightFromText="180" w:vertAnchor="text" w:horzAnchor="page" w:tblpX="936" w:tblpYSpec="center"/>
        <w:tblOverlap w:val="never"/>
        <w:tblW w:w="10000"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87"/>
        <w:gridCol w:w="1575"/>
        <w:gridCol w:w="1595"/>
        <w:gridCol w:w="6143"/>
      </w:tblGrid>
      <w:tr w14:paraId="73AFFF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trPr>
        <w:tc>
          <w:tcPr>
            <w:tcW w:w="687" w:type="dxa"/>
          </w:tcPr>
          <w:p w14:paraId="0ABC0065">
            <w:pPr>
              <w:pStyle w:val="20"/>
              <w:spacing w:before="184" w:line="229" w:lineRule="auto"/>
              <w:ind w:left="142"/>
              <w:rPr>
                <w:color w:val="auto"/>
                <w:highlight w:val="none"/>
              </w:rPr>
            </w:pPr>
            <w:r>
              <w:rPr>
                <w:rFonts w:hint="eastAsia"/>
                <w:b/>
                <w:bCs/>
                <w:color w:val="auto"/>
                <w:spacing w:val="4"/>
                <w:highlight w:val="none"/>
              </w:rPr>
              <w:t>序号</w:t>
            </w:r>
          </w:p>
        </w:tc>
        <w:tc>
          <w:tcPr>
            <w:tcW w:w="1575" w:type="dxa"/>
          </w:tcPr>
          <w:p w14:paraId="31C4B639">
            <w:pPr>
              <w:pStyle w:val="20"/>
              <w:spacing w:before="184" w:line="228" w:lineRule="auto"/>
              <w:ind w:left="175"/>
              <w:jc w:val="center"/>
              <w:rPr>
                <w:color w:val="auto"/>
                <w:highlight w:val="none"/>
              </w:rPr>
            </w:pPr>
            <w:r>
              <w:rPr>
                <w:rFonts w:hint="eastAsia"/>
                <w:b/>
                <w:bCs/>
                <w:color w:val="auto"/>
                <w:spacing w:val="7"/>
                <w:highlight w:val="none"/>
              </w:rPr>
              <w:t>评分因素及权重</w:t>
            </w:r>
          </w:p>
        </w:tc>
        <w:tc>
          <w:tcPr>
            <w:tcW w:w="1595" w:type="dxa"/>
          </w:tcPr>
          <w:p w14:paraId="4B9DE103">
            <w:pPr>
              <w:pStyle w:val="20"/>
              <w:spacing w:before="184" w:line="228" w:lineRule="auto"/>
              <w:ind w:left="829"/>
              <w:rPr>
                <w:color w:val="auto"/>
                <w:highlight w:val="none"/>
              </w:rPr>
            </w:pPr>
            <w:r>
              <w:rPr>
                <w:rFonts w:hint="eastAsia"/>
                <w:b/>
                <w:bCs/>
                <w:color w:val="auto"/>
                <w:spacing w:val="2"/>
                <w:highlight w:val="none"/>
              </w:rPr>
              <w:t>分值</w:t>
            </w:r>
          </w:p>
        </w:tc>
        <w:tc>
          <w:tcPr>
            <w:tcW w:w="6143" w:type="dxa"/>
          </w:tcPr>
          <w:p w14:paraId="25895119">
            <w:pPr>
              <w:pStyle w:val="20"/>
              <w:spacing w:before="184" w:line="228" w:lineRule="auto"/>
              <w:ind w:left="2423"/>
              <w:rPr>
                <w:color w:val="auto"/>
                <w:highlight w:val="none"/>
              </w:rPr>
            </w:pPr>
            <w:r>
              <w:rPr>
                <w:rFonts w:hint="eastAsia"/>
                <w:b/>
                <w:bCs/>
                <w:color w:val="auto"/>
                <w:spacing w:val="6"/>
                <w:highlight w:val="none"/>
              </w:rPr>
              <w:t>评分标准</w:t>
            </w:r>
          </w:p>
        </w:tc>
      </w:tr>
      <w:tr w14:paraId="4B2315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trPr>
        <w:tc>
          <w:tcPr>
            <w:tcW w:w="687" w:type="dxa"/>
            <w:vAlign w:val="center"/>
          </w:tcPr>
          <w:p w14:paraId="2E3EC0C8">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rPr>
            </w:pPr>
          </w:p>
          <w:p w14:paraId="1F6E587E">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rPr>
            </w:pPr>
          </w:p>
          <w:p w14:paraId="0F913849">
            <w:pPr>
              <w:keepNext w:val="0"/>
              <w:keepLines w:val="0"/>
              <w:pageBreakBefore w:val="0"/>
              <w:widowControl/>
              <w:wordWrap/>
              <w:overflowPunct/>
              <w:topLinePunct w:val="0"/>
              <w:autoSpaceDE w:val="0"/>
              <w:autoSpaceDN w:val="0"/>
              <w:bidi w:val="0"/>
              <w:spacing w:line="400" w:lineRule="exact"/>
              <w:ind w:firstLine="240" w:firstLineChars="100"/>
              <w:jc w:val="both"/>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w:t>
            </w:r>
          </w:p>
          <w:p w14:paraId="603A37AC">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rPr>
            </w:pPr>
          </w:p>
          <w:p w14:paraId="5CFEDF50">
            <w:pPr>
              <w:pStyle w:val="20"/>
              <w:keepNext w:val="0"/>
              <w:keepLines w:val="0"/>
              <w:pageBreakBefore w:val="0"/>
              <w:widowControl/>
              <w:wordWrap/>
              <w:overflowPunct/>
              <w:topLinePunct w:val="0"/>
              <w:autoSpaceDE w:val="0"/>
              <w:autoSpaceDN w:val="0"/>
              <w:bidi w:val="0"/>
              <w:spacing w:before="78" w:line="400" w:lineRule="exact"/>
              <w:ind w:left="313" w:firstLine="480" w:firstLineChars="20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w:t>
            </w:r>
          </w:p>
        </w:tc>
        <w:tc>
          <w:tcPr>
            <w:tcW w:w="1575" w:type="dxa"/>
            <w:vAlign w:val="center"/>
          </w:tcPr>
          <w:p w14:paraId="72E6E82C">
            <w:pPr>
              <w:pStyle w:val="20"/>
              <w:keepNext w:val="0"/>
              <w:keepLines w:val="0"/>
              <w:pageBreakBefore w:val="0"/>
              <w:widowControl/>
              <w:wordWrap/>
              <w:overflowPunct/>
              <w:topLinePunct w:val="0"/>
              <w:autoSpaceDE w:val="0"/>
              <w:autoSpaceDN w:val="0"/>
              <w:bidi w:val="0"/>
              <w:spacing w:before="78" w:line="400" w:lineRule="exact"/>
              <w:ind w:right="339"/>
              <w:jc w:val="center"/>
              <w:rPr>
                <w:rFonts w:hint="eastAsia" w:ascii="宋体" w:hAnsi="宋体" w:eastAsia="宋体" w:cs="宋体"/>
                <w:color w:val="auto"/>
                <w:spacing w:val="-2"/>
                <w:sz w:val="24"/>
                <w:szCs w:val="24"/>
                <w:highlight w:val="none"/>
                <w:lang w:val="en-US"/>
              </w:rPr>
            </w:pPr>
            <w:r>
              <w:rPr>
                <w:rFonts w:hint="eastAsia" w:ascii="宋体" w:hAnsi="宋体" w:eastAsia="宋体" w:cs="宋体"/>
                <w:color w:val="auto"/>
                <w:spacing w:val="-2"/>
                <w:sz w:val="24"/>
                <w:szCs w:val="24"/>
                <w:highlight w:val="none"/>
              </w:rPr>
              <w:t>报价</w:t>
            </w:r>
            <w:r>
              <w:rPr>
                <w:rFonts w:hint="eastAsia" w:ascii="宋体" w:hAnsi="宋体" w:eastAsia="宋体" w:cs="宋体"/>
                <w:color w:val="auto"/>
                <w:spacing w:val="-2"/>
                <w:sz w:val="24"/>
                <w:szCs w:val="24"/>
                <w:highlight w:val="none"/>
                <w:lang w:val="en-US" w:eastAsia="zh-CN"/>
              </w:rPr>
              <w:t>部分</w:t>
            </w:r>
          </w:p>
          <w:p w14:paraId="20EC88A1">
            <w:pPr>
              <w:pStyle w:val="20"/>
              <w:keepNext w:val="0"/>
              <w:keepLines w:val="0"/>
              <w:pageBreakBefore w:val="0"/>
              <w:widowControl/>
              <w:wordWrap/>
              <w:overflowPunct/>
              <w:topLinePunct w:val="0"/>
              <w:autoSpaceDE w:val="0"/>
              <w:autoSpaceDN w:val="0"/>
              <w:bidi w:val="0"/>
              <w:spacing w:before="78" w:line="400" w:lineRule="exact"/>
              <w:ind w:right="339"/>
              <w:jc w:val="center"/>
              <w:rPr>
                <w:rFonts w:hint="eastAsia" w:ascii="宋体" w:hAnsi="宋体" w:eastAsia="宋体" w:cs="宋体"/>
                <w:color w:val="auto"/>
                <w:sz w:val="24"/>
                <w:szCs w:val="24"/>
                <w:highlight w:val="none"/>
              </w:rPr>
            </w:pPr>
            <w:r>
              <w:rPr>
                <w:rFonts w:hint="eastAsia" w:ascii="宋体" w:hAnsi="宋体" w:eastAsia="宋体" w:cs="宋体"/>
                <w:color w:val="auto"/>
                <w:spacing w:val="-11"/>
                <w:sz w:val="24"/>
                <w:szCs w:val="24"/>
                <w:highlight w:val="none"/>
              </w:rPr>
              <w:t>（3</w:t>
            </w:r>
            <w:r>
              <w:rPr>
                <w:rFonts w:hint="eastAsia" w:ascii="宋体" w:hAnsi="宋体" w:eastAsia="宋体" w:cs="宋体"/>
                <w:color w:val="auto"/>
                <w:spacing w:val="-11"/>
                <w:sz w:val="24"/>
                <w:szCs w:val="24"/>
                <w:highlight w:val="none"/>
                <w:lang w:eastAsia="zh-CN"/>
              </w:rPr>
              <w:t>0分</w:t>
            </w:r>
            <w:r>
              <w:rPr>
                <w:rFonts w:hint="eastAsia" w:ascii="宋体" w:hAnsi="宋体" w:eastAsia="宋体" w:cs="宋体"/>
                <w:color w:val="auto"/>
                <w:spacing w:val="-11"/>
                <w:sz w:val="24"/>
                <w:szCs w:val="24"/>
                <w:highlight w:val="none"/>
              </w:rPr>
              <w:t>）</w:t>
            </w:r>
          </w:p>
        </w:tc>
        <w:tc>
          <w:tcPr>
            <w:tcW w:w="1595" w:type="dxa"/>
            <w:vAlign w:val="center"/>
          </w:tcPr>
          <w:p w14:paraId="0D97DCA6">
            <w:pPr>
              <w:pStyle w:val="20"/>
              <w:keepNext w:val="0"/>
              <w:keepLines w:val="0"/>
              <w:pageBreakBefore w:val="0"/>
              <w:widowControl/>
              <w:kinsoku w:val="0"/>
              <w:wordWrap/>
              <w:overflowPunct/>
              <w:topLinePunct w:val="0"/>
              <w:autoSpaceDE w:val="0"/>
              <w:autoSpaceDN w:val="0"/>
              <w:bidi w:val="0"/>
              <w:adjustRightInd/>
              <w:snapToGrid/>
              <w:spacing w:line="400" w:lineRule="exact"/>
              <w:ind w:left="0" w:right="0" w:firstLine="464" w:firstLineChars="200"/>
              <w:jc w:val="both"/>
              <w:textAlignment w:val="baseline"/>
              <w:rPr>
                <w:rFonts w:hint="eastAsia" w:ascii="宋体" w:hAnsi="宋体" w:eastAsia="宋体" w:cs="宋体"/>
                <w:color w:val="auto"/>
                <w:spacing w:val="-4"/>
                <w:sz w:val="24"/>
                <w:szCs w:val="24"/>
                <w:highlight w:val="none"/>
              </w:rPr>
            </w:pPr>
            <w:r>
              <w:rPr>
                <w:rFonts w:hint="eastAsia" w:ascii="宋体" w:hAnsi="宋体" w:eastAsia="宋体" w:cs="宋体"/>
                <w:color w:val="auto"/>
                <w:spacing w:val="-4"/>
                <w:sz w:val="24"/>
                <w:szCs w:val="24"/>
                <w:highlight w:val="none"/>
              </w:rPr>
              <w:t>投标报价</w:t>
            </w:r>
          </w:p>
          <w:p w14:paraId="595DE26F">
            <w:pPr>
              <w:pStyle w:val="20"/>
              <w:keepNext w:val="0"/>
              <w:keepLines w:val="0"/>
              <w:pageBreakBefore w:val="0"/>
              <w:widowControl/>
              <w:kinsoku w:val="0"/>
              <w:wordWrap/>
              <w:overflowPunct/>
              <w:topLinePunct w:val="0"/>
              <w:autoSpaceDE w:val="0"/>
              <w:autoSpaceDN w:val="0"/>
              <w:bidi w:val="0"/>
              <w:adjustRightInd/>
              <w:snapToGrid/>
              <w:spacing w:line="400" w:lineRule="exact"/>
              <w:ind w:left="0" w:right="0" w:firstLine="436" w:firstLineChars="200"/>
              <w:jc w:val="both"/>
              <w:textAlignment w:val="baseline"/>
              <w:rPr>
                <w:rFonts w:hint="eastAsia" w:ascii="宋体" w:hAnsi="宋体" w:eastAsia="宋体" w:cs="宋体"/>
                <w:color w:val="auto"/>
                <w:sz w:val="24"/>
                <w:szCs w:val="24"/>
                <w:highlight w:val="none"/>
              </w:rPr>
            </w:pPr>
            <w:r>
              <w:rPr>
                <w:rFonts w:hint="eastAsia" w:ascii="宋体" w:hAnsi="宋体" w:eastAsia="宋体" w:cs="宋体"/>
                <w:color w:val="auto"/>
                <w:spacing w:val="-11"/>
                <w:sz w:val="24"/>
                <w:szCs w:val="24"/>
                <w:highlight w:val="none"/>
              </w:rPr>
              <w:t>（30</w:t>
            </w:r>
            <w:r>
              <w:rPr>
                <w:rFonts w:hint="eastAsia" w:ascii="宋体" w:hAnsi="宋体" w:eastAsia="宋体" w:cs="宋体"/>
                <w:color w:val="auto"/>
                <w:spacing w:val="-48"/>
                <w:sz w:val="24"/>
                <w:szCs w:val="24"/>
                <w:highlight w:val="none"/>
              </w:rPr>
              <w:t xml:space="preserve"> </w:t>
            </w:r>
            <w:r>
              <w:rPr>
                <w:rFonts w:hint="eastAsia" w:ascii="宋体" w:hAnsi="宋体" w:eastAsia="宋体" w:cs="宋体"/>
                <w:color w:val="auto"/>
                <w:spacing w:val="-48"/>
                <w:sz w:val="24"/>
                <w:szCs w:val="24"/>
                <w:highlight w:val="none"/>
                <w:lang w:eastAsia="zh-CN"/>
              </w:rPr>
              <w:t>分</w:t>
            </w:r>
            <w:r>
              <w:rPr>
                <w:rFonts w:hint="eastAsia" w:ascii="宋体" w:hAnsi="宋体" w:eastAsia="宋体" w:cs="宋体"/>
                <w:color w:val="auto"/>
                <w:spacing w:val="-11"/>
                <w:sz w:val="24"/>
                <w:szCs w:val="24"/>
                <w:highlight w:val="none"/>
              </w:rPr>
              <w:t>）</w:t>
            </w:r>
          </w:p>
        </w:tc>
        <w:tc>
          <w:tcPr>
            <w:tcW w:w="6143" w:type="dxa"/>
          </w:tcPr>
          <w:p w14:paraId="45917718">
            <w:pPr>
              <w:pStyle w:val="20"/>
              <w:keepNext w:val="0"/>
              <w:keepLines w:val="0"/>
              <w:pageBreakBefore w:val="0"/>
              <w:widowControl/>
              <w:wordWrap/>
              <w:overflowPunct/>
              <w:topLinePunct w:val="0"/>
              <w:autoSpaceDE w:val="0"/>
              <w:autoSpaceDN w:val="0"/>
              <w:bidi w:val="0"/>
              <w:spacing w:before="193" w:line="400" w:lineRule="exact"/>
              <w:ind w:left="85" w:firstLine="464" w:firstLineChars="200"/>
              <w:jc w:val="both"/>
              <w:rPr>
                <w:rFonts w:hint="eastAsia" w:ascii="宋体" w:hAnsi="宋体" w:eastAsia="宋体" w:cs="宋体"/>
                <w:color w:val="auto"/>
                <w:spacing w:val="-4"/>
                <w:sz w:val="24"/>
                <w:szCs w:val="24"/>
                <w:highlight w:val="none"/>
                <w:lang w:eastAsia="zh-CN"/>
              </w:rPr>
            </w:pPr>
            <w:r>
              <w:rPr>
                <w:rFonts w:hint="eastAsia" w:ascii="宋体" w:hAnsi="宋体" w:eastAsia="宋体" w:cs="宋体"/>
                <w:color w:val="auto"/>
                <w:spacing w:val="-4"/>
                <w:sz w:val="24"/>
                <w:szCs w:val="24"/>
                <w:highlight w:val="none"/>
                <w:lang w:eastAsia="zh-CN"/>
              </w:rPr>
              <w:t>投标报价分统一采用低价优先法计算，即满足招标文件要求且投标价格最低的投标报价为评标基准价，其价格分为满分。其他</w:t>
            </w:r>
            <w:r>
              <w:rPr>
                <w:rFonts w:hint="eastAsia" w:cs="宋体"/>
                <w:color w:val="auto"/>
                <w:spacing w:val="-4"/>
                <w:sz w:val="24"/>
                <w:szCs w:val="24"/>
                <w:highlight w:val="none"/>
                <w:lang w:eastAsia="zh-CN"/>
              </w:rPr>
              <w:t>投标人</w:t>
            </w:r>
            <w:r>
              <w:rPr>
                <w:rFonts w:hint="eastAsia" w:ascii="宋体" w:hAnsi="宋体" w:eastAsia="宋体" w:cs="宋体"/>
                <w:color w:val="auto"/>
                <w:spacing w:val="-4"/>
                <w:sz w:val="24"/>
                <w:szCs w:val="24"/>
                <w:highlight w:val="none"/>
                <w:lang w:eastAsia="zh-CN"/>
              </w:rPr>
              <w:t>的价格分统一按照下列公式计算：投标报价得分=（评标基准价/投标报价）× 30 计算过程按四舍五入，保留两位小数。</w:t>
            </w:r>
          </w:p>
        </w:tc>
      </w:tr>
      <w:tr w14:paraId="3653DE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trPr>
        <w:tc>
          <w:tcPr>
            <w:tcW w:w="687" w:type="dxa"/>
            <w:vMerge w:val="restart"/>
            <w:vAlign w:val="center"/>
          </w:tcPr>
          <w:p w14:paraId="5D8109B2">
            <w:pPr>
              <w:pStyle w:val="20"/>
              <w:keepNext w:val="0"/>
              <w:keepLines w:val="0"/>
              <w:pageBreakBefore w:val="0"/>
              <w:widowControl/>
              <w:wordWrap/>
              <w:overflowPunct/>
              <w:topLinePunct w:val="0"/>
              <w:autoSpaceDE w:val="0"/>
              <w:autoSpaceDN w:val="0"/>
              <w:bidi w:val="0"/>
              <w:spacing w:before="78" w:line="400" w:lineRule="exact"/>
              <w:ind w:firstLine="240" w:firstLineChars="100"/>
              <w:jc w:val="both"/>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w:t>
            </w:r>
          </w:p>
          <w:p w14:paraId="5EA2801C">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val="en-US" w:eastAsia="zh-CN"/>
              </w:rPr>
            </w:pPr>
          </w:p>
          <w:p w14:paraId="75905BDA">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val="en-US" w:eastAsia="zh-CN"/>
              </w:rPr>
            </w:pPr>
          </w:p>
          <w:p w14:paraId="48939613">
            <w:pPr>
              <w:keepNext w:val="0"/>
              <w:keepLines w:val="0"/>
              <w:pageBreakBefore w:val="0"/>
              <w:widowControl/>
              <w:wordWrap/>
              <w:overflowPunct/>
              <w:topLinePunct w:val="0"/>
              <w:autoSpaceDE w:val="0"/>
              <w:autoSpaceDN w:val="0"/>
              <w:bidi w:val="0"/>
              <w:spacing w:line="400" w:lineRule="exact"/>
              <w:ind w:firstLine="240" w:firstLineChars="100"/>
              <w:jc w:val="both"/>
              <w:rPr>
                <w:rFonts w:hint="eastAsia" w:ascii="宋体" w:hAnsi="宋体" w:eastAsia="宋体" w:cs="宋体"/>
                <w:color w:val="auto"/>
                <w:sz w:val="24"/>
                <w:szCs w:val="24"/>
                <w:highlight w:val="none"/>
                <w:lang w:val="en-US" w:eastAsia="zh-CN"/>
              </w:rPr>
            </w:pPr>
          </w:p>
        </w:tc>
        <w:tc>
          <w:tcPr>
            <w:tcW w:w="1575" w:type="dxa"/>
            <w:vMerge w:val="restart"/>
            <w:vAlign w:val="center"/>
          </w:tcPr>
          <w:p w14:paraId="349A3C31">
            <w:pPr>
              <w:pStyle w:val="20"/>
              <w:keepNext w:val="0"/>
              <w:keepLines w:val="0"/>
              <w:pageBreakBefore w:val="0"/>
              <w:widowControl/>
              <w:wordWrap/>
              <w:overflowPunct/>
              <w:topLinePunct w:val="0"/>
              <w:autoSpaceDE w:val="0"/>
              <w:autoSpaceDN w:val="0"/>
              <w:bidi w:val="0"/>
              <w:spacing w:before="78" w:line="400" w:lineRule="exact"/>
              <w:ind w:right="339"/>
              <w:jc w:val="center"/>
              <w:rPr>
                <w:rFonts w:hint="eastAsia" w:cs="宋体"/>
                <w:color w:val="auto"/>
                <w:spacing w:val="-11"/>
                <w:sz w:val="24"/>
                <w:szCs w:val="24"/>
                <w:highlight w:val="none"/>
                <w:lang w:val="en-US" w:eastAsia="zh-CN"/>
              </w:rPr>
            </w:pPr>
            <w:r>
              <w:rPr>
                <w:rFonts w:hint="eastAsia" w:cs="宋体"/>
                <w:color w:val="auto"/>
                <w:spacing w:val="-11"/>
                <w:sz w:val="24"/>
                <w:szCs w:val="24"/>
                <w:highlight w:val="none"/>
                <w:lang w:val="en-US" w:eastAsia="zh-CN"/>
              </w:rPr>
              <w:t>技术部分</w:t>
            </w:r>
          </w:p>
          <w:p w14:paraId="731D89B7">
            <w:pPr>
              <w:pStyle w:val="20"/>
              <w:keepNext w:val="0"/>
              <w:keepLines w:val="0"/>
              <w:pageBreakBefore w:val="0"/>
              <w:widowControl/>
              <w:wordWrap/>
              <w:overflowPunct/>
              <w:topLinePunct w:val="0"/>
              <w:autoSpaceDE w:val="0"/>
              <w:autoSpaceDN w:val="0"/>
              <w:bidi w:val="0"/>
              <w:spacing w:before="78" w:line="400" w:lineRule="exact"/>
              <w:ind w:right="339"/>
              <w:jc w:val="center"/>
              <w:rPr>
                <w:rFonts w:hint="eastAsia" w:cs="宋体"/>
                <w:color w:val="auto"/>
                <w:spacing w:val="-11"/>
                <w:sz w:val="24"/>
                <w:szCs w:val="24"/>
                <w:highlight w:val="none"/>
                <w:lang w:val="en-US" w:eastAsia="zh-CN"/>
              </w:rPr>
            </w:pPr>
            <w:r>
              <w:rPr>
                <w:rFonts w:hint="eastAsia" w:cs="宋体"/>
                <w:color w:val="auto"/>
                <w:spacing w:val="-11"/>
                <w:sz w:val="24"/>
                <w:szCs w:val="24"/>
                <w:highlight w:val="none"/>
                <w:lang w:val="en-US" w:eastAsia="zh-CN"/>
              </w:rPr>
              <w:t>（50分）</w:t>
            </w:r>
          </w:p>
          <w:p w14:paraId="254FFC5B">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p w14:paraId="0323472A">
            <w:pPr>
              <w:keepNext w:val="0"/>
              <w:keepLines w:val="0"/>
              <w:pageBreakBefore w:val="0"/>
              <w:widowControl/>
              <w:wordWrap/>
              <w:overflowPunct/>
              <w:topLinePunct w:val="0"/>
              <w:autoSpaceDE w:val="0"/>
              <w:autoSpaceDN w:val="0"/>
              <w:bidi w:val="0"/>
              <w:spacing w:line="400" w:lineRule="exact"/>
              <w:ind w:firstLine="240" w:firstLineChars="100"/>
              <w:jc w:val="both"/>
              <w:rPr>
                <w:rFonts w:hint="eastAsia" w:ascii="宋体" w:hAnsi="宋体" w:eastAsia="宋体" w:cs="宋体"/>
                <w:color w:val="auto"/>
                <w:sz w:val="24"/>
                <w:szCs w:val="24"/>
                <w:highlight w:val="none"/>
                <w:lang w:eastAsia="zh-CN"/>
              </w:rPr>
            </w:pPr>
          </w:p>
        </w:tc>
        <w:tc>
          <w:tcPr>
            <w:tcW w:w="1595" w:type="dxa"/>
            <w:vAlign w:val="center"/>
          </w:tcPr>
          <w:p w14:paraId="1B700341">
            <w:pPr>
              <w:pStyle w:val="20"/>
              <w:keepNext w:val="0"/>
              <w:keepLines w:val="0"/>
              <w:pageBreakBefore w:val="0"/>
              <w:widowControl/>
              <w:kinsoku w:val="0"/>
              <w:wordWrap/>
              <w:overflowPunct/>
              <w:topLinePunct w:val="0"/>
              <w:autoSpaceDE w:val="0"/>
              <w:autoSpaceDN w:val="0"/>
              <w:bidi w:val="0"/>
              <w:adjustRightInd/>
              <w:snapToGrid/>
              <w:spacing w:line="400" w:lineRule="exact"/>
              <w:ind w:right="0"/>
              <w:jc w:val="center"/>
              <w:textAlignment w:val="baseline"/>
              <w:rPr>
                <w:rFonts w:hint="eastAsia" w:cs="宋体"/>
                <w:color w:val="auto"/>
                <w:spacing w:val="-11"/>
                <w:sz w:val="24"/>
                <w:szCs w:val="24"/>
                <w:highlight w:val="none"/>
                <w:lang w:val="en-US" w:eastAsia="zh-CN"/>
              </w:rPr>
            </w:pPr>
            <w:r>
              <w:rPr>
                <w:rFonts w:hint="eastAsia" w:ascii="宋体" w:hAnsi="宋体" w:eastAsia="宋体" w:cs="宋体"/>
                <w:color w:val="auto"/>
                <w:spacing w:val="-11"/>
                <w:sz w:val="24"/>
                <w:szCs w:val="24"/>
                <w:highlight w:val="none"/>
                <w:lang w:eastAsia="zh-CN"/>
              </w:rPr>
              <w:t>技术</w:t>
            </w:r>
            <w:r>
              <w:rPr>
                <w:rFonts w:hint="eastAsia" w:cs="宋体"/>
                <w:color w:val="auto"/>
                <w:spacing w:val="-11"/>
                <w:sz w:val="24"/>
                <w:szCs w:val="24"/>
                <w:highlight w:val="none"/>
                <w:lang w:val="en-US" w:eastAsia="zh-CN"/>
              </w:rPr>
              <w:t>参数</w:t>
            </w:r>
          </w:p>
          <w:p w14:paraId="5EB813E4">
            <w:pPr>
              <w:pStyle w:val="20"/>
              <w:keepNext w:val="0"/>
              <w:keepLines w:val="0"/>
              <w:pageBreakBefore w:val="0"/>
              <w:widowControl/>
              <w:kinsoku w:val="0"/>
              <w:wordWrap/>
              <w:overflowPunct/>
              <w:topLinePunct w:val="0"/>
              <w:autoSpaceDE w:val="0"/>
              <w:autoSpaceDN w:val="0"/>
              <w:bidi w:val="0"/>
              <w:adjustRightInd/>
              <w:snapToGrid/>
              <w:spacing w:line="400" w:lineRule="exact"/>
              <w:ind w:right="0"/>
              <w:jc w:val="center"/>
              <w:textAlignment w:val="baseline"/>
              <w:rPr>
                <w:rFonts w:hint="eastAsia" w:ascii="宋体" w:hAnsi="宋体" w:eastAsia="宋体" w:cs="宋体"/>
                <w:color w:val="auto"/>
                <w:spacing w:val="-11"/>
                <w:sz w:val="24"/>
                <w:szCs w:val="24"/>
                <w:highlight w:val="none"/>
              </w:rPr>
            </w:pPr>
            <w:r>
              <w:rPr>
                <w:rFonts w:hint="eastAsia" w:ascii="宋体" w:hAnsi="宋体" w:eastAsia="宋体" w:cs="宋体"/>
                <w:color w:val="auto"/>
                <w:spacing w:val="-11"/>
                <w:sz w:val="24"/>
                <w:szCs w:val="24"/>
                <w:highlight w:val="none"/>
                <w:lang w:eastAsia="zh-CN"/>
              </w:rPr>
              <w:t>（</w:t>
            </w:r>
            <w:r>
              <w:rPr>
                <w:rFonts w:hint="eastAsia" w:cs="宋体"/>
                <w:color w:val="auto"/>
                <w:spacing w:val="-11"/>
                <w:sz w:val="24"/>
                <w:szCs w:val="24"/>
                <w:highlight w:val="none"/>
                <w:lang w:val="en-US" w:eastAsia="zh-CN"/>
              </w:rPr>
              <w:t>30</w:t>
            </w:r>
            <w:r>
              <w:rPr>
                <w:rFonts w:hint="eastAsia" w:ascii="宋体" w:hAnsi="宋体" w:eastAsia="宋体" w:cs="宋体"/>
                <w:color w:val="auto"/>
                <w:spacing w:val="-11"/>
                <w:sz w:val="24"/>
                <w:szCs w:val="24"/>
                <w:highlight w:val="none"/>
                <w:lang w:eastAsia="zh-CN"/>
              </w:rPr>
              <w:t>分）</w:t>
            </w:r>
          </w:p>
        </w:tc>
        <w:tc>
          <w:tcPr>
            <w:tcW w:w="6143" w:type="dxa"/>
          </w:tcPr>
          <w:p w14:paraId="0E82A24D">
            <w:pPr>
              <w:pStyle w:val="20"/>
              <w:keepNext w:val="0"/>
              <w:keepLines w:val="0"/>
              <w:pageBreakBefore w:val="0"/>
              <w:widowControl/>
              <w:wordWrap/>
              <w:overflowPunct/>
              <w:topLinePunct w:val="0"/>
              <w:autoSpaceDE w:val="0"/>
              <w:autoSpaceDN w:val="0"/>
              <w:bidi w:val="0"/>
              <w:spacing w:before="193" w:line="400" w:lineRule="exact"/>
              <w:ind w:left="85" w:firstLine="480" w:firstLineChars="200"/>
              <w:jc w:val="both"/>
              <w:rPr>
                <w:rFonts w:hint="eastAsia" w:ascii="宋体" w:hAnsi="宋体" w:eastAsia="宋体" w:cs="宋体"/>
                <w:color w:val="auto"/>
                <w:spacing w:val="-4"/>
                <w:sz w:val="24"/>
                <w:szCs w:val="24"/>
                <w:highlight w:val="none"/>
                <w:lang w:eastAsia="zh-CN"/>
              </w:rPr>
            </w:pPr>
            <w:r>
              <w:rPr>
                <w:rFonts w:hint="eastAsia" w:ascii="宋体" w:hAnsi="宋体" w:cs="宋体"/>
                <w:szCs w:val="21"/>
                <w:highlight w:val="none"/>
              </w:rPr>
              <w:t>投标产品参数必须完全满足招标文件参数，完全满足的得</w:t>
            </w:r>
            <w:r>
              <w:rPr>
                <w:rFonts w:hint="eastAsia" w:cs="宋体"/>
                <w:szCs w:val="21"/>
                <w:highlight w:val="none"/>
                <w:lang w:val="en-US" w:eastAsia="zh-CN"/>
              </w:rPr>
              <w:t>30</w:t>
            </w:r>
            <w:r>
              <w:rPr>
                <w:rFonts w:hint="eastAsia" w:ascii="宋体" w:hAnsi="宋体" w:cs="宋体"/>
                <w:szCs w:val="21"/>
                <w:highlight w:val="none"/>
              </w:rPr>
              <w:t>分。</w:t>
            </w:r>
          </w:p>
        </w:tc>
      </w:tr>
      <w:tr w14:paraId="367158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25" w:hRule="atLeast"/>
        </w:trPr>
        <w:tc>
          <w:tcPr>
            <w:tcW w:w="687" w:type="dxa"/>
            <w:vMerge w:val="continue"/>
            <w:vAlign w:val="center"/>
          </w:tcPr>
          <w:p w14:paraId="1512E01A">
            <w:pPr>
              <w:keepNext w:val="0"/>
              <w:keepLines w:val="0"/>
              <w:pageBreakBefore w:val="0"/>
              <w:widowControl/>
              <w:wordWrap/>
              <w:overflowPunct/>
              <w:topLinePunct w:val="0"/>
              <w:autoSpaceDE w:val="0"/>
              <w:autoSpaceDN w:val="0"/>
              <w:bidi w:val="0"/>
              <w:spacing w:line="400" w:lineRule="exact"/>
              <w:ind w:firstLine="240" w:firstLineChars="100"/>
              <w:jc w:val="both"/>
              <w:rPr>
                <w:rFonts w:hint="eastAsia" w:ascii="宋体" w:hAnsi="宋体" w:eastAsia="宋体" w:cs="宋体"/>
                <w:color w:val="auto"/>
                <w:sz w:val="24"/>
                <w:szCs w:val="24"/>
                <w:highlight w:val="none"/>
                <w:lang w:val="en-US" w:eastAsia="zh-CN"/>
              </w:rPr>
            </w:pPr>
          </w:p>
        </w:tc>
        <w:tc>
          <w:tcPr>
            <w:tcW w:w="1575" w:type="dxa"/>
            <w:vMerge w:val="continue"/>
            <w:vAlign w:val="center"/>
          </w:tcPr>
          <w:p w14:paraId="5C7F4CE5">
            <w:pPr>
              <w:keepNext w:val="0"/>
              <w:keepLines w:val="0"/>
              <w:pageBreakBefore w:val="0"/>
              <w:widowControl/>
              <w:wordWrap/>
              <w:overflowPunct/>
              <w:topLinePunct w:val="0"/>
              <w:autoSpaceDE w:val="0"/>
              <w:autoSpaceDN w:val="0"/>
              <w:bidi w:val="0"/>
              <w:spacing w:line="400" w:lineRule="exact"/>
              <w:ind w:firstLine="240" w:firstLineChars="100"/>
              <w:jc w:val="both"/>
              <w:rPr>
                <w:rFonts w:hint="eastAsia" w:ascii="宋体" w:hAnsi="宋体" w:eastAsia="宋体" w:cs="宋体"/>
                <w:color w:val="auto"/>
                <w:sz w:val="24"/>
                <w:szCs w:val="24"/>
                <w:highlight w:val="none"/>
                <w:lang w:eastAsia="zh-CN"/>
              </w:rPr>
            </w:pPr>
          </w:p>
        </w:tc>
        <w:tc>
          <w:tcPr>
            <w:tcW w:w="1595" w:type="dxa"/>
            <w:vAlign w:val="center"/>
          </w:tcPr>
          <w:p w14:paraId="3D39E364">
            <w:pPr>
              <w:pStyle w:val="20"/>
              <w:keepNext w:val="0"/>
              <w:keepLines w:val="0"/>
              <w:pageBreakBefore w:val="0"/>
              <w:widowControl/>
              <w:wordWrap/>
              <w:overflowPunct/>
              <w:topLinePunct w:val="0"/>
              <w:autoSpaceDE w:val="0"/>
              <w:autoSpaceDN w:val="0"/>
              <w:bidi w:val="0"/>
              <w:spacing w:before="78" w:line="400" w:lineRule="exact"/>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项目实施方案</w:t>
            </w:r>
          </w:p>
          <w:p w14:paraId="1ED430BD">
            <w:pPr>
              <w:pStyle w:val="20"/>
              <w:keepNext w:val="0"/>
              <w:keepLines w:val="0"/>
              <w:pageBreakBefore w:val="0"/>
              <w:widowControl/>
              <w:wordWrap/>
              <w:overflowPunct/>
              <w:topLinePunct w:val="0"/>
              <w:autoSpaceDE w:val="0"/>
              <w:autoSpaceDN w:val="0"/>
              <w:bidi w:val="0"/>
              <w:spacing w:before="78" w:line="400" w:lineRule="exact"/>
              <w:ind w:firstLine="480" w:firstLineChars="20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w:t>
            </w:r>
            <w:r>
              <w:rPr>
                <w:rFonts w:hint="eastAsia" w:cs="宋体"/>
                <w:color w:val="auto"/>
                <w:sz w:val="24"/>
                <w:szCs w:val="24"/>
                <w:highlight w:val="none"/>
                <w:lang w:val="en-US" w:eastAsia="zh-CN"/>
              </w:rPr>
              <w:t>5</w:t>
            </w:r>
            <w:r>
              <w:rPr>
                <w:rFonts w:hint="eastAsia" w:ascii="宋体" w:hAnsi="宋体" w:eastAsia="宋体" w:cs="宋体"/>
                <w:color w:val="auto"/>
                <w:sz w:val="24"/>
                <w:szCs w:val="24"/>
                <w:highlight w:val="none"/>
                <w:lang w:val="en-US" w:eastAsia="zh-CN"/>
              </w:rPr>
              <w:t>分）</w:t>
            </w:r>
          </w:p>
        </w:tc>
        <w:tc>
          <w:tcPr>
            <w:tcW w:w="6143" w:type="dxa"/>
            <w:vAlign w:val="center"/>
          </w:tcPr>
          <w:p w14:paraId="5EFB4B66">
            <w:pPr>
              <w:keepNext w:val="0"/>
              <w:keepLines w:val="0"/>
              <w:pageBreakBefore w:val="0"/>
              <w:widowControl/>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default"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投标人针对本项目</w:t>
            </w:r>
            <w:r>
              <w:rPr>
                <w:rFonts w:hint="eastAsia" w:ascii="宋体" w:hAnsi="宋体" w:eastAsia="宋体" w:cs="宋体"/>
                <w:color w:val="auto"/>
                <w:spacing w:val="-4"/>
                <w:sz w:val="24"/>
                <w:szCs w:val="24"/>
                <w:highlight w:val="none"/>
                <w:lang w:eastAsia="zh-CN"/>
              </w:rPr>
              <w:t>提供详细的实施</w:t>
            </w:r>
            <w:r>
              <w:rPr>
                <w:rFonts w:hint="eastAsia" w:ascii="宋体" w:hAnsi="宋体" w:eastAsia="宋体" w:cs="宋体"/>
                <w:color w:val="auto"/>
                <w:spacing w:val="-4"/>
                <w:sz w:val="24"/>
                <w:szCs w:val="24"/>
                <w:highlight w:val="none"/>
                <w:lang w:val="en-US" w:eastAsia="zh-CN"/>
              </w:rPr>
              <w:t>方案，包括但不限于项目实施进度</w:t>
            </w:r>
            <w:r>
              <w:rPr>
                <w:rFonts w:hint="eastAsia" w:ascii="宋体" w:hAnsi="宋体" w:eastAsia="宋体" w:cs="宋体"/>
                <w:color w:val="auto"/>
                <w:spacing w:val="-4"/>
                <w:sz w:val="24"/>
                <w:szCs w:val="24"/>
                <w:highlight w:val="none"/>
                <w:lang w:eastAsia="zh-CN"/>
              </w:rPr>
              <w:t>、项目人员</w:t>
            </w:r>
            <w:r>
              <w:rPr>
                <w:rFonts w:hint="eastAsia" w:ascii="宋体" w:hAnsi="宋体" w:eastAsia="宋体" w:cs="宋体"/>
                <w:color w:val="auto"/>
                <w:spacing w:val="-4"/>
                <w:sz w:val="24"/>
                <w:szCs w:val="24"/>
                <w:highlight w:val="none"/>
                <w:lang w:val="en-US" w:eastAsia="zh-CN"/>
              </w:rPr>
              <w:t>安排</w:t>
            </w:r>
            <w:r>
              <w:rPr>
                <w:rFonts w:hint="eastAsia" w:ascii="宋体" w:hAnsi="宋体" w:eastAsia="宋体" w:cs="宋体"/>
                <w:color w:val="auto"/>
                <w:spacing w:val="-4"/>
                <w:sz w:val="24"/>
                <w:szCs w:val="24"/>
                <w:highlight w:val="none"/>
                <w:lang w:eastAsia="zh-CN"/>
              </w:rPr>
              <w:t>、 应急响应、巡检方案</w:t>
            </w:r>
            <w:r>
              <w:rPr>
                <w:rFonts w:hint="eastAsia" w:ascii="宋体" w:hAnsi="宋体" w:eastAsia="宋体" w:cs="宋体"/>
                <w:color w:val="auto"/>
                <w:spacing w:val="-4"/>
                <w:sz w:val="24"/>
                <w:szCs w:val="24"/>
                <w:highlight w:val="none"/>
                <w:lang w:val="en-US" w:eastAsia="zh-CN"/>
              </w:rPr>
              <w:t>等。</w:t>
            </w:r>
          </w:p>
          <w:p w14:paraId="0190A9BD">
            <w:pPr>
              <w:keepNext w:val="0"/>
              <w:keepLines w:val="0"/>
              <w:pageBreakBefore w:val="0"/>
              <w:widowControl/>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1.能够完全满足需求，并且方案详尽，得5分；</w:t>
            </w:r>
          </w:p>
          <w:p w14:paraId="3EA95BBC">
            <w:pPr>
              <w:keepNext w:val="0"/>
              <w:keepLines w:val="0"/>
              <w:pageBreakBefore w:val="0"/>
              <w:widowControl/>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2.基本满足需求，方案基本详尽，得3分；</w:t>
            </w:r>
          </w:p>
          <w:p w14:paraId="165987E4">
            <w:pPr>
              <w:keepNext w:val="0"/>
              <w:keepLines w:val="0"/>
              <w:pageBreakBefore w:val="0"/>
              <w:widowControl/>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3.不满足需求，方案不够详尽，得1分；</w:t>
            </w:r>
          </w:p>
          <w:p w14:paraId="430F6009">
            <w:pPr>
              <w:keepNext w:val="0"/>
              <w:keepLines w:val="0"/>
              <w:pageBreakBefore w:val="0"/>
              <w:widowControl/>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eastAsia="zh-CN"/>
              </w:rPr>
            </w:pPr>
            <w:r>
              <w:rPr>
                <w:rFonts w:hint="eastAsia" w:ascii="宋体" w:hAnsi="宋体" w:eastAsia="宋体" w:cs="宋体"/>
                <w:color w:val="auto"/>
                <w:spacing w:val="-4"/>
                <w:sz w:val="24"/>
                <w:szCs w:val="24"/>
                <w:highlight w:val="none"/>
                <w:lang w:val="en-US" w:eastAsia="zh-CN"/>
              </w:rPr>
              <w:t>4.未提供的不得分。</w:t>
            </w:r>
          </w:p>
        </w:tc>
      </w:tr>
      <w:tr w14:paraId="05F73E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 w:hRule="atLeast"/>
        </w:trPr>
        <w:tc>
          <w:tcPr>
            <w:tcW w:w="687" w:type="dxa"/>
            <w:vMerge w:val="continue"/>
            <w:vAlign w:val="center"/>
          </w:tcPr>
          <w:p w14:paraId="5BC7C0B5">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tc>
        <w:tc>
          <w:tcPr>
            <w:tcW w:w="1575" w:type="dxa"/>
            <w:vMerge w:val="continue"/>
            <w:vAlign w:val="center"/>
          </w:tcPr>
          <w:p w14:paraId="1BC6F724">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tc>
        <w:tc>
          <w:tcPr>
            <w:tcW w:w="1595" w:type="dxa"/>
            <w:vAlign w:val="center"/>
          </w:tcPr>
          <w:p w14:paraId="3CC6CE89">
            <w:pPr>
              <w:pStyle w:val="20"/>
              <w:keepNext w:val="0"/>
              <w:keepLines w:val="0"/>
              <w:pageBreakBefore w:val="0"/>
              <w:widowControl/>
              <w:wordWrap/>
              <w:overflowPunct/>
              <w:topLinePunct w:val="0"/>
              <w:autoSpaceDE w:val="0"/>
              <w:autoSpaceDN w:val="0"/>
              <w:bidi w:val="0"/>
              <w:spacing w:before="78" w:line="400" w:lineRule="exact"/>
              <w:jc w:val="center"/>
              <w:rPr>
                <w:rFonts w:hint="eastAsia" w:ascii="宋体" w:hAnsi="宋体" w:eastAsia="宋体" w:cs="宋体"/>
                <w:color w:val="auto"/>
                <w:spacing w:val="-12"/>
                <w:sz w:val="24"/>
                <w:szCs w:val="24"/>
                <w:highlight w:val="none"/>
                <w:lang w:val="en-US"/>
              </w:rPr>
            </w:pPr>
            <w:r>
              <w:rPr>
                <w:rFonts w:hint="eastAsia" w:ascii="宋体" w:hAnsi="宋体" w:eastAsia="宋体" w:cs="宋体"/>
                <w:color w:val="auto"/>
                <w:spacing w:val="-4"/>
                <w:sz w:val="24"/>
                <w:szCs w:val="24"/>
                <w:highlight w:val="none"/>
                <w:lang w:val="en-US" w:eastAsia="zh-CN"/>
              </w:rPr>
              <w:t>供货方案及措施（</w:t>
            </w:r>
            <w:r>
              <w:rPr>
                <w:rFonts w:hint="eastAsia" w:cs="宋体"/>
                <w:color w:val="auto"/>
                <w:spacing w:val="-4"/>
                <w:sz w:val="24"/>
                <w:szCs w:val="24"/>
                <w:highlight w:val="none"/>
                <w:lang w:val="en-US" w:eastAsia="zh-CN"/>
              </w:rPr>
              <w:t>5</w:t>
            </w:r>
            <w:r>
              <w:rPr>
                <w:rFonts w:hint="eastAsia" w:ascii="宋体" w:hAnsi="宋体" w:eastAsia="宋体" w:cs="宋体"/>
                <w:color w:val="auto"/>
                <w:spacing w:val="-4"/>
                <w:sz w:val="24"/>
                <w:szCs w:val="24"/>
                <w:highlight w:val="none"/>
                <w:lang w:val="en-US" w:eastAsia="zh-CN"/>
              </w:rPr>
              <w:t>分）</w:t>
            </w:r>
          </w:p>
        </w:tc>
        <w:tc>
          <w:tcPr>
            <w:tcW w:w="6143" w:type="dxa"/>
            <w:vAlign w:val="center"/>
          </w:tcPr>
          <w:p w14:paraId="2D585A9C">
            <w:pPr>
              <w:keepNext w:val="0"/>
              <w:keepLines w:val="0"/>
              <w:pageBreakBefore w:val="0"/>
              <w:widowControl/>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根据采购人实际需求，针对项目实际情况，投标人对所供货物制定详细的供货方案和措施。</w:t>
            </w:r>
          </w:p>
          <w:p w14:paraId="40FA3A9C">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1.能够完全满足需求，并且方案详尽，得5分；</w:t>
            </w:r>
          </w:p>
          <w:p w14:paraId="1330381A">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2.基本满足需求，方案基本详尽，得3分；</w:t>
            </w:r>
          </w:p>
          <w:p w14:paraId="19870B6D">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3.不满足需求，方案不够详尽，得1分；</w:t>
            </w:r>
          </w:p>
          <w:p w14:paraId="5CDE9D55">
            <w:pPr>
              <w:keepNext w:val="0"/>
              <w:keepLines w:val="0"/>
              <w:pageBreakBefore w:val="0"/>
              <w:widowControl/>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eastAsia="zh-CN"/>
              </w:rPr>
            </w:pPr>
            <w:r>
              <w:rPr>
                <w:rFonts w:hint="eastAsia" w:ascii="宋体" w:hAnsi="宋体" w:eastAsia="宋体" w:cs="宋体"/>
                <w:color w:val="auto"/>
                <w:spacing w:val="-4"/>
                <w:sz w:val="24"/>
                <w:szCs w:val="24"/>
                <w:highlight w:val="none"/>
                <w:lang w:val="en-US" w:eastAsia="zh-CN"/>
              </w:rPr>
              <w:t>4.未提供的不得分。</w:t>
            </w:r>
          </w:p>
        </w:tc>
      </w:tr>
      <w:tr w14:paraId="2BAE16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 w:hRule="atLeast"/>
        </w:trPr>
        <w:tc>
          <w:tcPr>
            <w:tcW w:w="687" w:type="dxa"/>
            <w:vMerge w:val="continue"/>
            <w:vAlign w:val="center"/>
          </w:tcPr>
          <w:p w14:paraId="14AAA0CF">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tc>
        <w:tc>
          <w:tcPr>
            <w:tcW w:w="1575" w:type="dxa"/>
            <w:vMerge w:val="continue"/>
            <w:vAlign w:val="center"/>
          </w:tcPr>
          <w:p w14:paraId="607FB5BD">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tc>
        <w:tc>
          <w:tcPr>
            <w:tcW w:w="1595" w:type="dxa"/>
            <w:vAlign w:val="center"/>
          </w:tcPr>
          <w:p w14:paraId="18A5E89E">
            <w:pPr>
              <w:pStyle w:val="20"/>
              <w:keepNext w:val="0"/>
              <w:keepLines w:val="0"/>
              <w:pageBreakBefore w:val="0"/>
              <w:widowControl/>
              <w:wordWrap/>
              <w:overflowPunct/>
              <w:topLinePunct w:val="0"/>
              <w:autoSpaceDE w:val="0"/>
              <w:autoSpaceDN w:val="0"/>
              <w:bidi w:val="0"/>
              <w:spacing w:before="78" w:line="400" w:lineRule="exact"/>
              <w:jc w:val="center"/>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安装</w:t>
            </w:r>
            <w:r>
              <w:rPr>
                <w:rFonts w:hint="eastAsia" w:cs="宋体"/>
                <w:color w:val="auto"/>
                <w:spacing w:val="-4"/>
                <w:sz w:val="24"/>
                <w:szCs w:val="24"/>
                <w:highlight w:val="none"/>
                <w:lang w:val="en-US" w:eastAsia="zh-CN"/>
              </w:rPr>
              <w:t>、</w:t>
            </w:r>
            <w:r>
              <w:rPr>
                <w:rFonts w:hint="eastAsia" w:ascii="宋体" w:hAnsi="宋体" w:eastAsia="宋体" w:cs="宋体"/>
                <w:color w:val="auto"/>
                <w:spacing w:val="-4"/>
                <w:sz w:val="24"/>
                <w:szCs w:val="24"/>
                <w:highlight w:val="none"/>
                <w:lang w:val="en-US" w:eastAsia="zh-CN"/>
              </w:rPr>
              <w:t>调试方案（</w:t>
            </w:r>
            <w:r>
              <w:rPr>
                <w:rFonts w:hint="eastAsia" w:cs="宋体"/>
                <w:color w:val="auto"/>
                <w:spacing w:val="-4"/>
                <w:sz w:val="24"/>
                <w:szCs w:val="24"/>
                <w:highlight w:val="none"/>
                <w:lang w:val="en-US" w:eastAsia="zh-CN"/>
              </w:rPr>
              <w:t>5</w:t>
            </w:r>
            <w:r>
              <w:rPr>
                <w:rFonts w:hint="eastAsia" w:ascii="宋体" w:hAnsi="宋体" w:eastAsia="宋体" w:cs="宋体"/>
                <w:color w:val="auto"/>
                <w:spacing w:val="-4"/>
                <w:sz w:val="24"/>
                <w:szCs w:val="24"/>
                <w:highlight w:val="none"/>
                <w:lang w:val="en-US" w:eastAsia="zh-CN"/>
              </w:rPr>
              <w:t>分）</w:t>
            </w:r>
          </w:p>
        </w:tc>
        <w:tc>
          <w:tcPr>
            <w:tcW w:w="6143" w:type="dxa"/>
            <w:vAlign w:val="center"/>
          </w:tcPr>
          <w:p w14:paraId="48D4CA17">
            <w:pPr>
              <w:keepNext w:val="0"/>
              <w:keepLines w:val="0"/>
              <w:pageBreakBefore w:val="0"/>
              <w:widowControl/>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根据采购人实际需求，针对项目实际情况，投标人对所供货品安装、调试制定详细计划方案和措施。</w:t>
            </w:r>
          </w:p>
          <w:p w14:paraId="38D02D71">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1.能够完全满足需求，并且方案详尽，得5分；</w:t>
            </w:r>
          </w:p>
          <w:p w14:paraId="46F6C615">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2.基本满足需求，方案基本详尽，得3分；</w:t>
            </w:r>
          </w:p>
          <w:p w14:paraId="1E00E7CD">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3.不满足需求，方案不够详尽，得1分；</w:t>
            </w:r>
          </w:p>
          <w:p w14:paraId="62A26F42">
            <w:pPr>
              <w:keepNext w:val="0"/>
              <w:keepLines w:val="0"/>
              <w:pageBreakBefore w:val="0"/>
              <w:widowControl/>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4.未提供的不得分。</w:t>
            </w:r>
          </w:p>
        </w:tc>
      </w:tr>
      <w:tr w14:paraId="08CCAB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trPr>
        <w:tc>
          <w:tcPr>
            <w:tcW w:w="687" w:type="dxa"/>
            <w:vMerge w:val="continue"/>
            <w:vAlign w:val="center"/>
          </w:tcPr>
          <w:p w14:paraId="4B0C8FD1">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tc>
        <w:tc>
          <w:tcPr>
            <w:tcW w:w="1575" w:type="dxa"/>
            <w:vMerge w:val="continue"/>
            <w:vAlign w:val="center"/>
          </w:tcPr>
          <w:p w14:paraId="71E6CEF8">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tc>
        <w:tc>
          <w:tcPr>
            <w:tcW w:w="1595" w:type="dxa"/>
            <w:tcBorders>
              <w:bottom w:val="single" w:color="auto" w:sz="4" w:space="0"/>
            </w:tcBorders>
            <w:shd w:val="clear" w:color="auto" w:fill="auto"/>
            <w:vAlign w:val="center"/>
          </w:tcPr>
          <w:p w14:paraId="3CCA6427">
            <w:pPr>
              <w:keepNext w:val="0"/>
              <w:keepLines w:val="0"/>
              <w:pageBreakBefore w:val="0"/>
              <w:widowControl/>
              <w:kinsoku/>
              <w:wordWrap/>
              <w:overflowPunct/>
              <w:topLinePunct w:val="0"/>
              <w:autoSpaceDE w:val="0"/>
              <w:autoSpaceDN w:val="0"/>
              <w:bidi w:val="0"/>
              <w:snapToGrid/>
              <w:spacing w:line="400" w:lineRule="exact"/>
              <w:jc w:val="center"/>
              <w:textAlignment w:val="auto"/>
              <w:rPr>
                <w:rFonts w:hint="eastAsia" w:ascii="宋体" w:hAnsi="宋体" w:eastAsia="宋体" w:cs="宋体"/>
                <w:bCs/>
                <w:snapToGrid w:val="0"/>
                <w:color w:val="auto"/>
                <w:sz w:val="24"/>
                <w:szCs w:val="24"/>
                <w:highlight w:val="none"/>
                <w:lang w:val="en-US" w:eastAsia="zh-CN" w:bidi="ar-SA"/>
              </w:rPr>
            </w:pPr>
            <w:r>
              <w:rPr>
                <w:rFonts w:hint="eastAsia" w:ascii="宋体" w:hAnsi="宋体" w:eastAsia="宋体" w:cs="宋体"/>
                <w:bCs/>
                <w:snapToGrid w:val="0"/>
                <w:color w:val="auto"/>
                <w:sz w:val="24"/>
                <w:szCs w:val="24"/>
                <w:highlight w:val="none"/>
                <w:lang w:val="en-US" w:eastAsia="zh-CN" w:bidi="ar-SA"/>
              </w:rPr>
              <w:t>质量保证措施（5分）</w:t>
            </w:r>
          </w:p>
        </w:tc>
        <w:tc>
          <w:tcPr>
            <w:tcW w:w="6143" w:type="dxa"/>
            <w:tcBorders>
              <w:bottom w:val="single" w:color="auto" w:sz="4" w:space="0"/>
            </w:tcBorders>
            <w:shd w:val="clear" w:color="auto" w:fill="auto"/>
            <w:vAlign w:val="center"/>
          </w:tcPr>
          <w:p w14:paraId="231348F1">
            <w:pPr>
              <w:keepNext w:val="0"/>
              <w:keepLines w:val="0"/>
              <w:pageBreakBefore w:val="0"/>
              <w:widowControl/>
              <w:kinsoku/>
              <w:wordWrap/>
              <w:overflowPunct/>
              <w:topLinePunct w:val="0"/>
              <w:autoSpaceDE w:val="0"/>
              <w:autoSpaceDN w:val="0"/>
              <w:bidi w:val="0"/>
              <w:snapToGrid/>
              <w:spacing w:line="400" w:lineRule="exact"/>
              <w:ind w:left="0" w:leftChars="0" w:firstLine="480" w:firstLineChars="200"/>
              <w:textAlignment w:val="auto"/>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snapToGrid w:val="0"/>
                <w:color w:val="auto"/>
                <w:sz w:val="24"/>
                <w:szCs w:val="24"/>
                <w:highlight w:val="none"/>
                <w:lang w:val="en-US" w:eastAsia="zh-CN" w:bidi="ar-SA"/>
              </w:rPr>
              <w:t>投标人针对本项目提供包括但不限于货物运输、项目实施等质量保障预案等。</w:t>
            </w:r>
          </w:p>
          <w:p w14:paraId="3465B9EE">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1.能够完全满足需求，并且方案详尽，得5分；</w:t>
            </w:r>
          </w:p>
          <w:p w14:paraId="77E3C4A5">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2.基本满足需求，方案基本详尽，得3分；</w:t>
            </w:r>
          </w:p>
          <w:p w14:paraId="332BB99E">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3.不满足需求，方案不够详尽，得1分；</w:t>
            </w:r>
          </w:p>
          <w:p w14:paraId="2DD8C1DB">
            <w:pPr>
              <w:keepNext w:val="0"/>
              <w:keepLines w:val="0"/>
              <w:pageBreakBefore w:val="0"/>
              <w:widowControl/>
              <w:kinsoku/>
              <w:wordWrap/>
              <w:overflowPunct/>
              <w:topLinePunct w:val="0"/>
              <w:autoSpaceDE w:val="0"/>
              <w:autoSpaceDN w:val="0"/>
              <w:bidi w:val="0"/>
              <w:snapToGrid/>
              <w:spacing w:line="400" w:lineRule="exact"/>
              <w:ind w:left="0" w:leftChars="0" w:firstLine="464" w:firstLineChars="200"/>
              <w:textAlignment w:val="auto"/>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pacing w:val="-4"/>
                <w:sz w:val="24"/>
                <w:szCs w:val="24"/>
                <w:highlight w:val="none"/>
                <w:lang w:val="en-US" w:eastAsia="zh-CN"/>
              </w:rPr>
              <w:t>4.未提供的不得分。</w:t>
            </w:r>
          </w:p>
        </w:tc>
      </w:tr>
      <w:tr w14:paraId="3E367E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trPr>
        <w:tc>
          <w:tcPr>
            <w:tcW w:w="687" w:type="dxa"/>
            <w:vMerge w:val="restart"/>
            <w:vAlign w:val="center"/>
          </w:tcPr>
          <w:p w14:paraId="05348DB9">
            <w:pPr>
              <w:keepNext w:val="0"/>
              <w:keepLines w:val="0"/>
              <w:pageBreakBefore w:val="0"/>
              <w:widowControl/>
              <w:wordWrap/>
              <w:overflowPunct/>
              <w:topLinePunct w:val="0"/>
              <w:autoSpaceDE w:val="0"/>
              <w:autoSpaceDN w:val="0"/>
              <w:bidi w:val="0"/>
              <w:spacing w:line="400" w:lineRule="exact"/>
              <w:ind w:firstLine="240" w:firstLineChars="100"/>
              <w:jc w:val="both"/>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1575" w:type="dxa"/>
            <w:vMerge w:val="restart"/>
            <w:vAlign w:val="center"/>
          </w:tcPr>
          <w:p w14:paraId="76250950">
            <w:pPr>
              <w:keepNext w:val="0"/>
              <w:keepLines w:val="0"/>
              <w:pageBreakBefore w:val="0"/>
              <w:widowControl/>
              <w:wordWrap/>
              <w:overflowPunct/>
              <w:topLinePunct w:val="0"/>
              <w:autoSpaceDE w:val="0"/>
              <w:autoSpaceDN w:val="0"/>
              <w:bidi w:val="0"/>
              <w:spacing w:line="400" w:lineRule="exact"/>
              <w:jc w:val="center"/>
              <w:rPr>
                <w:rFonts w:hint="eastAsia" w:ascii="宋体" w:hAnsi="宋体" w:eastAsia="宋体" w:cs="宋体"/>
                <w:b w:val="0"/>
                <w:bCs w:val="0"/>
                <w:snapToGrid w:val="0"/>
                <w:color w:val="000000"/>
                <w:kern w:val="0"/>
                <w:sz w:val="24"/>
                <w:szCs w:val="24"/>
                <w:highlight w:val="none"/>
                <w:lang w:val="en-US" w:eastAsia="zh-CN" w:bidi="ar"/>
              </w:rPr>
            </w:pPr>
            <w:r>
              <w:rPr>
                <w:rFonts w:hint="eastAsia" w:ascii="宋体" w:hAnsi="宋体" w:eastAsia="宋体" w:cs="宋体"/>
                <w:b w:val="0"/>
                <w:bCs w:val="0"/>
                <w:snapToGrid w:val="0"/>
                <w:color w:val="000000"/>
                <w:kern w:val="0"/>
                <w:sz w:val="24"/>
                <w:szCs w:val="24"/>
                <w:highlight w:val="none"/>
                <w:lang w:val="en-US" w:eastAsia="zh-CN" w:bidi="ar"/>
              </w:rPr>
              <w:t>综合部分</w:t>
            </w:r>
          </w:p>
          <w:p w14:paraId="76C2BED4">
            <w:pPr>
              <w:keepNext w:val="0"/>
              <w:keepLines w:val="0"/>
              <w:pageBreakBefore w:val="0"/>
              <w:widowControl/>
              <w:wordWrap/>
              <w:overflowPunct/>
              <w:topLinePunct w:val="0"/>
              <w:autoSpaceDE w:val="0"/>
              <w:autoSpaceDN w:val="0"/>
              <w:bidi w:val="0"/>
              <w:spacing w:line="400" w:lineRule="exact"/>
              <w:jc w:val="center"/>
              <w:rPr>
                <w:rFonts w:hint="default" w:ascii="宋体" w:hAnsi="宋体" w:eastAsia="宋体" w:cs="宋体"/>
                <w:color w:val="auto"/>
                <w:sz w:val="24"/>
                <w:szCs w:val="24"/>
                <w:highlight w:val="none"/>
                <w:lang w:val="en-US" w:eastAsia="zh-CN"/>
              </w:rPr>
            </w:pPr>
            <w:r>
              <w:rPr>
                <w:rFonts w:hint="eastAsia" w:ascii="宋体" w:hAnsi="宋体" w:eastAsia="宋体" w:cs="宋体"/>
                <w:b w:val="0"/>
                <w:bCs w:val="0"/>
                <w:snapToGrid w:val="0"/>
                <w:color w:val="000000"/>
                <w:kern w:val="0"/>
                <w:sz w:val="24"/>
                <w:szCs w:val="24"/>
                <w:highlight w:val="none"/>
                <w:lang w:val="en-US" w:eastAsia="zh-CN" w:bidi="ar"/>
              </w:rPr>
              <w:t>（20分）</w:t>
            </w:r>
          </w:p>
        </w:tc>
        <w:tc>
          <w:tcPr>
            <w:tcW w:w="1595" w:type="dxa"/>
            <w:tcBorders>
              <w:bottom w:val="single" w:color="auto" w:sz="4" w:space="0"/>
            </w:tcBorders>
            <w:shd w:val="clear" w:color="auto" w:fill="auto"/>
            <w:vAlign w:val="center"/>
          </w:tcPr>
          <w:p w14:paraId="703FB9B6">
            <w:pPr>
              <w:keepNext w:val="0"/>
              <w:keepLines w:val="0"/>
              <w:pageBreakBefore w:val="0"/>
              <w:widowControl/>
              <w:kinsoku/>
              <w:wordWrap/>
              <w:overflowPunct/>
              <w:topLinePunct w:val="0"/>
              <w:autoSpaceDE w:val="0"/>
              <w:autoSpaceDN w:val="0"/>
              <w:bidi w:val="0"/>
              <w:snapToGrid/>
              <w:spacing w:line="400" w:lineRule="exact"/>
              <w:jc w:val="center"/>
              <w:textAlignment w:val="auto"/>
              <w:rPr>
                <w:rFonts w:hint="eastAsia" w:ascii="宋体" w:hAnsi="宋体" w:eastAsia="宋体" w:cs="宋体"/>
                <w:bCs/>
                <w:color w:val="auto"/>
                <w:sz w:val="24"/>
                <w:szCs w:val="24"/>
                <w:highlight w:val="none"/>
              </w:rPr>
            </w:pPr>
            <w:r>
              <w:rPr>
                <w:rFonts w:hint="eastAsia" w:ascii="宋体" w:hAnsi="宋体" w:eastAsia="宋体" w:cs="宋体"/>
                <w:bCs/>
                <w:color w:val="auto"/>
                <w:sz w:val="24"/>
                <w:szCs w:val="24"/>
                <w:highlight w:val="none"/>
                <w:lang w:val="en-US" w:eastAsia="zh-CN"/>
              </w:rPr>
              <w:t>售后服务方案（5分）</w:t>
            </w:r>
          </w:p>
        </w:tc>
        <w:tc>
          <w:tcPr>
            <w:tcW w:w="6143" w:type="dxa"/>
            <w:tcBorders>
              <w:bottom w:val="single" w:color="auto" w:sz="4" w:space="0"/>
            </w:tcBorders>
            <w:shd w:val="clear" w:color="auto" w:fill="auto"/>
            <w:vAlign w:val="center"/>
          </w:tcPr>
          <w:p w14:paraId="7E5998DA">
            <w:pPr>
              <w:keepNext w:val="0"/>
              <w:keepLines w:val="0"/>
              <w:pageBreakBefore w:val="0"/>
              <w:widowControl/>
              <w:numPr>
                <w:ilvl w:val="0"/>
                <w:numId w:val="0"/>
              </w:numPr>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eastAsia="zh-CN"/>
              </w:rPr>
              <w:t>投标人针对本项目提供</w:t>
            </w:r>
            <w:r>
              <w:rPr>
                <w:rFonts w:hint="eastAsia" w:ascii="宋体" w:hAnsi="宋体" w:eastAsia="宋体" w:cs="宋体"/>
                <w:color w:val="auto"/>
                <w:spacing w:val="-4"/>
                <w:sz w:val="24"/>
                <w:szCs w:val="24"/>
                <w:highlight w:val="none"/>
                <w:lang w:val="en-US" w:eastAsia="zh-CN"/>
              </w:rPr>
              <w:t>合理、完善的</w:t>
            </w:r>
            <w:r>
              <w:rPr>
                <w:rFonts w:hint="eastAsia" w:ascii="宋体" w:hAnsi="宋体" w:eastAsia="宋体" w:cs="宋体"/>
                <w:color w:val="auto"/>
                <w:spacing w:val="-4"/>
                <w:sz w:val="24"/>
                <w:szCs w:val="24"/>
                <w:highlight w:val="none"/>
                <w:lang w:eastAsia="zh-CN"/>
              </w:rPr>
              <w:t>售后服务方案，</w:t>
            </w:r>
            <w:r>
              <w:rPr>
                <w:rFonts w:hint="eastAsia" w:ascii="宋体" w:hAnsi="宋体" w:eastAsia="宋体" w:cs="宋体"/>
                <w:color w:val="auto"/>
                <w:spacing w:val="-4"/>
                <w:sz w:val="24"/>
                <w:szCs w:val="24"/>
                <w:highlight w:val="none"/>
                <w:lang w:val="en-US" w:eastAsia="zh-CN"/>
              </w:rPr>
              <w:t>包括但不限于：</w:t>
            </w:r>
            <w:r>
              <w:rPr>
                <w:rFonts w:hint="eastAsia" w:ascii="宋体" w:hAnsi="宋体" w:eastAsia="宋体" w:cs="宋体"/>
                <w:color w:val="auto"/>
                <w:spacing w:val="-4"/>
                <w:sz w:val="24"/>
                <w:szCs w:val="24"/>
                <w:highlight w:val="none"/>
                <w:lang w:eastAsia="zh-CN"/>
              </w:rPr>
              <w:t>服务内容承诺</w:t>
            </w:r>
            <w:r>
              <w:rPr>
                <w:rFonts w:hint="eastAsia" w:ascii="宋体" w:hAnsi="宋体" w:eastAsia="宋体" w:cs="宋体"/>
                <w:color w:val="auto"/>
                <w:spacing w:val="-4"/>
                <w:sz w:val="24"/>
                <w:szCs w:val="24"/>
                <w:highlight w:val="none"/>
                <w:lang w:val="en-US" w:eastAsia="zh-CN"/>
              </w:rPr>
              <w:t>、</w:t>
            </w:r>
            <w:r>
              <w:rPr>
                <w:rFonts w:hint="eastAsia" w:ascii="宋体" w:hAnsi="宋体" w:eastAsia="宋体" w:cs="宋体"/>
                <w:color w:val="auto"/>
                <w:spacing w:val="-4"/>
                <w:sz w:val="24"/>
                <w:szCs w:val="24"/>
                <w:highlight w:val="none"/>
                <w:lang w:eastAsia="zh-CN"/>
              </w:rPr>
              <w:t>服务体系</w:t>
            </w:r>
            <w:r>
              <w:rPr>
                <w:rFonts w:hint="eastAsia" w:ascii="宋体" w:hAnsi="宋体" w:eastAsia="宋体" w:cs="宋体"/>
                <w:color w:val="auto"/>
                <w:spacing w:val="-4"/>
                <w:sz w:val="24"/>
                <w:szCs w:val="24"/>
                <w:highlight w:val="none"/>
                <w:lang w:val="en-US" w:eastAsia="zh-CN"/>
              </w:rPr>
              <w:t>、服务质量保证、</w:t>
            </w:r>
            <w:r>
              <w:rPr>
                <w:rFonts w:hint="eastAsia" w:ascii="宋体" w:hAnsi="宋体" w:eastAsia="宋体" w:cs="宋体"/>
                <w:color w:val="auto"/>
                <w:spacing w:val="-4"/>
                <w:sz w:val="24"/>
                <w:szCs w:val="24"/>
                <w:highlight w:val="none"/>
                <w:lang w:eastAsia="zh-CN"/>
              </w:rPr>
              <w:t>响应方式</w:t>
            </w:r>
            <w:r>
              <w:rPr>
                <w:rFonts w:hint="eastAsia" w:ascii="宋体" w:hAnsi="宋体" w:eastAsia="宋体" w:cs="宋体"/>
                <w:color w:val="auto"/>
                <w:spacing w:val="-4"/>
                <w:sz w:val="24"/>
                <w:szCs w:val="24"/>
                <w:highlight w:val="none"/>
                <w:lang w:val="en-US" w:eastAsia="zh-CN"/>
              </w:rPr>
              <w:t>、</w:t>
            </w:r>
            <w:r>
              <w:rPr>
                <w:rFonts w:hint="eastAsia" w:ascii="宋体" w:hAnsi="宋体" w:eastAsia="宋体" w:cs="宋体"/>
                <w:color w:val="auto"/>
                <w:spacing w:val="-4"/>
                <w:sz w:val="24"/>
                <w:szCs w:val="24"/>
                <w:highlight w:val="none"/>
                <w:lang w:eastAsia="zh-CN"/>
              </w:rPr>
              <w:t>响应时间等</w:t>
            </w:r>
            <w:r>
              <w:rPr>
                <w:rFonts w:hint="eastAsia" w:ascii="宋体" w:hAnsi="宋体" w:eastAsia="宋体" w:cs="宋体"/>
                <w:color w:val="auto"/>
                <w:spacing w:val="-4"/>
                <w:sz w:val="24"/>
                <w:szCs w:val="24"/>
                <w:highlight w:val="none"/>
                <w:lang w:val="en-US" w:eastAsia="zh-CN"/>
              </w:rPr>
              <w:t>。</w:t>
            </w:r>
          </w:p>
          <w:p w14:paraId="44C79726">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1.能够完全满足需求，并且方案详尽，得5分；</w:t>
            </w:r>
          </w:p>
          <w:p w14:paraId="2F21BB8B">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2.基本满足需求，方案基本详尽，得3分；</w:t>
            </w:r>
          </w:p>
          <w:p w14:paraId="1637D63F">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3.不满足需求，方案不够详尽，得1分；</w:t>
            </w:r>
          </w:p>
          <w:p w14:paraId="1862A80A">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lang w:val="en-US" w:eastAsia="zh-CN"/>
              </w:rPr>
              <w:t>4.未提供的不得分。</w:t>
            </w:r>
          </w:p>
        </w:tc>
      </w:tr>
      <w:tr w14:paraId="0C0576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trPr>
        <w:tc>
          <w:tcPr>
            <w:tcW w:w="687" w:type="dxa"/>
            <w:vMerge w:val="continue"/>
            <w:vAlign w:val="center"/>
          </w:tcPr>
          <w:p w14:paraId="03512DB4">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tc>
        <w:tc>
          <w:tcPr>
            <w:tcW w:w="1575" w:type="dxa"/>
            <w:vMerge w:val="continue"/>
            <w:vAlign w:val="center"/>
          </w:tcPr>
          <w:p w14:paraId="3EE5AE28">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tc>
        <w:tc>
          <w:tcPr>
            <w:tcW w:w="1595" w:type="dxa"/>
            <w:tcBorders>
              <w:bottom w:val="single" w:color="auto" w:sz="4" w:space="0"/>
            </w:tcBorders>
            <w:shd w:val="clear" w:color="auto" w:fill="auto"/>
            <w:vAlign w:val="center"/>
          </w:tcPr>
          <w:p w14:paraId="365E5817">
            <w:pPr>
              <w:keepNext w:val="0"/>
              <w:keepLines w:val="0"/>
              <w:pageBreakBefore w:val="0"/>
              <w:widowControl/>
              <w:wordWrap/>
              <w:overflowPunct/>
              <w:topLinePunct w:val="0"/>
              <w:autoSpaceDE w:val="0"/>
              <w:autoSpaceDN w:val="0"/>
              <w:bidi w:val="0"/>
              <w:spacing w:line="400" w:lineRule="exact"/>
              <w:ind w:firstLine="480" w:firstLineChars="200"/>
              <w:jc w:val="both"/>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rPr>
              <w:t>培训</w:t>
            </w:r>
            <w:r>
              <w:rPr>
                <w:rFonts w:hint="eastAsia" w:ascii="宋体" w:hAnsi="宋体" w:eastAsia="宋体" w:cs="宋体"/>
                <w:color w:val="auto"/>
                <w:sz w:val="24"/>
                <w:szCs w:val="24"/>
                <w:highlight w:val="none"/>
                <w:lang w:val="en-US" w:eastAsia="zh-CN"/>
              </w:rPr>
              <w:t>方案</w:t>
            </w:r>
          </w:p>
          <w:p w14:paraId="70008D08">
            <w:pPr>
              <w:keepNext w:val="0"/>
              <w:keepLines w:val="0"/>
              <w:pageBreakBefore w:val="0"/>
              <w:widowControl/>
              <w:wordWrap/>
              <w:overflowPunct/>
              <w:topLinePunct w:val="0"/>
              <w:autoSpaceDE w:val="0"/>
              <w:autoSpaceDN w:val="0"/>
              <w:bidi w:val="0"/>
              <w:spacing w:line="400" w:lineRule="exact"/>
              <w:ind w:firstLine="480" w:firstLineChars="200"/>
              <w:jc w:val="both"/>
              <w:rPr>
                <w:rFonts w:hint="eastAsia" w:ascii="宋体" w:hAnsi="宋体" w:eastAsia="宋体" w:cs="宋体"/>
                <w:bCs/>
                <w:color w:val="auto"/>
                <w:sz w:val="24"/>
                <w:szCs w:val="24"/>
                <w:highlight w:val="none"/>
                <w:lang w:val="en-US" w:eastAsia="zh-CN"/>
              </w:rPr>
            </w:pP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5</w:t>
            </w:r>
            <w:r>
              <w:rPr>
                <w:rFonts w:hint="eastAsia" w:ascii="宋体" w:hAnsi="宋体" w:eastAsia="宋体" w:cs="宋体"/>
                <w:color w:val="auto"/>
                <w:sz w:val="24"/>
                <w:szCs w:val="24"/>
                <w:highlight w:val="none"/>
              </w:rPr>
              <w:t>分）</w:t>
            </w:r>
          </w:p>
        </w:tc>
        <w:tc>
          <w:tcPr>
            <w:tcW w:w="6143" w:type="dxa"/>
            <w:tcBorders>
              <w:bottom w:val="single" w:color="auto" w:sz="4" w:space="0"/>
            </w:tcBorders>
            <w:shd w:val="clear" w:color="auto" w:fill="auto"/>
            <w:vAlign w:val="top"/>
          </w:tcPr>
          <w:p w14:paraId="4D04CC84">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eastAsia="zh-CN"/>
              </w:rPr>
            </w:pPr>
            <w:r>
              <w:rPr>
                <w:rFonts w:hint="eastAsia" w:ascii="宋体" w:hAnsi="宋体" w:eastAsia="宋体" w:cs="宋体"/>
                <w:color w:val="auto"/>
                <w:spacing w:val="-4"/>
                <w:sz w:val="24"/>
                <w:szCs w:val="24"/>
                <w:highlight w:val="none"/>
                <w:lang w:eastAsia="zh-CN"/>
              </w:rPr>
              <w:t>投标人</w:t>
            </w:r>
            <w:r>
              <w:rPr>
                <w:rFonts w:hint="eastAsia" w:ascii="宋体" w:hAnsi="宋体" w:eastAsia="宋体" w:cs="宋体"/>
                <w:color w:val="auto"/>
                <w:spacing w:val="-4"/>
                <w:sz w:val="24"/>
                <w:szCs w:val="24"/>
                <w:highlight w:val="none"/>
                <w:lang w:val="en-US" w:eastAsia="zh-CN"/>
              </w:rPr>
              <w:t>针对</w:t>
            </w:r>
            <w:r>
              <w:rPr>
                <w:rFonts w:hint="eastAsia" w:ascii="宋体" w:hAnsi="宋体" w:eastAsia="宋体" w:cs="宋体"/>
                <w:color w:val="auto"/>
                <w:spacing w:val="-4"/>
                <w:sz w:val="24"/>
                <w:szCs w:val="24"/>
                <w:highlight w:val="none"/>
                <w:lang w:eastAsia="zh-CN"/>
              </w:rPr>
              <w:t>本项目</w:t>
            </w:r>
            <w:r>
              <w:rPr>
                <w:rFonts w:hint="eastAsia" w:ascii="宋体" w:hAnsi="宋体" w:eastAsia="宋体" w:cs="宋体"/>
                <w:color w:val="auto"/>
                <w:spacing w:val="-4"/>
                <w:sz w:val="24"/>
                <w:szCs w:val="24"/>
                <w:highlight w:val="none"/>
                <w:lang w:val="en-US" w:eastAsia="zh-CN"/>
              </w:rPr>
              <w:t>需求</w:t>
            </w:r>
            <w:r>
              <w:rPr>
                <w:rFonts w:hint="eastAsia" w:ascii="宋体" w:hAnsi="宋体" w:eastAsia="宋体" w:cs="宋体"/>
                <w:color w:val="auto"/>
                <w:spacing w:val="-4"/>
                <w:sz w:val="24"/>
                <w:szCs w:val="24"/>
                <w:highlight w:val="none"/>
                <w:lang w:eastAsia="zh-CN"/>
              </w:rPr>
              <w:t>制定培训方案，包括</w:t>
            </w:r>
            <w:r>
              <w:rPr>
                <w:rFonts w:hint="eastAsia" w:ascii="宋体" w:hAnsi="宋体" w:eastAsia="宋体" w:cs="宋体"/>
                <w:color w:val="auto"/>
                <w:spacing w:val="-4"/>
                <w:sz w:val="24"/>
                <w:szCs w:val="24"/>
                <w:highlight w:val="none"/>
                <w:lang w:val="en-US" w:eastAsia="zh-CN"/>
              </w:rPr>
              <w:t>但不限于</w:t>
            </w:r>
            <w:r>
              <w:rPr>
                <w:rFonts w:hint="eastAsia" w:ascii="宋体" w:hAnsi="宋体" w:eastAsia="宋体" w:cs="宋体"/>
                <w:color w:val="auto"/>
                <w:spacing w:val="-4"/>
                <w:sz w:val="24"/>
                <w:szCs w:val="24"/>
                <w:highlight w:val="none"/>
                <w:lang w:eastAsia="zh-CN"/>
              </w:rPr>
              <w:t>:培训计划、培训目标、培训内容、培训方式</w:t>
            </w:r>
            <w:r>
              <w:rPr>
                <w:rFonts w:hint="eastAsia" w:ascii="宋体" w:hAnsi="宋体" w:eastAsia="宋体" w:cs="宋体"/>
                <w:color w:val="auto"/>
                <w:spacing w:val="-4"/>
                <w:sz w:val="24"/>
                <w:szCs w:val="24"/>
                <w:highlight w:val="none"/>
                <w:lang w:val="en-US" w:eastAsia="zh-CN"/>
              </w:rPr>
              <w:t>等</w:t>
            </w:r>
            <w:r>
              <w:rPr>
                <w:rFonts w:hint="eastAsia" w:ascii="宋体" w:hAnsi="宋体" w:eastAsia="宋体" w:cs="宋体"/>
                <w:color w:val="auto"/>
                <w:spacing w:val="-4"/>
                <w:sz w:val="24"/>
                <w:szCs w:val="24"/>
                <w:highlight w:val="none"/>
                <w:lang w:eastAsia="zh-CN"/>
              </w:rPr>
              <w:t>。</w:t>
            </w:r>
          </w:p>
          <w:p w14:paraId="4A9C8FDA">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00" w:lineRule="exact"/>
              <w:ind w:firstLine="464" w:firstLineChars="200"/>
              <w:jc w:val="both"/>
              <w:textAlignment w:val="baseline"/>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1.能够完全满足需求，并且方案详尽，得5分；</w:t>
            </w:r>
          </w:p>
          <w:p w14:paraId="7B0C917F">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2.基本满足需求，方案基本详尽，得3分；</w:t>
            </w:r>
          </w:p>
          <w:p w14:paraId="03A7402A">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3.不满足需求，方案不够详尽，得1分；</w:t>
            </w:r>
          </w:p>
          <w:p w14:paraId="2FDA27A4">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4.未提供的不得分。</w:t>
            </w:r>
          </w:p>
        </w:tc>
      </w:tr>
      <w:tr w14:paraId="79DC40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50" w:hRule="atLeast"/>
        </w:trPr>
        <w:tc>
          <w:tcPr>
            <w:tcW w:w="687" w:type="dxa"/>
            <w:vMerge w:val="continue"/>
            <w:vAlign w:val="center"/>
          </w:tcPr>
          <w:p w14:paraId="3FA5E2B6">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tc>
        <w:tc>
          <w:tcPr>
            <w:tcW w:w="1575" w:type="dxa"/>
            <w:vMerge w:val="continue"/>
            <w:vAlign w:val="center"/>
          </w:tcPr>
          <w:p w14:paraId="7B57EC9E">
            <w:pPr>
              <w:keepNext w:val="0"/>
              <w:keepLines w:val="0"/>
              <w:pageBreakBefore w:val="0"/>
              <w:widowControl/>
              <w:wordWrap/>
              <w:overflowPunct/>
              <w:topLinePunct w:val="0"/>
              <w:autoSpaceDE w:val="0"/>
              <w:autoSpaceDN w:val="0"/>
              <w:bidi w:val="0"/>
              <w:spacing w:line="400" w:lineRule="exact"/>
              <w:ind w:firstLine="480" w:firstLineChars="200"/>
              <w:jc w:val="center"/>
              <w:rPr>
                <w:rFonts w:hint="eastAsia" w:ascii="宋体" w:hAnsi="宋体" w:eastAsia="宋体" w:cs="宋体"/>
                <w:color w:val="auto"/>
                <w:sz w:val="24"/>
                <w:szCs w:val="24"/>
                <w:highlight w:val="none"/>
                <w:lang w:eastAsia="zh-CN"/>
              </w:rPr>
            </w:pPr>
          </w:p>
        </w:tc>
        <w:tc>
          <w:tcPr>
            <w:tcW w:w="1595" w:type="dxa"/>
            <w:tcBorders>
              <w:bottom w:val="single" w:color="auto" w:sz="4" w:space="0"/>
            </w:tcBorders>
            <w:shd w:val="clear" w:color="auto" w:fill="auto"/>
            <w:vAlign w:val="center"/>
          </w:tcPr>
          <w:p w14:paraId="7E76794C">
            <w:pPr>
              <w:keepNext w:val="0"/>
              <w:keepLines w:val="0"/>
              <w:pageBreakBefore w:val="0"/>
              <w:widowControl/>
              <w:kinsoku/>
              <w:wordWrap/>
              <w:overflowPunct/>
              <w:topLinePunct w:val="0"/>
              <w:autoSpaceDE w:val="0"/>
              <w:autoSpaceDN w:val="0"/>
              <w:bidi w:val="0"/>
              <w:snapToGrid/>
              <w:spacing w:line="400" w:lineRule="exact"/>
              <w:jc w:val="center"/>
              <w:textAlignment w:val="auto"/>
              <w:rPr>
                <w:rFonts w:hint="eastAsia" w:ascii="宋体" w:hAnsi="宋体" w:eastAsia="宋体" w:cs="宋体"/>
                <w:bCs/>
                <w:color w:val="auto"/>
                <w:sz w:val="24"/>
                <w:szCs w:val="24"/>
                <w:highlight w:val="none"/>
                <w:lang w:val="en-US" w:eastAsia="zh-CN"/>
              </w:rPr>
            </w:pPr>
            <w:r>
              <w:rPr>
                <w:rFonts w:hint="eastAsia" w:ascii="宋体" w:hAnsi="宋体" w:eastAsia="宋体" w:cs="宋体"/>
                <w:bCs/>
                <w:color w:val="auto"/>
                <w:sz w:val="24"/>
                <w:szCs w:val="24"/>
                <w:highlight w:val="none"/>
                <w:lang w:val="en-US" w:eastAsia="zh-CN"/>
              </w:rPr>
              <w:t>类似业绩</w:t>
            </w:r>
          </w:p>
          <w:p w14:paraId="41A4A59F">
            <w:pPr>
              <w:keepNext w:val="0"/>
              <w:keepLines w:val="0"/>
              <w:pageBreakBefore w:val="0"/>
              <w:widowControl/>
              <w:kinsoku/>
              <w:wordWrap/>
              <w:overflowPunct/>
              <w:topLinePunct w:val="0"/>
              <w:autoSpaceDE w:val="0"/>
              <w:autoSpaceDN w:val="0"/>
              <w:bidi w:val="0"/>
              <w:snapToGrid/>
              <w:spacing w:line="400" w:lineRule="exact"/>
              <w:jc w:val="center"/>
              <w:textAlignment w:val="auto"/>
              <w:rPr>
                <w:rFonts w:hint="default" w:ascii="宋体" w:hAnsi="宋体" w:eastAsia="宋体" w:cs="宋体"/>
                <w:bCs/>
                <w:color w:val="auto"/>
                <w:sz w:val="24"/>
                <w:szCs w:val="24"/>
                <w:highlight w:val="none"/>
                <w:lang w:val="en-US" w:eastAsia="zh-CN"/>
              </w:rPr>
            </w:pPr>
            <w:r>
              <w:rPr>
                <w:rFonts w:hint="eastAsia" w:ascii="宋体" w:hAnsi="宋体" w:eastAsia="宋体" w:cs="宋体"/>
                <w:bCs/>
                <w:color w:val="auto"/>
                <w:sz w:val="24"/>
                <w:szCs w:val="24"/>
                <w:highlight w:val="none"/>
                <w:lang w:val="en-US" w:eastAsia="zh-CN"/>
              </w:rPr>
              <w:t>（10分）</w:t>
            </w:r>
          </w:p>
        </w:tc>
        <w:tc>
          <w:tcPr>
            <w:tcW w:w="6143" w:type="dxa"/>
            <w:tcBorders>
              <w:bottom w:val="single" w:color="auto" w:sz="4" w:space="0"/>
            </w:tcBorders>
            <w:shd w:val="clear" w:color="auto" w:fill="auto"/>
            <w:vAlign w:val="center"/>
          </w:tcPr>
          <w:p w14:paraId="13F90AF9">
            <w:pPr>
              <w:keepNext w:val="0"/>
              <w:keepLines w:val="0"/>
              <w:pageBreakBefore w:val="0"/>
              <w:widowControl/>
              <w:wordWrap/>
              <w:overflowPunct/>
              <w:topLinePunct w:val="0"/>
              <w:autoSpaceDE w:val="0"/>
              <w:autoSpaceDN w:val="0"/>
              <w:bidi w:val="0"/>
              <w:spacing w:line="400" w:lineRule="exact"/>
              <w:ind w:firstLine="464" w:firstLineChars="200"/>
              <w:jc w:val="both"/>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4"/>
                <w:sz w:val="24"/>
                <w:szCs w:val="24"/>
                <w:highlight w:val="none"/>
                <w:lang w:val="en-US" w:eastAsia="zh-CN"/>
              </w:rPr>
              <w:t>投标人自2021年1月1日以来具有类似业绩的，每有一项得5分，最多得10分。</w:t>
            </w:r>
          </w:p>
          <w:p w14:paraId="4EA87AB6">
            <w:pPr>
              <w:keepNext w:val="0"/>
              <w:keepLines w:val="0"/>
              <w:pageBreakBefore w:val="0"/>
              <w:widowControl/>
              <w:wordWrap/>
              <w:overflowPunct/>
              <w:topLinePunct w:val="0"/>
              <w:autoSpaceDE w:val="0"/>
              <w:autoSpaceDN w:val="0"/>
              <w:bidi w:val="0"/>
              <w:spacing w:line="400" w:lineRule="exact"/>
              <w:jc w:val="both"/>
              <w:rPr>
                <w:rFonts w:hint="default" w:ascii="宋体" w:hAnsi="宋体" w:eastAsia="宋体" w:cs="宋体"/>
                <w:color w:val="auto"/>
                <w:spacing w:val="-4"/>
                <w:sz w:val="24"/>
                <w:szCs w:val="24"/>
                <w:highlight w:val="none"/>
                <w:lang w:val="en-US" w:eastAsia="zh-CN"/>
              </w:rPr>
            </w:pPr>
            <w:r>
              <w:rPr>
                <w:rFonts w:hint="eastAsia" w:ascii="宋体" w:hAnsi="宋体" w:eastAsia="宋体" w:cs="宋体"/>
                <w:b/>
                <w:bCs/>
                <w:color w:val="auto"/>
                <w:spacing w:val="-4"/>
                <w:sz w:val="24"/>
                <w:szCs w:val="24"/>
                <w:highlight w:val="none"/>
                <w:lang w:val="en-US" w:eastAsia="zh-CN"/>
              </w:rPr>
              <w:t>备注：投标文件中提供合同扫描件并加盖公章，时间以合同签订时间为准</w:t>
            </w:r>
          </w:p>
        </w:tc>
      </w:tr>
    </w:tbl>
    <w:p w14:paraId="0B8CA8F9">
      <w:pPr>
        <w:spacing w:line="89" w:lineRule="auto"/>
        <w:rPr>
          <w:color w:val="auto"/>
          <w:sz w:val="2"/>
          <w:highlight w:val="none"/>
          <w:lang w:eastAsia="zh-CN"/>
        </w:rPr>
      </w:pPr>
    </w:p>
    <w:p w14:paraId="5B51F519">
      <w:pPr>
        <w:spacing w:line="89" w:lineRule="auto"/>
        <w:rPr>
          <w:color w:val="auto"/>
          <w:sz w:val="2"/>
          <w:highlight w:val="none"/>
          <w:lang w:eastAsia="zh-CN"/>
        </w:rPr>
      </w:pPr>
    </w:p>
    <w:p w14:paraId="3FF4254A">
      <w:pPr>
        <w:spacing w:line="89" w:lineRule="auto"/>
        <w:rPr>
          <w:color w:val="auto"/>
          <w:sz w:val="2"/>
          <w:highlight w:val="none"/>
          <w:lang w:eastAsia="zh-CN"/>
        </w:rPr>
      </w:pPr>
    </w:p>
    <w:p w14:paraId="49DDC2E5">
      <w:pPr>
        <w:spacing w:line="89" w:lineRule="auto"/>
        <w:rPr>
          <w:color w:val="auto"/>
          <w:sz w:val="2"/>
          <w:highlight w:val="none"/>
          <w:lang w:eastAsia="zh-CN"/>
        </w:rPr>
      </w:pPr>
    </w:p>
    <w:p w14:paraId="50A266C0">
      <w:pPr>
        <w:spacing w:line="89" w:lineRule="auto"/>
        <w:rPr>
          <w:color w:val="auto"/>
          <w:sz w:val="2"/>
          <w:highlight w:val="none"/>
          <w:lang w:eastAsia="zh-CN"/>
        </w:rPr>
      </w:pPr>
    </w:p>
    <w:p w14:paraId="5FCAD190">
      <w:pPr>
        <w:spacing w:before="78" w:line="220" w:lineRule="auto"/>
        <w:outlineLvl w:val="1"/>
        <w:rPr>
          <w:rFonts w:ascii="宋体" w:hAnsi="宋体" w:eastAsia="宋体" w:cs="宋体"/>
          <w:color w:val="auto"/>
          <w:sz w:val="24"/>
          <w:szCs w:val="24"/>
          <w:highlight w:val="none"/>
          <w:lang w:eastAsia="zh-CN"/>
        </w:rPr>
      </w:pPr>
      <w:bookmarkStart w:id="85" w:name="_Toc10643"/>
      <w:r>
        <w:rPr>
          <w:rFonts w:ascii="宋体" w:hAnsi="宋体" w:eastAsia="宋体" w:cs="宋体"/>
          <w:b/>
          <w:bCs/>
          <w:color w:val="auto"/>
          <w:spacing w:val="-4"/>
          <w:sz w:val="24"/>
          <w:szCs w:val="24"/>
          <w:highlight w:val="none"/>
          <w:lang w:eastAsia="zh-CN"/>
        </w:rPr>
        <w:t>1.</w:t>
      </w:r>
      <w:r>
        <w:rPr>
          <w:rFonts w:ascii="宋体" w:hAnsi="宋体" w:eastAsia="宋体" w:cs="宋体"/>
          <w:color w:val="auto"/>
          <w:spacing w:val="-4"/>
          <w:sz w:val="24"/>
          <w:szCs w:val="24"/>
          <w:highlight w:val="none"/>
          <w:lang w:eastAsia="zh-CN"/>
        </w:rPr>
        <w:t xml:space="preserve"> </w:t>
      </w:r>
      <w:r>
        <w:rPr>
          <w:rFonts w:ascii="宋体" w:hAnsi="宋体" w:eastAsia="宋体" w:cs="宋体"/>
          <w:b/>
          <w:bCs/>
          <w:color w:val="auto"/>
          <w:spacing w:val="-4"/>
          <w:sz w:val="24"/>
          <w:szCs w:val="24"/>
          <w:highlight w:val="none"/>
          <w:lang w:eastAsia="zh-CN"/>
        </w:rPr>
        <w:t>评标准则和评标方法</w:t>
      </w:r>
      <w:bookmarkEnd w:id="85"/>
    </w:p>
    <w:p w14:paraId="2E8F3B69">
      <w:pPr>
        <w:spacing w:before="193" w:line="219" w:lineRule="auto"/>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1.1 评标过程将遵循“公平、公正、科学、择优</w:t>
      </w:r>
      <w:r>
        <w:rPr>
          <w:rFonts w:ascii="宋体" w:hAnsi="宋体" w:eastAsia="宋体" w:cs="宋体"/>
          <w:color w:val="auto"/>
          <w:spacing w:val="-89"/>
          <w:sz w:val="24"/>
          <w:szCs w:val="24"/>
          <w:highlight w:val="none"/>
          <w:lang w:eastAsia="zh-CN"/>
        </w:rPr>
        <w:t xml:space="preserve"> </w:t>
      </w:r>
      <w:r>
        <w:rPr>
          <w:rFonts w:ascii="宋体" w:hAnsi="宋体" w:eastAsia="宋体" w:cs="宋体"/>
          <w:color w:val="auto"/>
          <w:spacing w:val="-2"/>
          <w:sz w:val="24"/>
          <w:szCs w:val="24"/>
          <w:highlight w:val="none"/>
          <w:lang w:eastAsia="zh-CN"/>
        </w:rPr>
        <w:t>”的原则进行。</w:t>
      </w:r>
    </w:p>
    <w:p w14:paraId="3E9E23F4">
      <w:pPr>
        <w:spacing w:before="196" w:line="219" w:lineRule="auto"/>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1.2 评标将严格按照招标文件的要求和</w:t>
      </w:r>
      <w:r>
        <w:rPr>
          <w:rFonts w:ascii="宋体" w:hAnsi="宋体" w:eastAsia="宋体" w:cs="宋体"/>
          <w:color w:val="auto"/>
          <w:spacing w:val="-2"/>
          <w:sz w:val="24"/>
          <w:szCs w:val="24"/>
          <w:highlight w:val="none"/>
          <w:lang w:eastAsia="zh-CN"/>
        </w:rPr>
        <w:t>条件进行。</w:t>
      </w:r>
    </w:p>
    <w:p w14:paraId="204F6133">
      <w:pPr>
        <w:spacing w:before="194" w:line="219" w:lineRule="auto"/>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1.3 本次评标采用综合评分法。</w:t>
      </w:r>
    </w:p>
    <w:p w14:paraId="2F1DDA9C">
      <w:pPr>
        <w:spacing w:before="195" w:line="220" w:lineRule="auto"/>
        <w:outlineLvl w:val="1"/>
        <w:rPr>
          <w:rFonts w:ascii="宋体" w:hAnsi="宋体" w:eastAsia="宋体" w:cs="宋体"/>
          <w:color w:val="auto"/>
          <w:sz w:val="24"/>
          <w:szCs w:val="24"/>
          <w:highlight w:val="none"/>
          <w:lang w:eastAsia="zh-CN"/>
        </w:rPr>
      </w:pPr>
      <w:bookmarkStart w:id="86" w:name="_Toc1070"/>
      <w:r>
        <w:rPr>
          <w:rFonts w:ascii="宋体" w:hAnsi="宋体" w:eastAsia="宋体" w:cs="宋体"/>
          <w:b/>
          <w:bCs/>
          <w:color w:val="auto"/>
          <w:spacing w:val="-5"/>
          <w:sz w:val="24"/>
          <w:szCs w:val="24"/>
          <w:highlight w:val="none"/>
          <w:lang w:eastAsia="zh-CN"/>
        </w:rPr>
        <w:t>2.评审标准</w:t>
      </w:r>
      <w:bookmarkEnd w:id="86"/>
    </w:p>
    <w:p w14:paraId="79BF1ED2">
      <w:pPr>
        <w:spacing w:before="193" w:line="219" w:lineRule="auto"/>
        <w:outlineLvl w:val="2"/>
        <w:rPr>
          <w:rFonts w:ascii="宋体" w:hAnsi="宋体" w:eastAsia="宋体" w:cs="宋体"/>
          <w:color w:val="auto"/>
          <w:sz w:val="24"/>
          <w:szCs w:val="24"/>
          <w:highlight w:val="none"/>
          <w:lang w:eastAsia="zh-CN"/>
        </w:rPr>
      </w:pPr>
      <w:bookmarkStart w:id="87" w:name="_Toc7419"/>
      <w:r>
        <w:rPr>
          <w:rFonts w:ascii="宋体" w:hAnsi="宋体" w:eastAsia="宋体" w:cs="宋体"/>
          <w:color w:val="auto"/>
          <w:spacing w:val="-1"/>
          <w:sz w:val="24"/>
          <w:szCs w:val="24"/>
          <w:highlight w:val="none"/>
          <w:lang w:eastAsia="zh-CN"/>
        </w:rPr>
        <w:t>2.1 资格评审标准：详见《评分办法前附表》中资格评审标准。</w:t>
      </w:r>
      <w:bookmarkEnd w:id="87"/>
    </w:p>
    <w:p w14:paraId="7D8E478C">
      <w:pPr>
        <w:spacing w:before="197" w:line="294" w:lineRule="auto"/>
        <w:ind w:right="568"/>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2.2 详细评审标准：详见《评分办法前附表》报价部分、技术部分、综合</w:t>
      </w:r>
      <w:r>
        <w:rPr>
          <w:rFonts w:ascii="宋体" w:hAnsi="宋体" w:eastAsia="宋体" w:cs="宋体"/>
          <w:color w:val="auto"/>
          <w:spacing w:val="-3"/>
          <w:sz w:val="24"/>
          <w:szCs w:val="24"/>
          <w:highlight w:val="none"/>
          <w:lang w:eastAsia="zh-CN"/>
        </w:rPr>
        <w:t>部分评审因</w:t>
      </w:r>
      <w:r>
        <w:rPr>
          <w:rFonts w:ascii="宋体" w:hAnsi="宋体" w:eastAsia="宋体" w:cs="宋体"/>
          <w:color w:val="auto"/>
          <w:spacing w:val="-7"/>
          <w:sz w:val="24"/>
          <w:szCs w:val="24"/>
          <w:highlight w:val="none"/>
          <w:lang w:eastAsia="zh-CN"/>
        </w:rPr>
        <w:t>素。</w:t>
      </w:r>
    </w:p>
    <w:p w14:paraId="69C0C305">
      <w:pPr>
        <w:spacing w:before="187" w:line="220" w:lineRule="auto"/>
        <w:ind w:left="18"/>
        <w:outlineLvl w:val="1"/>
        <w:rPr>
          <w:rFonts w:ascii="宋体" w:hAnsi="宋体" w:eastAsia="宋体" w:cs="宋体"/>
          <w:color w:val="auto"/>
          <w:sz w:val="24"/>
          <w:szCs w:val="24"/>
          <w:highlight w:val="none"/>
          <w:lang w:eastAsia="zh-CN"/>
        </w:rPr>
      </w:pPr>
      <w:bookmarkStart w:id="88" w:name="_Toc20007"/>
      <w:r>
        <w:rPr>
          <w:rFonts w:hint="eastAsia" w:ascii="宋体" w:hAnsi="宋体" w:eastAsia="宋体" w:cs="宋体"/>
          <w:b/>
          <w:bCs/>
          <w:color w:val="auto"/>
          <w:spacing w:val="-8"/>
          <w:sz w:val="24"/>
          <w:szCs w:val="24"/>
          <w:highlight w:val="none"/>
          <w:lang w:eastAsia="zh-CN"/>
        </w:rPr>
        <w:t>3</w:t>
      </w:r>
      <w:r>
        <w:rPr>
          <w:rFonts w:ascii="宋体" w:hAnsi="宋体" w:eastAsia="宋体" w:cs="宋体"/>
          <w:b/>
          <w:bCs/>
          <w:color w:val="auto"/>
          <w:spacing w:val="-8"/>
          <w:sz w:val="24"/>
          <w:szCs w:val="24"/>
          <w:highlight w:val="none"/>
          <w:lang w:eastAsia="zh-CN"/>
        </w:rPr>
        <w:t>.</w:t>
      </w:r>
      <w:r>
        <w:rPr>
          <w:rFonts w:ascii="宋体" w:hAnsi="宋体" w:eastAsia="宋体" w:cs="宋体"/>
          <w:color w:val="auto"/>
          <w:spacing w:val="-51"/>
          <w:sz w:val="24"/>
          <w:szCs w:val="24"/>
          <w:highlight w:val="none"/>
          <w:lang w:eastAsia="zh-CN"/>
        </w:rPr>
        <w:t xml:space="preserve"> </w:t>
      </w:r>
      <w:r>
        <w:rPr>
          <w:rFonts w:ascii="宋体" w:hAnsi="宋体" w:eastAsia="宋体" w:cs="宋体"/>
          <w:b/>
          <w:bCs/>
          <w:color w:val="auto"/>
          <w:spacing w:val="-8"/>
          <w:sz w:val="24"/>
          <w:szCs w:val="24"/>
          <w:highlight w:val="none"/>
          <w:lang w:eastAsia="zh-CN"/>
        </w:rPr>
        <w:t>评标程序</w:t>
      </w:r>
      <w:bookmarkEnd w:id="88"/>
    </w:p>
    <w:p w14:paraId="1261B63B">
      <w:pPr>
        <w:spacing w:before="194" w:line="219" w:lineRule="auto"/>
        <w:ind w:left="5"/>
        <w:outlineLvl w:val="2"/>
        <w:rPr>
          <w:rFonts w:ascii="宋体" w:hAnsi="宋体" w:eastAsia="宋体" w:cs="宋体"/>
          <w:color w:val="auto"/>
          <w:sz w:val="24"/>
          <w:szCs w:val="24"/>
          <w:highlight w:val="none"/>
          <w:lang w:eastAsia="zh-CN"/>
        </w:rPr>
      </w:pPr>
      <w:bookmarkStart w:id="89" w:name="_Toc10136"/>
      <w:r>
        <w:rPr>
          <w:rFonts w:ascii="宋体" w:hAnsi="宋体" w:eastAsia="宋体" w:cs="宋体"/>
          <w:b/>
          <w:bCs/>
          <w:color w:val="auto"/>
          <w:spacing w:val="-6"/>
          <w:sz w:val="24"/>
          <w:szCs w:val="24"/>
          <w:highlight w:val="none"/>
          <w:lang w:eastAsia="zh-CN"/>
        </w:rPr>
        <w:t>3.1</w:t>
      </w:r>
      <w:r>
        <w:rPr>
          <w:rFonts w:ascii="宋体" w:hAnsi="宋体" w:eastAsia="宋体" w:cs="宋体"/>
          <w:color w:val="auto"/>
          <w:spacing w:val="-49"/>
          <w:sz w:val="24"/>
          <w:szCs w:val="24"/>
          <w:highlight w:val="none"/>
          <w:lang w:eastAsia="zh-CN"/>
        </w:rPr>
        <w:t xml:space="preserve"> </w:t>
      </w:r>
      <w:r>
        <w:rPr>
          <w:rFonts w:ascii="宋体" w:hAnsi="宋体" w:eastAsia="宋体" w:cs="宋体"/>
          <w:b/>
          <w:bCs/>
          <w:color w:val="auto"/>
          <w:spacing w:val="-6"/>
          <w:sz w:val="24"/>
          <w:szCs w:val="24"/>
          <w:highlight w:val="none"/>
          <w:lang w:eastAsia="zh-CN"/>
        </w:rPr>
        <w:t>初步评审</w:t>
      </w:r>
      <w:bookmarkEnd w:id="89"/>
    </w:p>
    <w:p w14:paraId="0222503E">
      <w:pPr>
        <w:spacing w:before="195" w:line="319" w:lineRule="auto"/>
        <w:ind w:firstLine="5"/>
        <w:rPr>
          <w:rFonts w:ascii="宋体" w:hAnsi="宋体" w:eastAsia="宋体" w:cs="宋体"/>
          <w:color w:val="auto"/>
          <w:sz w:val="24"/>
          <w:szCs w:val="24"/>
          <w:highlight w:val="none"/>
          <w:lang w:eastAsia="zh-CN"/>
        </w:rPr>
      </w:pPr>
      <w:r>
        <w:rPr>
          <w:rFonts w:ascii="宋体" w:hAnsi="宋体" w:eastAsia="宋体" w:cs="宋体"/>
          <w:color w:val="auto"/>
          <w:spacing w:val="-7"/>
          <w:sz w:val="24"/>
          <w:szCs w:val="24"/>
          <w:highlight w:val="none"/>
          <w:lang w:eastAsia="zh-CN"/>
        </w:rPr>
        <w:t>3.1.1 采购人或代理机构可以要求</w:t>
      </w:r>
      <w:r>
        <w:rPr>
          <w:rFonts w:hint="eastAsia" w:ascii="宋体" w:hAnsi="宋体" w:eastAsia="宋体" w:cs="宋体"/>
          <w:color w:val="auto"/>
          <w:spacing w:val="-7"/>
          <w:sz w:val="24"/>
          <w:szCs w:val="24"/>
          <w:highlight w:val="none"/>
          <w:lang w:eastAsia="zh-CN"/>
        </w:rPr>
        <w:t>投标人</w:t>
      </w:r>
      <w:r>
        <w:rPr>
          <w:rFonts w:ascii="宋体" w:hAnsi="宋体" w:eastAsia="宋体" w:cs="宋体"/>
          <w:color w:val="auto"/>
          <w:spacing w:val="-7"/>
          <w:sz w:val="24"/>
          <w:szCs w:val="24"/>
          <w:highlight w:val="none"/>
          <w:lang w:eastAsia="zh-CN"/>
        </w:rPr>
        <w:t>提交第二章“</w:t>
      </w:r>
      <w:r>
        <w:rPr>
          <w:rFonts w:hint="eastAsia" w:ascii="宋体" w:hAnsi="宋体" w:eastAsia="宋体" w:cs="宋体"/>
          <w:color w:val="auto"/>
          <w:spacing w:val="-7"/>
          <w:sz w:val="24"/>
          <w:szCs w:val="24"/>
          <w:highlight w:val="none"/>
          <w:lang w:eastAsia="zh-CN"/>
        </w:rPr>
        <w:t>投标人</w:t>
      </w:r>
      <w:r>
        <w:rPr>
          <w:rFonts w:ascii="宋体" w:hAnsi="宋体" w:eastAsia="宋体" w:cs="宋体"/>
          <w:color w:val="auto"/>
          <w:spacing w:val="-7"/>
          <w:sz w:val="24"/>
          <w:szCs w:val="24"/>
          <w:highlight w:val="none"/>
          <w:lang w:eastAsia="zh-CN"/>
        </w:rPr>
        <w:t>须知</w:t>
      </w:r>
      <w:r>
        <w:rPr>
          <w:rFonts w:ascii="宋体" w:hAnsi="宋体" w:eastAsia="宋体" w:cs="宋体"/>
          <w:color w:val="auto"/>
          <w:spacing w:val="-78"/>
          <w:sz w:val="24"/>
          <w:szCs w:val="24"/>
          <w:highlight w:val="none"/>
          <w:lang w:eastAsia="zh-CN"/>
        </w:rPr>
        <w:t xml:space="preserve"> </w:t>
      </w:r>
      <w:r>
        <w:rPr>
          <w:rFonts w:ascii="宋体" w:hAnsi="宋体" w:eastAsia="宋体" w:cs="宋体"/>
          <w:color w:val="auto"/>
          <w:spacing w:val="-7"/>
          <w:sz w:val="24"/>
          <w:szCs w:val="24"/>
          <w:highlight w:val="none"/>
          <w:lang w:eastAsia="zh-CN"/>
        </w:rPr>
        <w:t>”规定的有关证明。</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采购人或代理机构依据本章第</w:t>
      </w:r>
      <w:r>
        <w:rPr>
          <w:rFonts w:ascii="宋体" w:hAnsi="宋体" w:eastAsia="宋体" w:cs="宋体"/>
          <w:color w:val="auto"/>
          <w:spacing w:val="-36"/>
          <w:sz w:val="24"/>
          <w:szCs w:val="24"/>
          <w:highlight w:val="none"/>
          <w:lang w:eastAsia="zh-CN"/>
        </w:rPr>
        <w:t xml:space="preserve"> </w:t>
      </w:r>
      <w:r>
        <w:rPr>
          <w:rFonts w:ascii="宋体" w:hAnsi="宋体" w:eastAsia="宋体" w:cs="宋体"/>
          <w:color w:val="auto"/>
          <w:spacing w:val="-3"/>
          <w:sz w:val="24"/>
          <w:szCs w:val="24"/>
          <w:highlight w:val="none"/>
          <w:lang w:eastAsia="zh-CN"/>
        </w:rPr>
        <w:t>2.1</w:t>
      </w:r>
      <w:r>
        <w:rPr>
          <w:rFonts w:ascii="宋体" w:hAnsi="宋体" w:eastAsia="宋体" w:cs="宋体"/>
          <w:color w:val="auto"/>
          <w:spacing w:val="-50"/>
          <w:sz w:val="24"/>
          <w:szCs w:val="24"/>
          <w:highlight w:val="none"/>
          <w:lang w:eastAsia="zh-CN"/>
        </w:rPr>
        <w:t xml:space="preserve"> </w:t>
      </w:r>
      <w:r>
        <w:rPr>
          <w:rFonts w:ascii="宋体" w:hAnsi="宋体" w:eastAsia="宋体" w:cs="宋体"/>
          <w:color w:val="auto"/>
          <w:spacing w:val="-3"/>
          <w:sz w:val="24"/>
          <w:szCs w:val="24"/>
          <w:highlight w:val="none"/>
          <w:lang w:eastAsia="zh-CN"/>
        </w:rPr>
        <w:t>款规定的标准对投标文件进行资格评审。有一项不</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符合资格评审标准的，作无效投标处理。</w:t>
      </w:r>
    </w:p>
    <w:p w14:paraId="78223D28">
      <w:pPr>
        <w:spacing w:before="195" w:line="219" w:lineRule="auto"/>
        <w:jc w:val="right"/>
        <w:rPr>
          <w:rFonts w:ascii="宋体" w:hAnsi="宋体" w:eastAsia="宋体" w:cs="宋体"/>
          <w:color w:val="auto"/>
          <w:sz w:val="24"/>
          <w:szCs w:val="24"/>
          <w:highlight w:val="none"/>
          <w:lang w:eastAsia="zh-CN"/>
        </w:rPr>
      </w:pPr>
      <w:r>
        <w:rPr>
          <w:rFonts w:ascii="宋体" w:hAnsi="宋体" w:eastAsia="宋体" w:cs="宋体"/>
          <w:color w:val="auto"/>
          <w:spacing w:val="-6"/>
          <w:sz w:val="24"/>
          <w:szCs w:val="24"/>
          <w:highlight w:val="none"/>
          <w:lang w:eastAsia="zh-CN"/>
        </w:rPr>
        <w:t>3.1.2 投标文件属下列情况之一的，应当在</w:t>
      </w:r>
      <w:r>
        <w:rPr>
          <w:rFonts w:ascii="宋体" w:hAnsi="宋体" w:eastAsia="宋体" w:cs="宋体"/>
          <w:color w:val="auto"/>
          <w:spacing w:val="-7"/>
          <w:sz w:val="24"/>
          <w:szCs w:val="24"/>
          <w:highlight w:val="none"/>
          <w:lang w:eastAsia="zh-CN"/>
        </w:rPr>
        <w:t>资格性、符合性检查时按照无效投标处理：</w:t>
      </w:r>
    </w:p>
    <w:p w14:paraId="2AB21AE9">
      <w:pPr>
        <w:spacing w:before="194" w:line="219" w:lineRule="auto"/>
        <w:ind w:left="1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（1）未按照招标文件规定要求签署、盖章的；</w:t>
      </w:r>
    </w:p>
    <w:p w14:paraId="468B20AE">
      <w:pPr>
        <w:spacing w:before="196" w:line="219" w:lineRule="auto"/>
        <w:ind w:left="1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（2）不具备招标文件中规定资格要求的；</w:t>
      </w:r>
    </w:p>
    <w:p w14:paraId="4F795243">
      <w:pPr>
        <w:spacing w:before="195" w:line="219" w:lineRule="auto"/>
        <w:ind w:left="1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（3）不符合法律、法规和招标文件中规定的其他实质性要求的。</w:t>
      </w:r>
    </w:p>
    <w:p w14:paraId="2B5001AB">
      <w:pPr>
        <w:spacing w:before="194" w:line="321" w:lineRule="auto"/>
        <w:ind w:left="1" w:right="80" w:firstLine="3"/>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3.1.3 投标报价有算数错误的，评标委员会按以下原则对投标报价进行修</w:t>
      </w:r>
      <w:r>
        <w:rPr>
          <w:rFonts w:ascii="宋体" w:hAnsi="宋体" w:eastAsia="宋体" w:cs="宋体"/>
          <w:color w:val="auto"/>
          <w:spacing w:val="-3"/>
          <w:sz w:val="24"/>
          <w:szCs w:val="24"/>
          <w:highlight w:val="none"/>
          <w:lang w:eastAsia="zh-CN"/>
        </w:rPr>
        <w:t>正，修正的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价格经</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书面确认后具有约束力。</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不接受修正价格的，其</w:t>
      </w:r>
      <w:r>
        <w:rPr>
          <w:rFonts w:ascii="宋体" w:hAnsi="宋体" w:eastAsia="宋体" w:cs="宋体"/>
          <w:color w:val="auto"/>
          <w:spacing w:val="-3"/>
          <w:sz w:val="24"/>
          <w:szCs w:val="24"/>
          <w:highlight w:val="none"/>
          <w:lang w:eastAsia="zh-CN"/>
        </w:rPr>
        <w:t>投标作无效投标</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4"/>
          <w:sz w:val="24"/>
          <w:szCs w:val="24"/>
          <w:highlight w:val="none"/>
          <w:lang w:eastAsia="zh-CN"/>
        </w:rPr>
        <w:t>处理。</w:t>
      </w:r>
    </w:p>
    <w:p w14:paraId="19990311">
      <w:pPr>
        <w:spacing w:before="190" w:line="219" w:lineRule="auto"/>
        <w:ind w:left="1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（1）投标文件中的大写金额与小写金额不一致的，以大写金额为准；</w:t>
      </w:r>
    </w:p>
    <w:p w14:paraId="6CF85713">
      <w:pPr>
        <w:spacing w:before="195" w:line="295" w:lineRule="auto"/>
        <w:ind w:left="3" w:right="130" w:firstLine="8"/>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（2）投标文件中开标一览表内容与投标文件中明细表内容不一致的，以开标一览表</w:t>
      </w:r>
      <w:r>
        <w:rPr>
          <w:rFonts w:ascii="宋体" w:hAnsi="宋体" w:eastAsia="宋体" w:cs="宋体"/>
          <w:color w:val="auto"/>
          <w:spacing w:val="15"/>
          <w:sz w:val="24"/>
          <w:szCs w:val="24"/>
          <w:highlight w:val="none"/>
          <w:lang w:eastAsia="zh-CN"/>
        </w:rPr>
        <w:t xml:space="preserve"> </w:t>
      </w:r>
      <w:r>
        <w:rPr>
          <w:rFonts w:ascii="宋体" w:hAnsi="宋体" w:eastAsia="宋体" w:cs="宋体"/>
          <w:color w:val="auto"/>
          <w:spacing w:val="-5"/>
          <w:sz w:val="24"/>
          <w:szCs w:val="24"/>
          <w:highlight w:val="none"/>
          <w:lang w:eastAsia="zh-CN"/>
        </w:rPr>
        <w:t>为准。</w:t>
      </w:r>
    </w:p>
    <w:p w14:paraId="1EC4D75F">
      <w:pPr>
        <w:spacing w:before="193" w:line="220" w:lineRule="auto"/>
        <w:ind w:left="5"/>
        <w:outlineLvl w:val="2"/>
        <w:rPr>
          <w:rFonts w:ascii="宋体" w:hAnsi="宋体" w:eastAsia="宋体" w:cs="宋体"/>
          <w:color w:val="auto"/>
          <w:sz w:val="24"/>
          <w:szCs w:val="24"/>
          <w:highlight w:val="none"/>
          <w:lang w:eastAsia="zh-CN"/>
        </w:rPr>
      </w:pPr>
      <w:bookmarkStart w:id="90" w:name="_Toc30041"/>
      <w:r>
        <w:rPr>
          <w:rFonts w:ascii="宋体" w:hAnsi="宋体" w:eastAsia="宋体" w:cs="宋体"/>
          <w:b/>
          <w:bCs/>
          <w:color w:val="auto"/>
          <w:spacing w:val="-6"/>
          <w:sz w:val="24"/>
          <w:szCs w:val="24"/>
          <w:highlight w:val="none"/>
          <w:lang w:eastAsia="zh-CN"/>
        </w:rPr>
        <w:t>3.2</w:t>
      </w:r>
      <w:r>
        <w:rPr>
          <w:rFonts w:ascii="宋体" w:hAnsi="宋体" w:eastAsia="宋体" w:cs="宋体"/>
          <w:color w:val="auto"/>
          <w:spacing w:val="13"/>
          <w:sz w:val="24"/>
          <w:szCs w:val="24"/>
          <w:highlight w:val="none"/>
          <w:lang w:eastAsia="zh-CN"/>
        </w:rPr>
        <w:t xml:space="preserve"> </w:t>
      </w:r>
      <w:r>
        <w:rPr>
          <w:rFonts w:ascii="宋体" w:hAnsi="宋体" w:eastAsia="宋体" w:cs="宋体"/>
          <w:b/>
          <w:bCs/>
          <w:color w:val="auto"/>
          <w:spacing w:val="-6"/>
          <w:sz w:val="24"/>
          <w:szCs w:val="24"/>
          <w:highlight w:val="none"/>
          <w:lang w:eastAsia="zh-CN"/>
        </w:rPr>
        <w:t>详细评审</w:t>
      </w:r>
      <w:bookmarkEnd w:id="90"/>
    </w:p>
    <w:p w14:paraId="52B63766">
      <w:pPr>
        <w:spacing w:before="193" w:line="219" w:lineRule="auto"/>
        <w:ind w:left="5"/>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3.2.1 评标委员会按本章的评分标准</w:t>
      </w:r>
      <w:r>
        <w:rPr>
          <w:rFonts w:ascii="宋体" w:hAnsi="宋体" w:eastAsia="宋体" w:cs="宋体"/>
          <w:color w:val="auto"/>
          <w:spacing w:val="-1"/>
          <w:sz w:val="24"/>
          <w:szCs w:val="24"/>
          <w:highlight w:val="none"/>
          <w:lang w:eastAsia="zh-CN"/>
        </w:rPr>
        <w:t>进行打分，并计算出综合评审得分。</w:t>
      </w:r>
    </w:p>
    <w:p w14:paraId="1235E301">
      <w:pPr>
        <w:spacing w:before="197" w:line="294" w:lineRule="auto"/>
        <w:ind w:right="80" w:firstLine="4"/>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3.2.2 评标委员会发现</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的投标总报价高于招标文件规定的控制价，</w:t>
      </w:r>
      <w:r>
        <w:rPr>
          <w:rFonts w:ascii="宋体" w:hAnsi="宋体" w:eastAsia="宋体" w:cs="宋体"/>
          <w:color w:val="auto"/>
          <w:spacing w:val="-3"/>
          <w:sz w:val="24"/>
          <w:szCs w:val="24"/>
          <w:highlight w:val="none"/>
          <w:lang w:eastAsia="zh-CN"/>
        </w:rPr>
        <w:t>评标委员会</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应按无效投标处理。</w:t>
      </w:r>
    </w:p>
    <w:p w14:paraId="0743C8BC">
      <w:pPr>
        <w:spacing w:before="195" w:line="219" w:lineRule="auto"/>
        <w:ind w:left="5"/>
        <w:outlineLvl w:val="2"/>
        <w:rPr>
          <w:rFonts w:ascii="宋体" w:hAnsi="宋体" w:eastAsia="宋体" w:cs="宋体"/>
          <w:color w:val="auto"/>
          <w:sz w:val="24"/>
          <w:szCs w:val="24"/>
          <w:highlight w:val="none"/>
          <w:lang w:eastAsia="zh-CN"/>
        </w:rPr>
      </w:pPr>
      <w:bookmarkStart w:id="91" w:name="_Toc23302"/>
      <w:r>
        <w:rPr>
          <w:rFonts w:ascii="宋体" w:hAnsi="宋体" w:eastAsia="宋体" w:cs="宋体"/>
          <w:b/>
          <w:bCs/>
          <w:color w:val="auto"/>
          <w:spacing w:val="-3"/>
          <w:sz w:val="24"/>
          <w:szCs w:val="24"/>
          <w:highlight w:val="none"/>
          <w:lang w:eastAsia="zh-CN"/>
        </w:rPr>
        <w:t>3.3</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投标文件的澄清和补正</w:t>
      </w:r>
      <w:bookmarkEnd w:id="91"/>
    </w:p>
    <w:p w14:paraId="31D659C3">
      <w:pPr>
        <w:spacing w:before="195" w:line="294" w:lineRule="auto"/>
        <w:ind w:right="80" w:firstLine="4"/>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3.3.1 在评标过程中，评标委员会可以书面形式要求</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对所提交投标</w:t>
      </w:r>
      <w:r>
        <w:rPr>
          <w:rFonts w:ascii="宋体" w:hAnsi="宋体" w:eastAsia="宋体" w:cs="宋体"/>
          <w:color w:val="auto"/>
          <w:spacing w:val="-3"/>
          <w:sz w:val="24"/>
          <w:szCs w:val="24"/>
          <w:highlight w:val="none"/>
          <w:lang w:eastAsia="zh-CN"/>
        </w:rPr>
        <w:t>文件中不明</w:t>
      </w:r>
      <w:r>
        <w:rPr>
          <w:rFonts w:ascii="宋体" w:hAnsi="宋体" w:eastAsia="宋体" w:cs="宋体"/>
          <w:color w:val="auto"/>
          <w:spacing w:val="-1"/>
          <w:sz w:val="24"/>
          <w:szCs w:val="24"/>
          <w:highlight w:val="none"/>
          <w:lang w:eastAsia="zh-CN"/>
        </w:rPr>
        <w:t>确的内容进行书面澄清或说明，或者对细微偏差进行补正。</w:t>
      </w:r>
    </w:p>
    <w:p w14:paraId="3F2302AC">
      <w:pPr>
        <w:spacing w:before="195" w:line="294" w:lineRule="auto"/>
        <w:ind w:left="3" w:firstLine="1"/>
        <w:rPr>
          <w:rFonts w:ascii="宋体" w:hAnsi="宋体" w:eastAsia="宋体" w:cs="宋体"/>
          <w:color w:val="auto"/>
          <w:sz w:val="24"/>
          <w:szCs w:val="24"/>
          <w:highlight w:val="none"/>
          <w:lang w:eastAsia="zh-CN"/>
        </w:rPr>
      </w:pPr>
      <w:r>
        <w:rPr>
          <w:rFonts w:ascii="宋体" w:hAnsi="宋体" w:eastAsia="宋体" w:cs="宋体"/>
          <w:color w:val="auto"/>
          <w:spacing w:val="-6"/>
          <w:sz w:val="24"/>
          <w:szCs w:val="24"/>
          <w:highlight w:val="none"/>
          <w:lang w:eastAsia="zh-CN"/>
        </w:rPr>
        <w:t>3.3.2 澄清、说明和补正不得改变投标文件的实质性内容（算术性错误修正的除外）。</w:t>
      </w:r>
      <w:r>
        <w:rPr>
          <w:rFonts w:ascii="宋体" w:hAnsi="宋体" w:eastAsia="宋体" w:cs="宋体"/>
          <w:color w:val="auto"/>
          <w:spacing w:val="1"/>
          <w:sz w:val="24"/>
          <w:szCs w:val="24"/>
          <w:highlight w:val="none"/>
          <w:lang w:eastAsia="zh-CN"/>
        </w:rPr>
        <w:t xml:space="preserve">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的书面澄清、说明和补正属于投标文件的组成部分。</w:t>
      </w:r>
    </w:p>
    <w:p w14:paraId="639F3EF9">
      <w:pPr>
        <w:spacing w:before="196" w:line="220" w:lineRule="auto"/>
        <w:ind w:left="5"/>
        <w:outlineLvl w:val="2"/>
        <w:rPr>
          <w:rFonts w:ascii="宋体" w:hAnsi="宋体" w:eastAsia="宋体" w:cs="宋体"/>
          <w:color w:val="auto"/>
          <w:sz w:val="24"/>
          <w:szCs w:val="24"/>
          <w:highlight w:val="none"/>
          <w:lang w:eastAsia="zh-CN"/>
        </w:rPr>
      </w:pPr>
      <w:bookmarkStart w:id="92" w:name="_Toc26018"/>
      <w:r>
        <w:rPr>
          <w:rFonts w:ascii="宋体" w:hAnsi="宋体" w:eastAsia="宋体" w:cs="宋体"/>
          <w:b/>
          <w:bCs/>
          <w:color w:val="auto"/>
          <w:spacing w:val="-4"/>
          <w:sz w:val="24"/>
          <w:szCs w:val="24"/>
          <w:highlight w:val="none"/>
          <w:lang w:eastAsia="zh-CN"/>
        </w:rPr>
        <w:t>3.4</w:t>
      </w:r>
      <w:r>
        <w:rPr>
          <w:rFonts w:ascii="宋体" w:hAnsi="宋体" w:eastAsia="宋体" w:cs="宋体"/>
          <w:color w:val="auto"/>
          <w:spacing w:val="-4"/>
          <w:sz w:val="24"/>
          <w:szCs w:val="24"/>
          <w:highlight w:val="none"/>
          <w:lang w:eastAsia="zh-CN"/>
        </w:rPr>
        <w:t xml:space="preserve"> </w:t>
      </w:r>
      <w:r>
        <w:rPr>
          <w:rFonts w:ascii="宋体" w:hAnsi="宋体" w:eastAsia="宋体" w:cs="宋体"/>
          <w:b/>
          <w:bCs/>
          <w:color w:val="auto"/>
          <w:spacing w:val="-4"/>
          <w:sz w:val="24"/>
          <w:szCs w:val="24"/>
          <w:highlight w:val="none"/>
          <w:lang w:eastAsia="zh-CN"/>
        </w:rPr>
        <w:t>评标结果</w:t>
      </w:r>
      <w:bookmarkEnd w:id="92"/>
    </w:p>
    <w:p w14:paraId="41AD1CBA">
      <w:pPr>
        <w:spacing w:before="194" w:line="218" w:lineRule="auto"/>
        <w:ind w:left="5"/>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 xml:space="preserve">3.4.1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得分=投标报价得分+技术部分得分+综合部分得分。</w:t>
      </w:r>
    </w:p>
    <w:p w14:paraId="653A8D5F">
      <w:pPr>
        <w:spacing w:before="197" w:line="294" w:lineRule="auto"/>
        <w:ind w:left="2" w:right="80" w:firstLine="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3.4.2</w:t>
      </w:r>
      <w:r>
        <w:rPr>
          <w:rFonts w:ascii="宋体" w:hAnsi="宋体" w:eastAsia="宋体" w:cs="宋体"/>
          <w:color w:val="auto"/>
          <w:spacing w:val="-46"/>
          <w:sz w:val="24"/>
          <w:szCs w:val="24"/>
          <w:highlight w:val="none"/>
          <w:lang w:eastAsia="zh-CN"/>
        </w:rPr>
        <w:t xml:space="preserve">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最终得分为评标委员会完成评审后所有评分的算术平均值，作为该投标</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人最终得分。</w:t>
      </w:r>
    </w:p>
    <w:p w14:paraId="587B8914">
      <w:pPr>
        <w:spacing w:before="195" w:line="218" w:lineRule="auto"/>
        <w:ind w:left="5"/>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 xml:space="preserve">3.4.3 </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最终得分相同的，投标报价低的优先，投标报价也相同的以</w:t>
      </w:r>
      <w:r>
        <w:rPr>
          <w:rFonts w:ascii="宋体" w:hAnsi="宋体" w:eastAsia="宋体" w:cs="宋体"/>
          <w:color w:val="auto"/>
          <w:spacing w:val="-3"/>
          <w:sz w:val="24"/>
          <w:szCs w:val="24"/>
          <w:highlight w:val="none"/>
          <w:lang w:eastAsia="zh-CN"/>
        </w:rPr>
        <w:t>技术得分高</w:t>
      </w:r>
    </w:p>
    <w:p w14:paraId="4E880027">
      <w:pPr>
        <w:spacing w:before="186" w:line="219" w:lineRule="auto"/>
        <w:ind w:left="18"/>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的优先，技术得分也相同的由采购人自行确定。</w:t>
      </w:r>
    </w:p>
    <w:p w14:paraId="7A4811B9">
      <w:pPr>
        <w:spacing w:before="196" w:line="219" w:lineRule="auto"/>
        <w:ind w:left="3"/>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3.4.4 计分过程中按四舍五入的法则，最终结果取至小数点后两位。</w:t>
      </w:r>
    </w:p>
    <w:p w14:paraId="57CB7F20">
      <w:pPr>
        <w:spacing w:before="194" w:line="219" w:lineRule="auto"/>
        <w:ind w:left="3"/>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3.4.5 评标委员会按照得分由高到低的顺序推荐</w:t>
      </w:r>
      <w:r>
        <w:rPr>
          <w:rFonts w:ascii="宋体" w:hAnsi="宋体" w:eastAsia="宋体" w:cs="宋体"/>
          <w:color w:val="auto"/>
          <w:spacing w:val="-20"/>
          <w:sz w:val="24"/>
          <w:szCs w:val="24"/>
          <w:highlight w:val="none"/>
          <w:lang w:eastAsia="zh-CN"/>
        </w:rPr>
        <w:t xml:space="preserve"> </w:t>
      </w:r>
      <w:r>
        <w:rPr>
          <w:rFonts w:ascii="宋体" w:hAnsi="宋体" w:eastAsia="宋体" w:cs="宋体"/>
          <w:color w:val="auto"/>
          <w:spacing w:val="-2"/>
          <w:sz w:val="24"/>
          <w:szCs w:val="24"/>
          <w:highlight w:val="none"/>
          <w:lang w:eastAsia="zh-CN"/>
        </w:rPr>
        <w:t>3</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2"/>
          <w:sz w:val="24"/>
          <w:szCs w:val="24"/>
          <w:highlight w:val="none"/>
          <w:lang w:eastAsia="zh-CN"/>
        </w:rPr>
        <w:t>名中标候选人。</w:t>
      </w:r>
    </w:p>
    <w:p w14:paraId="7C7C00AF">
      <w:pPr>
        <w:spacing w:before="195" w:line="218" w:lineRule="auto"/>
        <w:ind w:left="3"/>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3.4.6 评标委员会完成评标后，应当向采购人提交书面评标报告。</w:t>
      </w:r>
    </w:p>
    <w:p w14:paraId="748E58AF">
      <w:pPr>
        <w:spacing w:before="197" w:line="220" w:lineRule="auto"/>
        <w:ind w:left="3"/>
        <w:outlineLvl w:val="2"/>
        <w:rPr>
          <w:rFonts w:ascii="宋体" w:hAnsi="宋体" w:eastAsia="宋体" w:cs="宋体"/>
          <w:color w:val="auto"/>
          <w:sz w:val="24"/>
          <w:szCs w:val="24"/>
          <w:highlight w:val="none"/>
          <w:lang w:eastAsia="zh-CN"/>
        </w:rPr>
      </w:pPr>
      <w:bookmarkStart w:id="93" w:name="_Toc22937"/>
      <w:r>
        <w:rPr>
          <w:rFonts w:ascii="宋体" w:hAnsi="宋体" w:eastAsia="宋体" w:cs="宋体"/>
          <w:b/>
          <w:bCs/>
          <w:color w:val="auto"/>
          <w:spacing w:val="-3"/>
          <w:sz w:val="24"/>
          <w:szCs w:val="24"/>
          <w:highlight w:val="none"/>
          <w:lang w:eastAsia="zh-CN"/>
        </w:rPr>
        <w:t>3.5</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顺延中标人或重新招标</w:t>
      </w:r>
      <w:bookmarkEnd w:id="93"/>
    </w:p>
    <w:p w14:paraId="00CEEE30">
      <w:pPr>
        <w:spacing w:before="192" w:line="356" w:lineRule="auto"/>
        <w:ind w:left="2" w:firstLine="498"/>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中标人因不可抗力不能履行政府采购合同的，采购人可以与排位在中标人之后第</w:t>
      </w:r>
      <w:r>
        <w:rPr>
          <w:rFonts w:ascii="宋体" w:hAnsi="宋体" w:eastAsia="宋体" w:cs="宋体"/>
          <w:color w:val="auto"/>
          <w:spacing w:val="2"/>
          <w:sz w:val="24"/>
          <w:szCs w:val="24"/>
          <w:highlight w:val="none"/>
          <w:lang w:eastAsia="zh-CN"/>
        </w:rPr>
        <w:t xml:space="preserve"> </w:t>
      </w:r>
      <w:r>
        <w:rPr>
          <w:rFonts w:ascii="宋体" w:hAnsi="宋体" w:eastAsia="宋体" w:cs="宋体"/>
          <w:color w:val="auto"/>
          <w:spacing w:val="-1"/>
          <w:sz w:val="24"/>
          <w:szCs w:val="24"/>
          <w:highlight w:val="none"/>
          <w:lang w:eastAsia="zh-CN"/>
        </w:rPr>
        <w:t>一位的中标候选人签订政府采购合同，或者重新采购。</w:t>
      </w:r>
    </w:p>
    <w:p w14:paraId="6FCE3A82">
      <w:pPr>
        <w:spacing w:before="36" w:line="220" w:lineRule="auto"/>
        <w:ind w:left="3"/>
        <w:outlineLvl w:val="2"/>
        <w:rPr>
          <w:rFonts w:ascii="宋体" w:hAnsi="宋体" w:eastAsia="宋体" w:cs="宋体"/>
          <w:color w:val="auto"/>
          <w:sz w:val="24"/>
          <w:szCs w:val="24"/>
          <w:highlight w:val="none"/>
          <w:lang w:eastAsia="zh-CN"/>
        </w:rPr>
      </w:pPr>
      <w:bookmarkStart w:id="94" w:name="_Toc11844"/>
      <w:r>
        <w:rPr>
          <w:rFonts w:ascii="宋体" w:hAnsi="宋体" w:eastAsia="宋体" w:cs="宋体"/>
          <w:b/>
          <w:bCs/>
          <w:color w:val="auto"/>
          <w:spacing w:val="-3"/>
          <w:sz w:val="24"/>
          <w:szCs w:val="24"/>
          <w:highlight w:val="none"/>
          <w:lang w:eastAsia="zh-CN"/>
        </w:rPr>
        <w:t>3.6</w:t>
      </w:r>
      <w:r>
        <w:rPr>
          <w:rFonts w:ascii="宋体" w:hAnsi="宋体" w:eastAsia="宋体" w:cs="宋体"/>
          <w:color w:val="auto"/>
          <w:spacing w:val="-3"/>
          <w:sz w:val="24"/>
          <w:szCs w:val="24"/>
          <w:highlight w:val="none"/>
          <w:lang w:eastAsia="zh-CN"/>
        </w:rPr>
        <w:t xml:space="preserve"> </w:t>
      </w:r>
      <w:r>
        <w:rPr>
          <w:rFonts w:ascii="宋体" w:hAnsi="宋体" w:eastAsia="宋体" w:cs="宋体"/>
          <w:b/>
          <w:bCs/>
          <w:color w:val="auto"/>
          <w:spacing w:val="-3"/>
          <w:sz w:val="24"/>
          <w:szCs w:val="24"/>
          <w:highlight w:val="none"/>
          <w:lang w:eastAsia="zh-CN"/>
        </w:rPr>
        <w:t>保密及其他注意事项</w:t>
      </w:r>
      <w:bookmarkEnd w:id="94"/>
    </w:p>
    <w:p w14:paraId="0C355B71">
      <w:pPr>
        <w:spacing w:before="193" w:line="295" w:lineRule="auto"/>
        <w:ind w:left="10" w:hanging="7"/>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3.6.1 在评标期间，投标企业不得向评标委员会成员询问评标情况，不得</w:t>
      </w:r>
      <w:r>
        <w:rPr>
          <w:rFonts w:ascii="宋体" w:hAnsi="宋体" w:eastAsia="宋体" w:cs="宋体"/>
          <w:color w:val="auto"/>
          <w:spacing w:val="-3"/>
          <w:sz w:val="24"/>
          <w:szCs w:val="24"/>
          <w:highlight w:val="none"/>
          <w:lang w:eastAsia="zh-CN"/>
        </w:rPr>
        <w:t>进行旨在影</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响中标结果的活动。</w:t>
      </w:r>
    </w:p>
    <w:p w14:paraId="46FEBC0C">
      <w:pPr>
        <w:spacing w:before="194" w:line="294" w:lineRule="auto"/>
        <w:ind w:firstLine="3"/>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3.6.2 在评标结束后，凡与评标情况有接触的任何人不得也不应将评标情</w:t>
      </w:r>
      <w:r>
        <w:rPr>
          <w:rFonts w:ascii="宋体" w:hAnsi="宋体" w:eastAsia="宋体" w:cs="宋体"/>
          <w:color w:val="auto"/>
          <w:spacing w:val="-3"/>
          <w:sz w:val="24"/>
          <w:szCs w:val="24"/>
          <w:highlight w:val="none"/>
          <w:lang w:eastAsia="zh-CN"/>
        </w:rPr>
        <w:t>况扩散出评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标委员会成员之外。</w:t>
      </w:r>
    </w:p>
    <w:p w14:paraId="60EF5A62">
      <w:pPr>
        <w:spacing w:before="195" w:line="219" w:lineRule="auto"/>
        <w:ind w:left="3"/>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3.6.3</w:t>
      </w:r>
      <w:r>
        <w:rPr>
          <w:rFonts w:ascii="宋体" w:hAnsi="宋体" w:eastAsia="宋体" w:cs="宋体"/>
          <w:color w:val="auto"/>
          <w:spacing w:val="-45"/>
          <w:sz w:val="24"/>
          <w:szCs w:val="24"/>
          <w:highlight w:val="none"/>
          <w:lang w:eastAsia="zh-CN"/>
        </w:rPr>
        <w:t xml:space="preserve"> </w:t>
      </w:r>
      <w:r>
        <w:rPr>
          <w:rFonts w:ascii="宋体" w:hAnsi="宋体" w:eastAsia="宋体" w:cs="宋体"/>
          <w:color w:val="auto"/>
          <w:spacing w:val="-1"/>
          <w:sz w:val="24"/>
          <w:szCs w:val="24"/>
          <w:highlight w:val="none"/>
          <w:lang w:eastAsia="zh-CN"/>
        </w:rPr>
        <w:t>招标代理机构不向落标方解释落标原因，不退还投标文件。</w:t>
      </w:r>
    </w:p>
    <w:p w14:paraId="599DAC26">
      <w:pPr>
        <w:spacing w:line="219" w:lineRule="auto"/>
        <w:rPr>
          <w:rFonts w:ascii="宋体" w:hAnsi="宋体" w:eastAsia="宋体" w:cs="宋体"/>
          <w:color w:val="auto"/>
          <w:sz w:val="24"/>
          <w:szCs w:val="24"/>
          <w:highlight w:val="none"/>
          <w:lang w:eastAsia="zh-CN"/>
        </w:rPr>
        <w:sectPr>
          <w:footerReference r:id="rId15" w:type="default"/>
          <w:pgSz w:w="11907" w:h="16840"/>
          <w:pgMar w:top="1431" w:right="1519" w:bottom="1139" w:left="1587" w:header="0" w:footer="977" w:gutter="0"/>
          <w:cols w:space="720" w:num="1"/>
        </w:sectPr>
      </w:pPr>
    </w:p>
    <w:p w14:paraId="6901B242">
      <w:pPr>
        <w:spacing w:before="136" w:line="224" w:lineRule="auto"/>
        <w:ind w:left="1735"/>
        <w:outlineLvl w:val="0"/>
        <w:rPr>
          <w:rFonts w:ascii="宋体" w:hAnsi="宋体" w:eastAsia="宋体" w:cs="宋体"/>
          <w:color w:val="auto"/>
          <w:sz w:val="31"/>
          <w:szCs w:val="31"/>
          <w:highlight w:val="none"/>
          <w:lang w:eastAsia="zh-CN"/>
        </w:rPr>
      </w:pPr>
      <w:bookmarkStart w:id="95" w:name="_Toc6847"/>
      <w:r>
        <w:rPr>
          <w:rFonts w:ascii="宋体" w:hAnsi="宋体" w:eastAsia="宋体" w:cs="宋体"/>
          <w:b/>
          <w:bCs/>
          <w:color w:val="auto"/>
          <w:spacing w:val="6"/>
          <w:sz w:val="31"/>
          <w:szCs w:val="31"/>
          <w:highlight w:val="none"/>
          <w:lang w:eastAsia="zh-CN"/>
        </w:rPr>
        <w:t>第四章</w:t>
      </w:r>
      <w:r>
        <w:rPr>
          <w:rFonts w:ascii="宋体" w:hAnsi="宋体" w:eastAsia="宋体" w:cs="宋体"/>
          <w:color w:val="auto"/>
          <w:spacing w:val="6"/>
          <w:sz w:val="31"/>
          <w:szCs w:val="31"/>
          <w:highlight w:val="none"/>
          <w:lang w:eastAsia="zh-CN"/>
        </w:rPr>
        <w:t xml:space="preserve"> </w:t>
      </w:r>
      <w:r>
        <w:rPr>
          <w:rFonts w:ascii="宋体" w:hAnsi="宋体" w:eastAsia="宋体" w:cs="宋体"/>
          <w:b/>
          <w:bCs/>
          <w:color w:val="auto"/>
          <w:spacing w:val="6"/>
          <w:sz w:val="31"/>
          <w:szCs w:val="31"/>
          <w:highlight w:val="none"/>
          <w:lang w:eastAsia="zh-CN"/>
        </w:rPr>
        <w:t>合同条款及格式</w:t>
      </w:r>
      <w:r>
        <w:rPr>
          <w:rFonts w:ascii="宋体" w:hAnsi="宋体" w:eastAsia="宋体" w:cs="宋体"/>
          <w:color w:val="auto"/>
          <w:spacing w:val="6"/>
          <w:sz w:val="31"/>
          <w:szCs w:val="31"/>
          <w:highlight w:val="none"/>
          <w:lang w:eastAsia="zh-CN"/>
        </w:rPr>
        <w:t xml:space="preserve"> </w:t>
      </w:r>
      <w:r>
        <w:rPr>
          <w:rFonts w:ascii="宋体" w:hAnsi="宋体" w:eastAsia="宋体" w:cs="宋体"/>
          <w:b/>
          <w:bCs/>
          <w:color w:val="auto"/>
          <w:spacing w:val="6"/>
          <w:sz w:val="31"/>
          <w:szCs w:val="31"/>
          <w:highlight w:val="none"/>
          <w:lang w:eastAsia="zh-CN"/>
        </w:rPr>
        <w:t>（仅供参考）</w:t>
      </w:r>
      <w:bookmarkEnd w:id="95"/>
    </w:p>
    <w:p w14:paraId="561E1545">
      <w:pPr>
        <w:pStyle w:val="5"/>
        <w:spacing w:line="438" w:lineRule="auto"/>
        <w:rPr>
          <w:color w:val="auto"/>
          <w:highlight w:val="none"/>
          <w:lang w:eastAsia="zh-CN"/>
        </w:rPr>
      </w:pPr>
    </w:p>
    <w:p w14:paraId="2BC3F387">
      <w:pPr>
        <w:spacing w:before="78" w:line="219" w:lineRule="auto"/>
        <w:ind w:left="568"/>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甲方</w:t>
      </w:r>
      <w:r>
        <w:rPr>
          <w:rFonts w:ascii="宋体" w:hAnsi="宋体" w:eastAsia="宋体" w:cs="宋体"/>
          <w:color w:val="auto"/>
          <w:spacing w:val="-18"/>
          <w:sz w:val="24"/>
          <w:szCs w:val="24"/>
          <w:highlight w:val="none"/>
          <w:lang w:eastAsia="zh-CN"/>
        </w:rPr>
        <w:t>：（</w:t>
      </w:r>
      <w:r>
        <w:rPr>
          <w:rFonts w:ascii="宋体" w:hAnsi="宋体" w:eastAsia="宋体" w:cs="宋体"/>
          <w:color w:val="auto"/>
          <w:spacing w:val="-1"/>
          <w:sz w:val="24"/>
          <w:szCs w:val="24"/>
          <w:highlight w:val="none"/>
          <w:lang w:eastAsia="zh-CN"/>
        </w:rPr>
        <w:t>采购单位）</w:t>
      </w:r>
    </w:p>
    <w:p w14:paraId="0345F06D">
      <w:pPr>
        <w:spacing w:before="216" w:line="219" w:lineRule="auto"/>
        <w:ind w:left="560"/>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乙方</w:t>
      </w:r>
      <w:r>
        <w:rPr>
          <w:rFonts w:ascii="宋体" w:hAnsi="宋体" w:eastAsia="宋体" w:cs="宋体"/>
          <w:color w:val="auto"/>
          <w:spacing w:val="-17"/>
          <w:sz w:val="24"/>
          <w:szCs w:val="24"/>
          <w:highlight w:val="none"/>
          <w:lang w:eastAsia="zh-CN"/>
        </w:rPr>
        <w:t>：（</w:t>
      </w:r>
      <w:r>
        <w:rPr>
          <w:rFonts w:hint="eastAsia" w:ascii="宋体" w:hAnsi="宋体" w:eastAsia="宋体" w:cs="宋体"/>
          <w:color w:val="auto"/>
          <w:sz w:val="24"/>
          <w:szCs w:val="24"/>
          <w:highlight w:val="none"/>
          <w:lang w:eastAsia="zh-CN"/>
        </w:rPr>
        <w:t>投标人</w:t>
      </w:r>
      <w:r>
        <w:rPr>
          <w:rFonts w:ascii="宋体" w:hAnsi="宋体" w:eastAsia="宋体" w:cs="宋体"/>
          <w:color w:val="auto"/>
          <w:sz w:val="24"/>
          <w:szCs w:val="24"/>
          <w:highlight w:val="none"/>
          <w:lang w:eastAsia="zh-CN"/>
        </w:rPr>
        <w:t xml:space="preserve"> ）</w:t>
      </w:r>
    </w:p>
    <w:p w14:paraId="13ABFEB7">
      <w:pPr>
        <w:spacing w:before="215" w:line="370" w:lineRule="auto"/>
        <w:ind w:left="57" w:right="18" w:firstLine="510"/>
        <w:rPr>
          <w:rFonts w:ascii="宋体" w:hAnsi="宋体" w:eastAsia="宋体" w:cs="宋体"/>
          <w:color w:val="auto"/>
          <w:sz w:val="24"/>
          <w:szCs w:val="24"/>
          <w:highlight w:val="none"/>
          <w:lang w:eastAsia="zh-CN"/>
        </w:rPr>
      </w:pPr>
      <w:r>
        <w:rPr>
          <w:rFonts w:ascii="宋体" w:hAnsi="宋体" w:eastAsia="宋体" w:cs="宋体"/>
          <w:color w:val="auto"/>
          <w:spacing w:val="-7"/>
          <w:sz w:val="24"/>
          <w:szCs w:val="24"/>
          <w:highlight w:val="none"/>
          <w:lang w:eastAsia="zh-CN"/>
        </w:rPr>
        <w:t>甲、乙双方持采购人、采购代理公司签发的</w:t>
      </w:r>
      <w:r>
        <w:rPr>
          <w:rFonts w:ascii="宋体" w:hAnsi="宋体" w:eastAsia="宋体" w:cs="宋体"/>
          <w:color w:val="auto"/>
          <w:spacing w:val="-7"/>
          <w:sz w:val="24"/>
          <w:szCs w:val="24"/>
          <w:highlight w:val="none"/>
          <w:u w:val="single"/>
          <w:lang w:eastAsia="zh-CN"/>
        </w:rPr>
        <w:t xml:space="preserve">              </w:t>
      </w:r>
      <w:r>
        <w:rPr>
          <w:rFonts w:ascii="宋体" w:hAnsi="宋体" w:eastAsia="宋体" w:cs="宋体"/>
          <w:color w:val="auto"/>
          <w:spacing w:val="-109"/>
          <w:sz w:val="24"/>
          <w:szCs w:val="24"/>
          <w:highlight w:val="none"/>
          <w:lang w:eastAsia="zh-CN"/>
        </w:rPr>
        <w:t xml:space="preserve"> </w:t>
      </w:r>
      <w:r>
        <w:rPr>
          <w:rFonts w:ascii="宋体" w:hAnsi="宋体" w:eastAsia="宋体" w:cs="宋体"/>
          <w:color w:val="auto"/>
          <w:spacing w:val="-7"/>
          <w:sz w:val="24"/>
          <w:szCs w:val="24"/>
          <w:highlight w:val="none"/>
          <w:lang w:eastAsia="zh-CN"/>
        </w:rPr>
        <w:t>采购项目成交通知书，</w:t>
      </w:r>
      <w:r>
        <w:rPr>
          <w:rFonts w:ascii="宋体" w:hAnsi="宋体" w:eastAsia="宋体" w:cs="宋体"/>
          <w:color w:val="auto"/>
          <w:sz w:val="24"/>
          <w:szCs w:val="24"/>
          <w:highlight w:val="none"/>
          <w:lang w:eastAsia="zh-CN"/>
        </w:rPr>
        <w:t xml:space="preserve"> 根据采购文件、响应性文件的内容，并经双方协商一</w:t>
      </w:r>
      <w:r>
        <w:rPr>
          <w:rFonts w:ascii="宋体" w:hAnsi="宋体" w:eastAsia="宋体" w:cs="宋体"/>
          <w:color w:val="auto"/>
          <w:spacing w:val="-1"/>
          <w:sz w:val="24"/>
          <w:szCs w:val="24"/>
          <w:highlight w:val="none"/>
          <w:lang w:eastAsia="zh-CN"/>
        </w:rPr>
        <w:t>致，达成以下合同条款：</w:t>
      </w:r>
    </w:p>
    <w:p w14:paraId="61AEDBE5">
      <w:pPr>
        <w:spacing w:before="38" w:line="301" w:lineRule="auto"/>
        <w:ind w:left="59" w:right="80" w:firstLine="481"/>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一、本合同所指货物为此次采购的货物（注明品</w:t>
      </w:r>
      <w:r>
        <w:rPr>
          <w:rFonts w:ascii="宋体" w:hAnsi="宋体" w:eastAsia="宋体" w:cs="宋体"/>
          <w:color w:val="auto"/>
          <w:spacing w:val="-3"/>
          <w:sz w:val="24"/>
          <w:szCs w:val="24"/>
          <w:highlight w:val="none"/>
          <w:lang w:eastAsia="zh-CN"/>
        </w:rPr>
        <w:t>名、规格、数量、单价等技术要</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求</w:t>
      </w:r>
      <w:r>
        <w:rPr>
          <w:rFonts w:ascii="宋体" w:hAnsi="宋体" w:eastAsia="宋体" w:cs="宋体"/>
          <w:color w:val="auto"/>
          <w:spacing w:val="5"/>
          <w:sz w:val="24"/>
          <w:szCs w:val="24"/>
          <w:highlight w:val="none"/>
          <w:lang w:eastAsia="zh-CN"/>
        </w:rPr>
        <w:t>），</w:t>
      </w:r>
      <w:r>
        <w:rPr>
          <w:rFonts w:ascii="宋体" w:hAnsi="宋体" w:eastAsia="宋体" w:cs="宋体"/>
          <w:color w:val="auto"/>
          <w:spacing w:val="-1"/>
          <w:sz w:val="24"/>
          <w:szCs w:val="24"/>
          <w:highlight w:val="none"/>
          <w:lang w:eastAsia="zh-CN"/>
        </w:rPr>
        <w:t xml:space="preserve">合同总价款为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08"/>
          <w:sz w:val="24"/>
          <w:szCs w:val="24"/>
          <w:highlight w:val="none"/>
          <w:lang w:eastAsia="zh-CN"/>
        </w:rPr>
        <w:t xml:space="preserve"> </w:t>
      </w:r>
      <w:r>
        <w:rPr>
          <w:rFonts w:ascii="宋体" w:hAnsi="宋体" w:eastAsia="宋体" w:cs="宋体"/>
          <w:color w:val="auto"/>
          <w:spacing w:val="-1"/>
          <w:sz w:val="24"/>
          <w:szCs w:val="24"/>
          <w:highlight w:val="none"/>
          <w:lang w:eastAsia="zh-CN"/>
        </w:rPr>
        <w:t>元（大写）</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2"/>
          <w:sz w:val="24"/>
          <w:szCs w:val="24"/>
          <w:highlight w:val="none"/>
          <w:lang w:eastAsia="zh-CN"/>
        </w:rPr>
        <w:t xml:space="preserve">  。</w:t>
      </w:r>
    </w:p>
    <w:p w14:paraId="67D7CB7F">
      <w:pPr>
        <w:spacing w:before="215" w:line="219" w:lineRule="auto"/>
        <w:ind w:left="540"/>
        <w:outlineLvl w:val="1"/>
        <w:rPr>
          <w:rFonts w:ascii="宋体" w:hAnsi="宋体" w:eastAsia="宋体" w:cs="宋体"/>
          <w:color w:val="auto"/>
          <w:sz w:val="24"/>
          <w:szCs w:val="24"/>
          <w:highlight w:val="none"/>
          <w:lang w:eastAsia="zh-CN"/>
        </w:rPr>
      </w:pPr>
      <w:bookmarkStart w:id="96" w:name="_Toc24904"/>
      <w:r>
        <w:rPr>
          <w:rFonts w:ascii="宋体" w:hAnsi="宋体" w:eastAsia="宋体" w:cs="宋体"/>
          <w:color w:val="auto"/>
          <w:spacing w:val="-1"/>
          <w:sz w:val="24"/>
          <w:szCs w:val="24"/>
          <w:highlight w:val="none"/>
          <w:lang w:eastAsia="zh-CN"/>
        </w:rPr>
        <w:t>二、货物质量要求及乙方对质量负责条件和期限：</w:t>
      </w:r>
      <w:bookmarkEnd w:id="96"/>
    </w:p>
    <w:p w14:paraId="7ABC4F04">
      <w:pPr>
        <w:spacing w:before="217" w:line="371" w:lineRule="auto"/>
        <w:ind w:left="59" w:right="80" w:firstLine="501"/>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乙方提供的货物达到乙方响应文件及澄清中的技术标准。（售后服务要求按采购</w:t>
      </w:r>
      <w:r>
        <w:rPr>
          <w:rFonts w:ascii="宋体" w:hAnsi="宋体" w:eastAsia="宋体" w:cs="宋体"/>
          <w:color w:val="auto"/>
          <w:spacing w:val="1"/>
          <w:sz w:val="24"/>
          <w:szCs w:val="24"/>
          <w:highlight w:val="none"/>
          <w:lang w:eastAsia="zh-CN"/>
        </w:rPr>
        <w:t xml:space="preserve"> </w:t>
      </w:r>
      <w:r>
        <w:rPr>
          <w:rFonts w:ascii="宋体" w:hAnsi="宋体" w:eastAsia="宋体" w:cs="宋体"/>
          <w:color w:val="auto"/>
          <w:spacing w:val="-1"/>
          <w:sz w:val="24"/>
          <w:szCs w:val="24"/>
          <w:highlight w:val="none"/>
          <w:lang w:eastAsia="zh-CN"/>
        </w:rPr>
        <w:t>文件及响应性文件相应条款制订）</w:t>
      </w:r>
    </w:p>
    <w:p w14:paraId="4B40BDD4">
      <w:pPr>
        <w:spacing w:before="34" w:line="219" w:lineRule="auto"/>
        <w:ind w:left="537"/>
        <w:outlineLvl w:val="1"/>
        <w:rPr>
          <w:rFonts w:ascii="宋体" w:hAnsi="宋体" w:eastAsia="宋体" w:cs="宋体"/>
          <w:color w:val="auto"/>
          <w:sz w:val="24"/>
          <w:szCs w:val="24"/>
          <w:highlight w:val="none"/>
          <w:lang w:eastAsia="zh-CN"/>
        </w:rPr>
      </w:pPr>
      <w:bookmarkStart w:id="97" w:name="_Toc18282"/>
      <w:r>
        <w:rPr>
          <w:rFonts w:ascii="宋体" w:hAnsi="宋体" w:eastAsia="宋体" w:cs="宋体"/>
          <w:color w:val="auto"/>
          <w:spacing w:val="-1"/>
          <w:sz w:val="24"/>
          <w:szCs w:val="24"/>
          <w:highlight w:val="none"/>
          <w:lang w:eastAsia="zh-CN"/>
        </w:rPr>
        <w:t>三、交货时间、地点、方式、验收：</w:t>
      </w:r>
      <w:bookmarkEnd w:id="97"/>
    </w:p>
    <w:p w14:paraId="7510E0E4">
      <w:pPr>
        <w:spacing w:before="218" w:line="370" w:lineRule="auto"/>
        <w:ind w:left="56" w:right="80" w:firstLine="504"/>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乙方应于</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4"/>
          <w:sz w:val="24"/>
          <w:szCs w:val="24"/>
          <w:highlight w:val="none"/>
          <w:lang w:eastAsia="zh-CN"/>
        </w:rPr>
        <w:t>20</w:t>
      </w:r>
      <w:r>
        <w:rPr>
          <w:rFonts w:hint="eastAsia" w:ascii="宋体" w:hAnsi="宋体" w:eastAsia="宋体" w:cs="宋体"/>
          <w:color w:val="auto"/>
          <w:spacing w:val="-4"/>
          <w:sz w:val="24"/>
          <w:szCs w:val="24"/>
          <w:highlight w:val="none"/>
          <w:lang w:val="en-US" w:eastAsia="zh-CN"/>
        </w:rPr>
        <w:t>24</w:t>
      </w:r>
      <w:r>
        <w:rPr>
          <w:rFonts w:ascii="宋体" w:hAnsi="宋体" w:eastAsia="宋体" w:cs="宋体"/>
          <w:color w:val="auto"/>
          <w:spacing w:val="-50"/>
          <w:sz w:val="24"/>
          <w:szCs w:val="24"/>
          <w:highlight w:val="none"/>
          <w:lang w:eastAsia="zh-CN"/>
        </w:rPr>
        <w:t xml:space="preserve"> </w:t>
      </w:r>
      <w:r>
        <w:rPr>
          <w:rFonts w:ascii="宋体" w:hAnsi="宋体" w:eastAsia="宋体" w:cs="宋体"/>
          <w:color w:val="auto"/>
          <w:spacing w:val="-4"/>
          <w:sz w:val="24"/>
          <w:szCs w:val="24"/>
          <w:highlight w:val="none"/>
          <w:lang w:eastAsia="zh-CN"/>
        </w:rPr>
        <w:t>年 月</w:t>
      </w:r>
      <w:r>
        <w:rPr>
          <w:rFonts w:ascii="宋体" w:hAnsi="宋体" w:eastAsia="宋体" w:cs="宋体"/>
          <w:color w:val="auto"/>
          <w:spacing w:val="51"/>
          <w:sz w:val="24"/>
          <w:szCs w:val="24"/>
          <w:highlight w:val="none"/>
          <w:lang w:eastAsia="zh-CN"/>
        </w:rPr>
        <w:t xml:space="preserve"> </w:t>
      </w:r>
      <w:r>
        <w:rPr>
          <w:rFonts w:ascii="宋体" w:hAnsi="宋体" w:eastAsia="宋体" w:cs="宋体"/>
          <w:color w:val="auto"/>
          <w:spacing w:val="-4"/>
          <w:sz w:val="24"/>
          <w:szCs w:val="24"/>
          <w:highlight w:val="none"/>
          <w:lang w:eastAsia="zh-CN"/>
        </w:rPr>
        <w:t>日前按甲方要求在</w:t>
      </w:r>
      <w:r>
        <w:rPr>
          <w:rFonts w:ascii="宋体" w:hAnsi="宋体" w:eastAsia="宋体" w:cs="宋体"/>
          <w:color w:val="auto"/>
          <w:spacing w:val="-4"/>
          <w:sz w:val="24"/>
          <w:szCs w:val="24"/>
          <w:highlight w:val="none"/>
          <w:u w:val="single"/>
          <w:lang w:eastAsia="zh-CN"/>
        </w:rPr>
        <w:t xml:space="preserve">         </w:t>
      </w:r>
      <w:r>
        <w:rPr>
          <w:rFonts w:ascii="宋体" w:hAnsi="宋体" w:eastAsia="宋体" w:cs="宋体"/>
          <w:color w:val="auto"/>
          <w:spacing w:val="-5"/>
          <w:sz w:val="24"/>
          <w:szCs w:val="24"/>
          <w:highlight w:val="none"/>
          <w:lang w:eastAsia="zh-CN"/>
        </w:rPr>
        <w:t>（甲方指定地点）将货物运送</w:t>
      </w:r>
      <w:r>
        <w:rPr>
          <w:rFonts w:ascii="宋体" w:hAnsi="宋体" w:eastAsia="宋体" w:cs="宋体"/>
          <w:color w:val="auto"/>
          <w:sz w:val="24"/>
          <w:szCs w:val="24"/>
          <w:highlight w:val="none"/>
          <w:lang w:eastAsia="zh-CN"/>
        </w:rPr>
        <w:t xml:space="preserve"> 达到验收条件。货物运送产生的费用由乙方负责。由甲方组</w:t>
      </w:r>
      <w:r>
        <w:rPr>
          <w:rFonts w:ascii="宋体" w:hAnsi="宋体" w:eastAsia="宋体" w:cs="宋体"/>
          <w:color w:val="auto"/>
          <w:spacing w:val="-1"/>
          <w:sz w:val="24"/>
          <w:szCs w:val="24"/>
          <w:highlight w:val="none"/>
          <w:lang w:eastAsia="zh-CN"/>
        </w:rPr>
        <w:t>织相关人员进行验收。</w:t>
      </w:r>
    </w:p>
    <w:p w14:paraId="543661A1">
      <w:pPr>
        <w:spacing w:before="36" w:line="218" w:lineRule="auto"/>
        <w:ind w:left="499"/>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四、付款方式：</w:t>
      </w:r>
      <w:r>
        <w:rPr>
          <w:rFonts w:hint="eastAsia" w:ascii="宋体" w:hAnsi="宋体" w:eastAsia="宋体" w:cs="宋体"/>
          <w:color w:val="auto"/>
          <w:spacing w:val="-2"/>
          <w:sz w:val="24"/>
          <w:szCs w:val="24"/>
          <w:highlight w:val="none"/>
          <w:lang w:eastAsia="zh-CN"/>
        </w:rPr>
        <w:t>签订合同完成供货安装后支付合同价的75%，经省第三方验收合格后，支付至合同价的100%。</w:t>
      </w:r>
    </w:p>
    <w:p w14:paraId="3219631A">
      <w:pPr>
        <w:spacing w:before="218" w:line="219" w:lineRule="auto"/>
        <w:ind w:left="480"/>
        <w:outlineLvl w:val="1"/>
        <w:rPr>
          <w:rFonts w:ascii="宋体" w:hAnsi="宋体" w:eastAsia="宋体" w:cs="宋体"/>
          <w:color w:val="auto"/>
          <w:sz w:val="24"/>
          <w:szCs w:val="24"/>
          <w:highlight w:val="none"/>
          <w:lang w:eastAsia="zh-CN"/>
        </w:rPr>
      </w:pPr>
      <w:bookmarkStart w:id="98" w:name="_Toc3773"/>
      <w:r>
        <w:rPr>
          <w:rFonts w:ascii="宋体" w:hAnsi="宋体" w:eastAsia="宋体" w:cs="宋体"/>
          <w:color w:val="auto"/>
          <w:spacing w:val="-1"/>
          <w:sz w:val="24"/>
          <w:szCs w:val="24"/>
          <w:highlight w:val="none"/>
          <w:lang w:eastAsia="zh-CN"/>
        </w:rPr>
        <w:t>五、违约责任：甲方无正当理由拒收货物、拒付货款的，向乙方偿付拒收拒付部</w:t>
      </w:r>
      <w:bookmarkEnd w:id="98"/>
    </w:p>
    <w:p w14:paraId="16A7E391">
      <w:pPr>
        <w:spacing w:before="214" w:line="219" w:lineRule="auto"/>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分货物款总额的</w:t>
      </w:r>
      <w:r>
        <w:rPr>
          <w:rFonts w:ascii="宋体" w:hAnsi="宋体" w:eastAsia="宋体" w:cs="宋体"/>
          <w:color w:val="auto"/>
          <w:spacing w:val="-2"/>
          <w:sz w:val="24"/>
          <w:szCs w:val="24"/>
          <w:highlight w:val="none"/>
          <w:u w:val="single"/>
          <w:lang w:eastAsia="zh-CN"/>
        </w:rPr>
        <w:t xml:space="preserve">        </w:t>
      </w:r>
      <w:r>
        <w:rPr>
          <w:rFonts w:ascii="宋体" w:hAnsi="宋体" w:eastAsia="宋体" w:cs="宋体"/>
          <w:color w:val="auto"/>
          <w:spacing w:val="-96"/>
          <w:sz w:val="24"/>
          <w:szCs w:val="24"/>
          <w:highlight w:val="none"/>
          <w:lang w:eastAsia="zh-CN"/>
        </w:rPr>
        <w:t xml:space="preserve"> </w:t>
      </w:r>
      <w:r>
        <w:rPr>
          <w:rFonts w:ascii="宋体" w:hAnsi="宋体" w:eastAsia="宋体" w:cs="宋体"/>
          <w:color w:val="auto"/>
          <w:spacing w:val="-2"/>
          <w:sz w:val="24"/>
          <w:szCs w:val="24"/>
          <w:highlight w:val="none"/>
          <w:lang w:eastAsia="zh-CN"/>
        </w:rPr>
        <w:t>违约金。</w:t>
      </w:r>
    </w:p>
    <w:p w14:paraId="0D71AA49">
      <w:pPr>
        <w:spacing w:before="214" w:line="376" w:lineRule="auto"/>
        <w:ind w:left="62" w:right="80" w:firstLine="497"/>
        <w:jc w:val="both"/>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乙方所交货物的规格型号、技术要求、质量品质等不符合合同规定，甲方有权拒</w:t>
      </w:r>
      <w:r>
        <w:rPr>
          <w:rFonts w:ascii="宋体" w:hAnsi="宋体" w:eastAsia="宋体" w:cs="宋体"/>
          <w:color w:val="auto"/>
          <w:spacing w:val="1"/>
          <w:sz w:val="24"/>
          <w:szCs w:val="24"/>
          <w:highlight w:val="none"/>
          <w:lang w:eastAsia="zh-CN"/>
        </w:rPr>
        <w:t xml:space="preserve"> </w:t>
      </w:r>
      <w:r>
        <w:rPr>
          <w:rFonts w:ascii="宋体" w:hAnsi="宋体" w:eastAsia="宋体" w:cs="宋体"/>
          <w:color w:val="auto"/>
          <w:spacing w:val="-2"/>
          <w:sz w:val="24"/>
          <w:szCs w:val="24"/>
          <w:highlight w:val="none"/>
          <w:lang w:eastAsia="zh-CN"/>
        </w:rPr>
        <w:t>收货物，乙方应负责更换并承担因更换而支付的全部实际</w:t>
      </w:r>
      <w:r>
        <w:rPr>
          <w:rFonts w:ascii="宋体" w:hAnsi="宋体" w:eastAsia="宋体" w:cs="宋体"/>
          <w:color w:val="auto"/>
          <w:spacing w:val="-3"/>
          <w:sz w:val="24"/>
          <w:szCs w:val="24"/>
          <w:highlight w:val="none"/>
          <w:lang w:eastAsia="zh-CN"/>
        </w:rPr>
        <w:t>费用。因更换而造成逾期交</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货，则按逾期交货处理。</w:t>
      </w:r>
    </w:p>
    <w:p w14:paraId="4D564AEF">
      <w:pPr>
        <w:spacing w:before="34" w:line="219" w:lineRule="auto"/>
        <w:ind w:left="56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乙方不能交付货物的，乙方向甲方支付未交付部分货物款总</w:t>
      </w:r>
      <w:r>
        <w:rPr>
          <w:rFonts w:ascii="宋体" w:hAnsi="宋体" w:eastAsia="宋体" w:cs="宋体"/>
          <w:color w:val="auto"/>
          <w:spacing w:val="-2"/>
          <w:sz w:val="24"/>
          <w:szCs w:val="24"/>
          <w:highlight w:val="none"/>
          <w:lang w:eastAsia="zh-CN"/>
        </w:rPr>
        <w:t>额</w:t>
      </w:r>
      <w:r>
        <w:rPr>
          <w:rFonts w:ascii="宋体" w:hAnsi="宋体" w:eastAsia="宋体" w:cs="宋体"/>
          <w:color w:val="auto"/>
          <w:spacing w:val="-2"/>
          <w:sz w:val="24"/>
          <w:szCs w:val="24"/>
          <w:highlight w:val="none"/>
          <w:u w:val="single"/>
          <w:lang w:eastAsia="zh-CN"/>
        </w:rPr>
        <w:t xml:space="preserve">    </w:t>
      </w:r>
      <w:r>
        <w:rPr>
          <w:rFonts w:ascii="宋体" w:hAnsi="宋体" w:eastAsia="宋体" w:cs="宋体"/>
          <w:color w:val="auto"/>
          <w:spacing w:val="-110"/>
          <w:sz w:val="24"/>
          <w:szCs w:val="24"/>
          <w:highlight w:val="none"/>
          <w:lang w:eastAsia="zh-CN"/>
        </w:rPr>
        <w:t xml:space="preserve"> </w:t>
      </w:r>
      <w:r>
        <w:rPr>
          <w:rFonts w:ascii="宋体" w:hAnsi="宋体" w:eastAsia="宋体" w:cs="宋体"/>
          <w:color w:val="auto"/>
          <w:spacing w:val="-2"/>
          <w:sz w:val="24"/>
          <w:szCs w:val="24"/>
          <w:highlight w:val="none"/>
          <w:lang w:eastAsia="zh-CN"/>
        </w:rPr>
        <w:t>违约金。</w:t>
      </w:r>
    </w:p>
    <w:p w14:paraId="141B15B8">
      <w:pPr>
        <w:spacing w:before="217" w:line="371" w:lineRule="auto"/>
        <w:ind w:left="58" w:right="80" w:firstLine="480"/>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若因中标人原因不能按期按质供货的，将扣除中标人</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3"/>
          <w:sz w:val="24"/>
          <w:szCs w:val="24"/>
          <w:highlight w:val="none"/>
          <w:lang w:eastAsia="zh-CN"/>
        </w:rPr>
        <w:t>2</w:t>
      </w:r>
      <w:r>
        <w:rPr>
          <w:rFonts w:ascii="宋体" w:hAnsi="宋体" w:eastAsia="宋体" w:cs="宋体"/>
          <w:color w:val="auto"/>
          <w:spacing w:val="-44"/>
          <w:sz w:val="24"/>
          <w:szCs w:val="24"/>
          <w:highlight w:val="none"/>
          <w:lang w:eastAsia="zh-CN"/>
        </w:rPr>
        <w:t xml:space="preserve"> </w:t>
      </w:r>
      <w:r>
        <w:rPr>
          <w:rFonts w:ascii="宋体" w:hAnsi="宋体" w:eastAsia="宋体" w:cs="宋体"/>
          <w:color w:val="auto"/>
          <w:spacing w:val="-3"/>
          <w:sz w:val="24"/>
          <w:szCs w:val="24"/>
          <w:highlight w:val="none"/>
          <w:lang w:eastAsia="zh-CN"/>
        </w:rPr>
        <w:t>万元的违约金，</w:t>
      </w:r>
      <w:r>
        <w:rPr>
          <w:rFonts w:ascii="宋体" w:hAnsi="宋体" w:eastAsia="宋体" w:cs="宋体"/>
          <w:color w:val="auto"/>
          <w:spacing w:val="-4"/>
          <w:sz w:val="24"/>
          <w:szCs w:val="24"/>
          <w:highlight w:val="none"/>
          <w:lang w:eastAsia="zh-CN"/>
        </w:rPr>
        <w:t>同时每超</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过一天另扣除合同金额的千分之一。</w:t>
      </w:r>
    </w:p>
    <w:p w14:paraId="590DB1DB">
      <w:pPr>
        <w:spacing w:before="34" w:line="219" w:lineRule="auto"/>
        <w:jc w:val="right"/>
        <w:rPr>
          <w:rFonts w:ascii="宋体" w:hAnsi="宋体" w:eastAsia="宋体" w:cs="宋体"/>
          <w:color w:val="auto"/>
          <w:sz w:val="24"/>
          <w:szCs w:val="24"/>
          <w:highlight w:val="none"/>
          <w:lang w:eastAsia="zh-CN"/>
        </w:rPr>
      </w:pPr>
      <w:r>
        <w:rPr>
          <w:rFonts w:ascii="宋体" w:hAnsi="宋体" w:eastAsia="宋体" w:cs="宋体"/>
          <w:color w:val="auto"/>
          <w:spacing w:val="-7"/>
          <w:sz w:val="24"/>
          <w:szCs w:val="24"/>
          <w:highlight w:val="none"/>
          <w:lang w:eastAsia="zh-CN"/>
        </w:rPr>
        <w:t>六、因货物的质量问题发生争议，由甲方所在地市级技术监督单位进行质量鉴定。</w:t>
      </w:r>
    </w:p>
    <w:p w14:paraId="3FC50AF6">
      <w:pPr>
        <w:spacing w:before="217" w:line="302" w:lineRule="auto"/>
        <w:ind w:left="61" w:right="80" w:firstLine="474"/>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七、甲乙双方应严格遵守投标要求和</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须知，如有违</w:t>
      </w:r>
      <w:r>
        <w:rPr>
          <w:rFonts w:ascii="宋体" w:hAnsi="宋体" w:eastAsia="宋体" w:cs="宋体"/>
          <w:color w:val="auto"/>
          <w:spacing w:val="-3"/>
          <w:sz w:val="24"/>
          <w:szCs w:val="24"/>
          <w:highlight w:val="none"/>
          <w:lang w:eastAsia="zh-CN"/>
        </w:rPr>
        <w:t>反，按投标要求和供应</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商须知规定予以处理。</w:t>
      </w:r>
    </w:p>
    <w:p w14:paraId="71177A21">
      <w:pPr>
        <w:spacing w:before="213" w:line="219" w:lineRule="auto"/>
        <w:jc w:val="right"/>
        <w:rPr>
          <w:rFonts w:ascii="宋体" w:hAnsi="宋体" w:eastAsia="宋体" w:cs="宋体"/>
          <w:color w:val="auto"/>
          <w:sz w:val="24"/>
          <w:szCs w:val="24"/>
          <w:highlight w:val="none"/>
          <w:lang w:eastAsia="zh-CN"/>
        </w:rPr>
      </w:pPr>
      <w:r>
        <w:rPr>
          <w:rFonts w:ascii="宋体" w:hAnsi="宋体" w:eastAsia="宋体" w:cs="宋体"/>
          <w:color w:val="auto"/>
          <w:spacing w:val="-7"/>
          <w:sz w:val="24"/>
          <w:szCs w:val="24"/>
          <w:highlight w:val="none"/>
          <w:lang w:eastAsia="zh-CN"/>
        </w:rPr>
        <w:t>八、采购文件及其修改补充、投标文件及其修改补充澄清均为本合同的组成部分。</w:t>
      </w:r>
    </w:p>
    <w:p w14:paraId="49371795">
      <w:pPr>
        <w:spacing w:before="217" w:line="219" w:lineRule="auto"/>
        <w:ind w:left="542"/>
        <w:outlineLvl w:val="1"/>
        <w:rPr>
          <w:rFonts w:ascii="宋体" w:hAnsi="宋体" w:eastAsia="宋体" w:cs="宋体"/>
          <w:color w:val="auto"/>
          <w:sz w:val="24"/>
          <w:szCs w:val="24"/>
          <w:highlight w:val="none"/>
          <w:lang w:eastAsia="zh-CN"/>
        </w:rPr>
      </w:pPr>
      <w:bookmarkStart w:id="99" w:name="_Toc5834"/>
      <w:r>
        <w:rPr>
          <w:rFonts w:ascii="宋体" w:hAnsi="宋体" w:eastAsia="宋体" w:cs="宋体"/>
          <w:color w:val="auto"/>
          <w:spacing w:val="-2"/>
          <w:sz w:val="24"/>
          <w:szCs w:val="24"/>
          <w:highlight w:val="none"/>
          <w:lang w:eastAsia="zh-CN"/>
        </w:rPr>
        <w:t>九、本合同发生争议时双方应按合同条款协</w:t>
      </w:r>
      <w:r>
        <w:rPr>
          <w:rFonts w:ascii="宋体" w:hAnsi="宋体" w:eastAsia="宋体" w:cs="宋体"/>
          <w:color w:val="auto"/>
          <w:spacing w:val="-3"/>
          <w:sz w:val="24"/>
          <w:szCs w:val="24"/>
          <w:highlight w:val="none"/>
          <w:lang w:eastAsia="zh-CN"/>
        </w:rPr>
        <w:t>商解决。双方协商不成的，可以根据</w:t>
      </w:r>
      <w:bookmarkEnd w:id="99"/>
    </w:p>
    <w:p w14:paraId="3027208F">
      <w:pPr>
        <w:spacing w:line="219" w:lineRule="auto"/>
        <w:rPr>
          <w:rFonts w:ascii="宋体" w:hAnsi="宋体" w:eastAsia="宋体" w:cs="宋体"/>
          <w:color w:val="auto"/>
          <w:sz w:val="24"/>
          <w:szCs w:val="24"/>
          <w:highlight w:val="none"/>
          <w:lang w:eastAsia="zh-CN"/>
        </w:rPr>
        <w:sectPr>
          <w:footerReference r:id="rId16" w:type="default"/>
          <w:pgSz w:w="11907" w:h="16840"/>
          <w:pgMar w:top="1431" w:right="1439" w:bottom="1139" w:left="1529" w:header="0" w:footer="977" w:gutter="0"/>
          <w:cols w:space="720" w:num="1"/>
        </w:sectPr>
      </w:pPr>
    </w:p>
    <w:p w14:paraId="7BF155DF">
      <w:pPr>
        <w:spacing w:before="204" w:line="371" w:lineRule="auto"/>
        <w:ind w:left="2" w:hanging="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仲裁协议向当地仲裁机构申请仲裁。当事人没有订立仲裁协议或者仲裁协议无效的，</w:t>
      </w:r>
      <w:r>
        <w:rPr>
          <w:rFonts w:ascii="宋体" w:hAnsi="宋体" w:eastAsia="宋体" w:cs="宋体"/>
          <w:color w:val="auto"/>
          <w:spacing w:val="6"/>
          <w:sz w:val="24"/>
          <w:szCs w:val="24"/>
          <w:highlight w:val="none"/>
          <w:lang w:eastAsia="zh-CN"/>
        </w:rPr>
        <w:t xml:space="preserve"> </w:t>
      </w:r>
      <w:r>
        <w:rPr>
          <w:rFonts w:ascii="宋体" w:hAnsi="宋体" w:eastAsia="宋体" w:cs="宋体"/>
          <w:color w:val="auto"/>
          <w:spacing w:val="-1"/>
          <w:sz w:val="24"/>
          <w:szCs w:val="24"/>
          <w:highlight w:val="none"/>
          <w:lang w:eastAsia="zh-CN"/>
        </w:rPr>
        <w:t>可以向当地人民法院起诉。</w:t>
      </w:r>
    </w:p>
    <w:p w14:paraId="2522F7CF">
      <w:pPr>
        <w:spacing w:before="33" w:line="220" w:lineRule="auto"/>
        <w:ind w:left="481"/>
        <w:outlineLvl w:val="1"/>
        <w:rPr>
          <w:rFonts w:ascii="宋体" w:hAnsi="宋体" w:eastAsia="宋体" w:cs="宋体"/>
          <w:color w:val="auto"/>
          <w:sz w:val="24"/>
          <w:szCs w:val="24"/>
          <w:highlight w:val="none"/>
          <w:lang w:eastAsia="zh-CN"/>
        </w:rPr>
      </w:pPr>
      <w:bookmarkStart w:id="100" w:name="_Toc17157"/>
      <w:r>
        <w:rPr>
          <w:rFonts w:ascii="宋体" w:hAnsi="宋体" w:eastAsia="宋体" w:cs="宋体"/>
          <w:color w:val="auto"/>
          <w:spacing w:val="-2"/>
          <w:sz w:val="24"/>
          <w:szCs w:val="24"/>
          <w:highlight w:val="none"/>
          <w:lang w:eastAsia="zh-CN"/>
        </w:rPr>
        <w:t>十、合同生效及其它：</w:t>
      </w:r>
      <w:bookmarkEnd w:id="100"/>
    </w:p>
    <w:p w14:paraId="7A0E7836">
      <w:pPr>
        <w:spacing w:before="216" w:line="375" w:lineRule="auto"/>
        <w:ind w:left="1" w:right="11" w:firstLine="480"/>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本合同经甲、乙双方代表签字、加盖公章和骑缝章后生</w:t>
      </w:r>
      <w:r>
        <w:rPr>
          <w:rFonts w:ascii="宋体" w:hAnsi="宋体" w:eastAsia="宋体" w:cs="宋体"/>
          <w:color w:val="auto"/>
          <w:spacing w:val="-3"/>
          <w:sz w:val="24"/>
          <w:szCs w:val="24"/>
          <w:highlight w:val="none"/>
          <w:lang w:eastAsia="zh-CN"/>
        </w:rPr>
        <w:t>效。本合同一式五份，甲</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乙双方各持两份。合同签订后在</w:t>
      </w:r>
      <w:r>
        <w:rPr>
          <w:rFonts w:ascii="宋体" w:hAnsi="宋体" w:eastAsia="宋体" w:cs="宋体"/>
          <w:color w:val="auto"/>
          <w:spacing w:val="-40"/>
          <w:sz w:val="24"/>
          <w:szCs w:val="24"/>
          <w:highlight w:val="none"/>
          <w:lang w:eastAsia="zh-CN"/>
        </w:rPr>
        <w:t xml:space="preserve"> </w:t>
      </w:r>
      <w:r>
        <w:rPr>
          <w:rFonts w:ascii="宋体" w:hAnsi="宋体" w:eastAsia="宋体" w:cs="宋体"/>
          <w:color w:val="auto"/>
          <w:spacing w:val="-3"/>
          <w:sz w:val="24"/>
          <w:szCs w:val="24"/>
          <w:highlight w:val="none"/>
          <w:lang w:eastAsia="zh-CN"/>
        </w:rPr>
        <w:t>2</w:t>
      </w:r>
      <w:r>
        <w:rPr>
          <w:rFonts w:ascii="宋体" w:hAnsi="宋体" w:eastAsia="宋体" w:cs="宋体"/>
          <w:color w:val="auto"/>
          <w:spacing w:val="-50"/>
          <w:sz w:val="24"/>
          <w:szCs w:val="24"/>
          <w:highlight w:val="none"/>
          <w:lang w:eastAsia="zh-CN"/>
        </w:rPr>
        <w:t xml:space="preserve"> </w:t>
      </w:r>
      <w:r>
        <w:rPr>
          <w:rFonts w:ascii="宋体" w:hAnsi="宋体" w:eastAsia="宋体" w:cs="宋体"/>
          <w:color w:val="auto"/>
          <w:spacing w:val="-3"/>
          <w:sz w:val="24"/>
          <w:szCs w:val="24"/>
          <w:highlight w:val="none"/>
          <w:lang w:eastAsia="zh-CN"/>
        </w:rPr>
        <w:t>个工作日内，采购人将合同在焦作市政府采购网公</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示并备案。</w:t>
      </w:r>
    </w:p>
    <w:p w14:paraId="572D1517">
      <w:pPr>
        <w:pStyle w:val="5"/>
        <w:spacing w:line="335" w:lineRule="auto"/>
        <w:rPr>
          <w:color w:val="auto"/>
          <w:highlight w:val="none"/>
          <w:lang w:eastAsia="zh-CN"/>
        </w:rPr>
      </w:pPr>
    </w:p>
    <w:p w14:paraId="6DD6AB13">
      <w:pPr>
        <w:spacing w:before="78" w:line="221" w:lineRule="auto"/>
        <w:ind w:left="504"/>
        <w:rPr>
          <w:rFonts w:ascii="宋体" w:hAnsi="宋体" w:eastAsia="宋体" w:cs="宋体"/>
          <w:color w:val="auto"/>
          <w:sz w:val="24"/>
          <w:szCs w:val="24"/>
          <w:highlight w:val="none"/>
        </w:rPr>
      </w:pPr>
      <w:r>
        <w:rPr>
          <w:rFonts w:ascii="宋体" w:hAnsi="宋体" w:eastAsia="宋体" w:cs="宋体"/>
          <w:color w:val="auto"/>
          <w:spacing w:val="-13"/>
          <w:sz w:val="24"/>
          <w:szCs w:val="24"/>
          <w:highlight w:val="none"/>
        </w:rPr>
        <w:t>乙方：</w:t>
      </w:r>
      <w:r>
        <w:rPr>
          <w:rFonts w:ascii="宋体" w:hAnsi="宋体" w:eastAsia="宋体" w:cs="宋体"/>
          <w:color w:val="auto"/>
          <w:spacing w:val="1"/>
          <w:sz w:val="24"/>
          <w:szCs w:val="24"/>
          <w:highlight w:val="none"/>
        </w:rPr>
        <w:t xml:space="preserve">                         </w:t>
      </w:r>
      <w:r>
        <w:rPr>
          <w:rFonts w:ascii="宋体" w:hAnsi="宋体" w:eastAsia="宋体" w:cs="宋体"/>
          <w:color w:val="auto"/>
          <w:spacing w:val="-13"/>
          <w:sz w:val="24"/>
          <w:szCs w:val="24"/>
          <w:highlight w:val="none"/>
        </w:rPr>
        <w:t>甲方：</w:t>
      </w:r>
    </w:p>
    <w:p w14:paraId="0B9A9BA7">
      <w:pPr>
        <w:spacing w:before="211" w:line="229" w:lineRule="auto"/>
        <w:ind w:left="480"/>
        <w:rPr>
          <w:rFonts w:ascii="宋体" w:hAnsi="宋体" w:eastAsia="宋体" w:cs="宋体"/>
          <w:color w:val="auto"/>
          <w:sz w:val="24"/>
          <w:szCs w:val="24"/>
          <w:highlight w:val="none"/>
        </w:rPr>
      </w:pPr>
      <w:r>
        <w:rPr>
          <w:rFonts w:ascii="宋体" w:hAnsi="宋体" w:eastAsia="宋体" w:cs="宋体"/>
          <w:color w:val="auto"/>
          <w:spacing w:val="-4"/>
          <w:sz w:val="24"/>
          <w:szCs w:val="24"/>
          <w:highlight w:val="none"/>
        </w:rPr>
        <w:t>地址：</w:t>
      </w:r>
      <w:r>
        <w:rPr>
          <w:rFonts w:ascii="宋体" w:hAnsi="宋体" w:eastAsia="宋体" w:cs="宋体"/>
          <w:color w:val="auto"/>
          <w:sz w:val="24"/>
          <w:szCs w:val="24"/>
          <w:highlight w:val="none"/>
        </w:rPr>
        <w:t xml:space="preserve">                         </w:t>
      </w:r>
      <w:r>
        <w:rPr>
          <w:rFonts w:ascii="宋体" w:hAnsi="宋体" w:eastAsia="宋体" w:cs="宋体"/>
          <w:color w:val="auto"/>
          <w:spacing w:val="-4"/>
          <w:sz w:val="24"/>
          <w:szCs w:val="24"/>
          <w:highlight w:val="none"/>
        </w:rPr>
        <w:t>地址：</w:t>
      </w:r>
    </w:p>
    <w:p w14:paraId="00D626B9">
      <w:pPr>
        <w:spacing w:before="205" w:line="219" w:lineRule="auto"/>
        <w:ind w:left="481"/>
        <w:rPr>
          <w:rFonts w:ascii="宋体" w:hAnsi="宋体" w:eastAsia="宋体" w:cs="宋体"/>
          <w:color w:val="auto"/>
          <w:sz w:val="24"/>
          <w:szCs w:val="24"/>
          <w:highlight w:val="none"/>
        </w:rPr>
      </w:pPr>
      <w:r>
        <w:rPr>
          <w:rFonts w:ascii="宋体" w:hAnsi="宋体" w:eastAsia="宋体" w:cs="宋体"/>
          <w:color w:val="auto"/>
          <w:sz w:val="24"/>
          <w:szCs w:val="24"/>
          <w:highlight w:val="none"/>
        </w:rPr>
        <w:t xml:space="preserve">法定代表人：             </w:t>
      </w:r>
      <w:r>
        <w:rPr>
          <w:rFonts w:ascii="宋体" w:hAnsi="宋体" w:eastAsia="宋体" w:cs="宋体"/>
          <w:color w:val="auto"/>
          <w:spacing w:val="-1"/>
          <w:sz w:val="24"/>
          <w:szCs w:val="24"/>
          <w:highlight w:val="none"/>
        </w:rPr>
        <w:t xml:space="preserve">      法定代表人：</w:t>
      </w:r>
    </w:p>
    <w:p w14:paraId="3A2233E2">
      <w:pPr>
        <w:spacing w:before="215" w:line="219" w:lineRule="auto"/>
        <w:ind w:left="480"/>
        <w:rPr>
          <w:rFonts w:ascii="宋体" w:hAnsi="宋体" w:eastAsia="宋体" w:cs="宋体"/>
          <w:color w:val="auto"/>
          <w:sz w:val="24"/>
          <w:szCs w:val="24"/>
          <w:highlight w:val="none"/>
        </w:rPr>
      </w:pPr>
      <w:r>
        <w:rPr>
          <w:rFonts w:ascii="宋体" w:hAnsi="宋体" w:eastAsia="宋体" w:cs="宋体"/>
          <w:color w:val="auto"/>
          <w:sz w:val="24"/>
          <w:szCs w:val="24"/>
          <w:highlight w:val="none"/>
        </w:rPr>
        <w:t xml:space="preserve">委托代理人：               </w:t>
      </w:r>
      <w:r>
        <w:rPr>
          <w:rFonts w:ascii="宋体" w:hAnsi="宋体" w:eastAsia="宋体" w:cs="宋体"/>
          <w:color w:val="auto"/>
          <w:spacing w:val="-1"/>
          <w:sz w:val="24"/>
          <w:szCs w:val="24"/>
          <w:highlight w:val="none"/>
        </w:rPr>
        <w:t xml:space="preserve">    委托代理人：</w:t>
      </w:r>
    </w:p>
    <w:p w14:paraId="17FF1EEC">
      <w:pPr>
        <w:spacing w:before="214" w:line="221" w:lineRule="auto"/>
        <w:ind w:left="509"/>
        <w:rPr>
          <w:rFonts w:ascii="宋体" w:hAnsi="宋体" w:eastAsia="宋体" w:cs="宋体"/>
          <w:color w:val="auto"/>
          <w:sz w:val="24"/>
          <w:szCs w:val="24"/>
          <w:highlight w:val="none"/>
          <w:lang w:eastAsia="zh-CN"/>
        </w:rPr>
      </w:pPr>
      <w:r>
        <w:rPr>
          <w:rFonts w:ascii="宋体" w:hAnsi="宋体" w:eastAsia="宋体" w:cs="宋体"/>
          <w:color w:val="auto"/>
          <w:spacing w:val="-7"/>
          <w:sz w:val="24"/>
          <w:szCs w:val="24"/>
          <w:highlight w:val="none"/>
          <w:lang w:eastAsia="zh-CN"/>
        </w:rPr>
        <w:t>电话：                           电话：</w:t>
      </w:r>
    </w:p>
    <w:p w14:paraId="0C605CB9">
      <w:pPr>
        <w:spacing w:before="214" w:line="220" w:lineRule="auto"/>
        <w:ind w:left="481"/>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开户银行：</w:t>
      </w:r>
      <w:r>
        <w:rPr>
          <w:rFonts w:ascii="宋体" w:hAnsi="宋体" w:eastAsia="宋体" w:cs="宋体"/>
          <w:color w:val="auto"/>
          <w:spacing w:val="3"/>
          <w:sz w:val="24"/>
          <w:szCs w:val="24"/>
          <w:highlight w:val="none"/>
          <w:lang w:eastAsia="zh-CN"/>
        </w:rPr>
        <w:t xml:space="preserve">                     </w:t>
      </w:r>
      <w:r>
        <w:rPr>
          <w:rFonts w:ascii="宋体" w:hAnsi="宋体" w:eastAsia="宋体" w:cs="宋体"/>
          <w:color w:val="auto"/>
          <w:spacing w:val="-3"/>
          <w:sz w:val="24"/>
          <w:szCs w:val="24"/>
          <w:highlight w:val="none"/>
          <w:lang w:eastAsia="zh-CN"/>
        </w:rPr>
        <w:t>开户银行：</w:t>
      </w:r>
    </w:p>
    <w:p w14:paraId="5BFE5B8A">
      <w:pPr>
        <w:spacing w:before="213" w:line="220" w:lineRule="auto"/>
        <w:ind w:left="481"/>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银行账号：</w:t>
      </w:r>
      <w:r>
        <w:rPr>
          <w:rFonts w:ascii="宋体" w:hAnsi="宋体" w:eastAsia="宋体" w:cs="宋体"/>
          <w:color w:val="auto"/>
          <w:spacing w:val="3"/>
          <w:sz w:val="24"/>
          <w:szCs w:val="24"/>
          <w:highlight w:val="none"/>
          <w:lang w:eastAsia="zh-CN"/>
        </w:rPr>
        <w:t xml:space="preserve">                     </w:t>
      </w:r>
      <w:r>
        <w:rPr>
          <w:rFonts w:ascii="宋体" w:hAnsi="宋体" w:eastAsia="宋体" w:cs="宋体"/>
          <w:color w:val="auto"/>
          <w:spacing w:val="-3"/>
          <w:sz w:val="24"/>
          <w:szCs w:val="24"/>
          <w:highlight w:val="none"/>
          <w:lang w:eastAsia="zh-CN"/>
        </w:rPr>
        <w:t>银行账号：</w:t>
      </w:r>
    </w:p>
    <w:p w14:paraId="6CA10094">
      <w:pPr>
        <w:spacing w:before="214" w:line="221" w:lineRule="auto"/>
        <w:ind w:left="480"/>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 xml:space="preserve">签约时间：               </w:t>
      </w:r>
      <w:r>
        <w:rPr>
          <w:rFonts w:ascii="宋体" w:hAnsi="宋体" w:eastAsia="宋体" w:cs="宋体"/>
          <w:color w:val="auto"/>
          <w:spacing w:val="-1"/>
          <w:sz w:val="24"/>
          <w:szCs w:val="24"/>
          <w:highlight w:val="none"/>
          <w:lang w:eastAsia="zh-CN"/>
        </w:rPr>
        <w:t xml:space="preserve">      签约地点：</w:t>
      </w:r>
    </w:p>
    <w:p w14:paraId="14FBC892">
      <w:pPr>
        <w:pStyle w:val="5"/>
        <w:spacing w:line="315" w:lineRule="auto"/>
        <w:rPr>
          <w:color w:val="auto"/>
          <w:highlight w:val="none"/>
          <w:lang w:eastAsia="zh-CN"/>
        </w:rPr>
      </w:pPr>
    </w:p>
    <w:p w14:paraId="451B76E4">
      <w:pPr>
        <w:pStyle w:val="5"/>
        <w:spacing w:line="315" w:lineRule="auto"/>
        <w:rPr>
          <w:color w:val="auto"/>
          <w:highlight w:val="none"/>
          <w:lang w:eastAsia="zh-CN"/>
        </w:rPr>
      </w:pPr>
    </w:p>
    <w:p w14:paraId="5814F156">
      <w:pPr>
        <w:spacing w:before="78" w:line="371" w:lineRule="auto"/>
        <w:ind w:left="2" w:right="11" w:firstLine="479"/>
        <w:rPr>
          <w:rFonts w:ascii="宋体" w:hAnsi="宋体" w:eastAsia="宋体" w:cs="宋体"/>
          <w:color w:val="auto"/>
          <w:sz w:val="24"/>
          <w:szCs w:val="24"/>
          <w:highlight w:val="none"/>
          <w:lang w:eastAsia="zh-CN"/>
        </w:rPr>
      </w:pPr>
      <w:r>
        <w:rPr>
          <w:rFonts w:ascii="宋体" w:hAnsi="宋体" w:eastAsia="宋体" w:cs="宋体"/>
          <w:b/>
          <w:bCs/>
          <w:color w:val="auto"/>
          <w:spacing w:val="-5"/>
          <w:sz w:val="24"/>
          <w:szCs w:val="24"/>
          <w:highlight w:val="none"/>
          <w:lang w:eastAsia="zh-CN"/>
        </w:rPr>
        <w:t>重要提示：以上合同文本作为签订合同的重要依据，涉及付款方式、</w:t>
      </w:r>
      <w:r>
        <w:rPr>
          <w:rFonts w:hint="eastAsia" w:ascii="宋体" w:hAnsi="宋体" w:eastAsia="宋体" w:cs="宋体"/>
          <w:b/>
          <w:bCs/>
          <w:color w:val="auto"/>
          <w:spacing w:val="-5"/>
          <w:sz w:val="24"/>
          <w:szCs w:val="24"/>
          <w:highlight w:val="none"/>
          <w:lang w:eastAsia="zh-CN"/>
        </w:rPr>
        <w:t>投标人</w:t>
      </w:r>
      <w:r>
        <w:rPr>
          <w:rFonts w:ascii="宋体" w:hAnsi="宋体" w:eastAsia="宋体" w:cs="宋体"/>
          <w:b/>
          <w:bCs/>
          <w:color w:val="auto"/>
          <w:spacing w:val="-5"/>
          <w:sz w:val="24"/>
          <w:szCs w:val="24"/>
          <w:highlight w:val="none"/>
          <w:lang w:eastAsia="zh-CN"/>
        </w:rPr>
        <w:t>名称</w:t>
      </w:r>
      <w:r>
        <w:rPr>
          <w:rFonts w:ascii="宋体" w:hAnsi="宋体" w:eastAsia="宋体" w:cs="宋体"/>
          <w:color w:val="auto"/>
          <w:spacing w:val="5"/>
          <w:sz w:val="24"/>
          <w:szCs w:val="24"/>
          <w:highlight w:val="none"/>
          <w:lang w:eastAsia="zh-CN"/>
        </w:rPr>
        <w:t xml:space="preserve"> </w:t>
      </w:r>
      <w:r>
        <w:rPr>
          <w:rFonts w:ascii="宋体" w:hAnsi="宋体" w:eastAsia="宋体" w:cs="宋体"/>
          <w:b/>
          <w:bCs/>
          <w:color w:val="auto"/>
          <w:spacing w:val="-3"/>
          <w:sz w:val="24"/>
          <w:szCs w:val="24"/>
          <w:highlight w:val="none"/>
          <w:lang w:eastAsia="zh-CN"/>
        </w:rPr>
        <w:t>等实质性内容不得变更。</w:t>
      </w:r>
    </w:p>
    <w:p w14:paraId="0059A5B9">
      <w:pPr>
        <w:spacing w:line="371" w:lineRule="auto"/>
        <w:rPr>
          <w:rFonts w:ascii="宋体" w:hAnsi="宋体" w:eastAsia="宋体" w:cs="宋体"/>
          <w:color w:val="auto"/>
          <w:sz w:val="24"/>
          <w:szCs w:val="24"/>
          <w:highlight w:val="none"/>
          <w:lang w:eastAsia="zh-CN"/>
        </w:rPr>
        <w:sectPr>
          <w:footerReference r:id="rId17" w:type="default"/>
          <w:pgSz w:w="11907" w:h="16840"/>
          <w:pgMar w:top="1431" w:right="1508" w:bottom="1139" w:left="1585" w:header="0" w:footer="977" w:gutter="0"/>
          <w:cols w:space="720" w:num="1"/>
        </w:sectPr>
      </w:pPr>
    </w:p>
    <w:p w14:paraId="510106BC">
      <w:pPr>
        <w:spacing w:before="136" w:line="224" w:lineRule="auto"/>
        <w:ind w:left="2999"/>
        <w:outlineLvl w:val="0"/>
        <w:rPr>
          <w:rFonts w:ascii="宋体" w:hAnsi="宋体" w:eastAsia="宋体" w:cs="宋体"/>
          <w:color w:val="auto"/>
          <w:sz w:val="31"/>
          <w:szCs w:val="31"/>
          <w:highlight w:val="none"/>
          <w:lang w:eastAsia="zh-CN"/>
        </w:rPr>
      </w:pPr>
      <w:bookmarkStart w:id="101" w:name="bookmark11"/>
      <w:bookmarkEnd w:id="101"/>
      <w:bookmarkStart w:id="102" w:name="_Toc5601"/>
      <w:r>
        <w:rPr>
          <w:rFonts w:ascii="宋体" w:hAnsi="宋体" w:eastAsia="宋体" w:cs="宋体"/>
          <w:b/>
          <w:bCs/>
          <w:color w:val="auto"/>
          <w:spacing w:val="6"/>
          <w:sz w:val="31"/>
          <w:szCs w:val="31"/>
          <w:highlight w:val="none"/>
          <w:lang w:eastAsia="zh-CN"/>
        </w:rPr>
        <w:t>第五章</w:t>
      </w:r>
      <w:r>
        <w:rPr>
          <w:rFonts w:ascii="宋体" w:hAnsi="宋体" w:eastAsia="宋体" w:cs="宋体"/>
          <w:color w:val="auto"/>
          <w:spacing w:val="6"/>
          <w:sz w:val="31"/>
          <w:szCs w:val="31"/>
          <w:highlight w:val="none"/>
          <w:lang w:eastAsia="zh-CN"/>
        </w:rPr>
        <w:t xml:space="preserve"> </w:t>
      </w:r>
      <w:r>
        <w:rPr>
          <w:rFonts w:ascii="宋体" w:hAnsi="宋体" w:eastAsia="宋体" w:cs="宋体"/>
          <w:b/>
          <w:bCs/>
          <w:color w:val="auto"/>
          <w:spacing w:val="6"/>
          <w:sz w:val="31"/>
          <w:szCs w:val="31"/>
          <w:highlight w:val="none"/>
          <w:lang w:eastAsia="zh-CN"/>
        </w:rPr>
        <w:t>采购内容及技术要求</w:t>
      </w:r>
      <w:bookmarkEnd w:id="102"/>
    </w:p>
    <w:p w14:paraId="5A956132">
      <w:pPr>
        <w:pStyle w:val="5"/>
        <w:spacing w:line="283" w:lineRule="auto"/>
        <w:rPr>
          <w:color w:val="auto"/>
          <w:highlight w:val="none"/>
          <w:lang w:eastAsia="zh-CN"/>
        </w:rPr>
      </w:pPr>
    </w:p>
    <w:p w14:paraId="2AFA772D">
      <w:pPr>
        <w:spacing w:before="91" w:line="185" w:lineRule="auto"/>
        <w:ind w:left="605"/>
        <w:rPr>
          <w:rFonts w:ascii="宋体" w:hAnsi="宋体" w:eastAsia="宋体" w:cs="宋体"/>
          <w:color w:val="auto"/>
          <w:sz w:val="28"/>
          <w:szCs w:val="28"/>
          <w:highlight w:val="none"/>
        </w:rPr>
      </w:pPr>
      <w:r>
        <w:rPr>
          <w:rFonts w:eastAsia="Arial"/>
          <w:color w:val="auto"/>
          <w:highlight w:val="none"/>
        </w:rPr>
        <w:pict>
          <v:shape id="_x0000_s1035" o:spid="_x0000_s1035" o:spt="202" type="#_x0000_t202" style="position:absolute;left:0pt;margin-left:44.05pt;margin-top:12.6pt;height:9.15pt;width:12.5pt;z-index:251662336;mso-width-relative:page;mso-height-relative:page;" filled="f" stroked="f" coordsize="21600,21600">
            <v:path/>
            <v:fill on="f" focussize="0,0"/>
            <v:stroke on="f" joinstyle="miter"/>
            <v:imagedata o:title=""/>
            <o:lock v:ext="edit"/>
            <v:textbox inset="0mm,0mm,0mm,0mm">
              <w:txbxContent>
                <w:p w14:paraId="5469B9CC">
                  <w:pPr>
                    <w:spacing w:before="20" w:line="142" w:lineRule="exact"/>
                    <w:jc w:val="right"/>
                    <w:rPr>
                      <w:rFonts w:ascii="宋体" w:hAnsi="宋体" w:eastAsia="宋体" w:cs="宋体"/>
                      <w:sz w:val="28"/>
                      <w:szCs w:val="28"/>
                    </w:rPr>
                  </w:pPr>
                  <w:r>
                    <w:rPr>
                      <w:rFonts w:ascii="宋体" w:hAnsi="宋体" w:eastAsia="宋体" w:cs="宋体"/>
                      <w:b/>
                      <w:bCs/>
                      <w:spacing w:val="-57"/>
                      <w:w w:val="93"/>
                      <w:position w:val="1"/>
                      <w:sz w:val="28"/>
                      <w:szCs w:val="28"/>
                    </w:rPr>
                    <w:t>、</w:t>
                  </w:r>
                </w:p>
              </w:txbxContent>
            </v:textbox>
          </v:shape>
        </w:pict>
      </w:r>
      <w:r>
        <w:rPr>
          <w:rFonts w:ascii="宋体" w:hAnsi="宋体" w:eastAsia="宋体" w:cs="宋体"/>
          <w:b/>
          <w:bCs/>
          <w:color w:val="auto"/>
          <w:spacing w:val="-4"/>
          <w:sz w:val="28"/>
          <w:szCs w:val="28"/>
          <w:highlight w:val="none"/>
        </w:rPr>
        <w:t>一</w:t>
      </w:r>
      <w:r>
        <w:rPr>
          <w:rFonts w:ascii="宋体" w:hAnsi="宋体" w:eastAsia="宋体" w:cs="宋体"/>
          <w:color w:val="auto"/>
          <w:spacing w:val="-4"/>
          <w:sz w:val="28"/>
          <w:szCs w:val="28"/>
          <w:highlight w:val="none"/>
        </w:rPr>
        <w:t xml:space="preserve">  </w:t>
      </w:r>
      <w:r>
        <w:rPr>
          <w:rFonts w:ascii="宋体" w:hAnsi="宋体" w:eastAsia="宋体" w:cs="宋体"/>
          <w:b/>
          <w:bCs/>
          <w:color w:val="auto"/>
          <w:spacing w:val="-4"/>
          <w:sz w:val="28"/>
          <w:szCs w:val="28"/>
          <w:highlight w:val="none"/>
        </w:rPr>
        <w:t>技术参数要求</w:t>
      </w:r>
    </w:p>
    <w:p w14:paraId="5A53C122">
      <w:pPr>
        <w:spacing w:line="48" w:lineRule="exact"/>
        <w:rPr>
          <w:color w:val="auto"/>
          <w:highlight w:val="none"/>
        </w:rPr>
      </w:pPr>
    </w:p>
    <w:p w14:paraId="658AE4F3">
      <w:pPr>
        <w:pStyle w:val="5"/>
        <w:rPr>
          <w:color w:val="auto"/>
          <w:highlight w:val="none"/>
        </w:rPr>
      </w:pPr>
    </w:p>
    <w:tbl>
      <w:tblPr>
        <w:tblStyle w:val="16"/>
        <w:tblW w:w="4995" w:type="pct"/>
        <w:jc w:val="cente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546"/>
        <w:gridCol w:w="696"/>
        <w:gridCol w:w="816"/>
        <w:gridCol w:w="456"/>
        <w:gridCol w:w="6696"/>
      </w:tblGrid>
      <w:tr w14:paraId="63AA5F96">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868" w:hRule="atLeast"/>
          <w:jc w:val="center"/>
        </w:trPr>
        <w:tc>
          <w:tcPr>
            <w:tcW w:w="296" w:type="pct"/>
            <w:vAlign w:val="center"/>
          </w:tcPr>
          <w:p w14:paraId="671C96D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序号</w:t>
            </w:r>
          </w:p>
        </w:tc>
        <w:tc>
          <w:tcPr>
            <w:tcW w:w="377" w:type="pct"/>
            <w:vAlign w:val="center"/>
          </w:tcPr>
          <w:p w14:paraId="5CD3E21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标的</w:t>
            </w:r>
          </w:p>
          <w:p w14:paraId="59B06E79">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名称</w:t>
            </w:r>
          </w:p>
        </w:tc>
        <w:tc>
          <w:tcPr>
            <w:tcW w:w="442" w:type="pct"/>
            <w:vAlign w:val="center"/>
          </w:tcPr>
          <w:p w14:paraId="51EB925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rPr>
              <w:t>数量</w:t>
            </w:r>
          </w:p>
        </w:tc>
        <w:tc>
          <w:tcPr>
            <w:tcW w:w="247" w:type="pct"/>
            <w:vAlign w:val="center"/>
          </w:tcPr>
          <w:p w14:paraId="7C61493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单位</w:t>
            </w:r>
          </w:p>
        </w:tc>
        <w:tc>
          <w:tcPr>
            <w:tcW w:w="3635" w:type="pct"/>
            <w:vAlign w:val="center"/>
          </w:tcPr>
          <w:p w14:paraId="3C282C9E">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技术参数</w:t>
            </w:r>
          </w:p>
        </w:tc>
      </w:tr>
      <w:tr w14:paraId="42B59DA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90" w:hRule="atLeast"/>
          <w:jc w:val="center"/>
        </w:trPr>
        <w:tc>
          <w:tcPr>
            <w:tcW w:w="5000" w:type="pct"/>
            <w:gridSpan w:val="5"/>
            <w:vAlign w:val="center"/>
          </w:tcPr>
          <w:p w14:paraId="59D52662">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lang w:val="en-US" w:eastAsia="zh-CN"/>
              </w:rPr>
              <w:t>一、</w:t>
            </w:r>
            <w:r>
              <w:rPr>
                <w:rFonts w:hint="eastAsia" w:ascii="宋体" w:hAnsi="宋体" w:eastAsia="宋体" w:cs="宋体"/>
                <w:b/>
                <w:bCs/>
                <w:color w:val="auto"/>
                <w:sz w:val="24"/>
                <w:szCs w:val="24"/>
                <w:highlight w:val="none"/>
              </w:rPr>
              <w:t>绘本室设施设备</w:t>
            </w:r>
          </w:p>
        </w:tc>
      </w:tr>
      <w:tr w14:paraId="75BC9F6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871" w:hRule="atLeast"/>
          <w:jc w:val="center"/>
        </w:trPr>
        <w:tc>
          <w:tcPr>
            <w:tcW w:w="296" w:type="pct"/>
            <w:vAlign w:val="center"/>
          </w:tcPr>
          <w:p w14:paraId="028DBF43">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F476F">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藏书区造型储书柜</w:t>
            </w:r>
          </w:p>
        </w:tc>
        <w:tc>
          <w:tcPr>
            <w:tcW w:w="442" w:type="pct"/>
            <w:vAlign w:val="center"/>
          </w:tcPr>
          <w:p w14:paraId="1E5927BB">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tc>
        <w:tc>
          <w:tcPr>
            <w:tcW w:w="247" w:type="pct"/>
            <w:vAlign w:val="center"/>
          </w:tcPr>
          <w:p w14:paraId="5FCE553A">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组</w:t>
            </w:r>
          </w:p>
        </w:tc>
        <w:tc>
          <w:tcPr>
            <w:tcW w:w="3635" w:type="pct"/>
            <w:vAlign w:val="center"/>
          </w:tcPr>
          <w:p w14:paraId="66F6EC7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材质：橡木   </w:t>
            </w:r>
          </w:p>
          <w:p w14:paraId="42AB387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规格：2400mm宽*2200mm高*300mm深  上层为4个横板 5个竖板  共30个储物空格 下层为5个带门储物柜 *1组</w:t>
            </w:r>
          </w:p>
          <w:p w14:paraId="09B963E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2100mm宽*2200mm高*300m深  上层为4个横板 4个竖板  共25个储物空格 下层为5个带门储物柜 *2组</w:t>
            </w:r>
          </w:p>
          <w:p w14:paraId="017BB19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600mm宽*2200mm高*300m深  上层为4个横板 1个竖板  共10个储物空格 下层为2个带门储物柜 *1组</w:t>
            </w:r>
          </w:p>
          <w:p w14:paraId="74671A3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800m宽*2200m高*300m深  上层为4个横板 1个竖板  共10个储物空格 下层为2个带门储物柜 *1组</w:t>
            </w:r>
          </w:p>
          <w:p w14:paraId="01A383F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rPr>
              <w:t xml:space="preserve">不带背板  环保水性清漆两遍 </w:t>
            </w:r>
          </w:p>
        </w:tc>
      </w:tr>
      <w:tr w14:paraId="00A28FC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912" w:hRule="atLeast"/>
          <w:jc w:val="center"/>
        </w:trPr>
        <w:tc>
          <w:tcPr>
            <w:tcW w:w="296" w:type="pct"/>
            <w:vAlign w:val="center"/>
          </w:tcPr>
          <w:p w14:paraId="5DD1B5AA">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2DDF8E">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休闲阅读区高造型储书柜</w:t>
            </w:r>
          </w:p>
        </w:tc>
        <w:tc>
          <w:tcPr>
            <w:tcW w:w="442" w:type="pct"/>
            <w:vAlign w:val="center"/>
          </w:tcPr>
          <w:p w14:paraId="4D5110D5">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9</w:t>
            </w:r>
          </w:p>
        </w:tc>
        <w:tc>
          <w:tcPr>
            <w:tcW w:w="247" w:type="pct"/>
            <w:vAlign w:val="center"/>
          </w:tcPr>
          <w:p w14:paraId="130E573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组</w:t>
            </w:r>
          </w:p>
        </w:tc>
        <w:tc>
          <w:tcPr>
            <w:tcW w:w="3635" w:type="pct"/>
            <w:vAlign w:val="center"/>
          </w:tcPr>
          <w:p w14:paraId="6E9457C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材质：橡木    </w:t>
            </w:r>
          </w:p>
          <w:p w14:paraId="7B5BA3A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规格：1450mm宽*2600mm高*300mm深 7层横板 1层竖版  共16格储书格 *1组  </w:t>
            </w:r>
          </w:p>
          <w:p w14:paraId="1F47731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2400mm宽*2300mm高*300mm深   6层横板  3层竖板  共22格储书格*1组</w:t>
            </w:r>
          </w:p>
          <w:p w14:paraId="4A9E5C9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1200m宽*2300mm高*300mm深   6层横板  1层竖版  共14格储书格 *1组  </w:t>
            </w:r>
          </w:p>
          <w:p w14:paraId="68BFEA8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1800mm宽*2300m高*300mm深   6层横板  2层竖版  共21格储书格 *1组 </w:t>
            </w:r>
          </w:p>
          <w:p w14:paraId="06E3EF0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1200mm宽*2300mm高*300mm深   6层横板  1层竖版  共14格储书格 *1组  </w:t>
            </w:r>
          </w:p>
          <w:p w14:paraId="1C3C773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1200mm宽*2300mm高*300mm深   6层横板  1层竖版  共14格储书格 *1组  </w:t>
            </w:r>
          </w:p>
          <w:p w14:paraId="2150598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1800mm宽*2300mm高*300mm深   6层横板  2层竖版  共21格储书格 *1组  </w:t>
            </w:r>
          </w:p>
          <w:p w14:paraId="016409E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1200mm宽*2300mm高*300mm深   6层横板  1层竖版  共14格储书格 *1组  </w:t>
            </w:r>
          </w:p>
          <w:p w14:paraId="20F4209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2180mm宽*2300mm高*300mm深   6层横板  3层竖版  共24格储书格 *1组  </w:t>
            </w:r>
          </w:p>
          <w:p w14:paraId="4CB18AC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不带背板  环保水性清漆两遍  </w:t>
            </w:r>
          </w:p>
        </w:tc>
      </w:tr>
      <w:tr w14:paraId="7867BB8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807" w:hRule="atLeast"/>
          <w:jc w:val="center"/>
        </w:trPr>
        <w:tc>
          <w:tcPr>
            <w:tcW w:w="296" w:type="pct"/>
            <w:vAlign w:val="center"/>
          </w:tcPr>
          <w:p w14:paraId="305499A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3089BF">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休闲阅读区低造型储书柜</w:t>
            </w:r>
          </w:p>
        </w:tc>
        <w:tc>
          <w:tcPr>
            <w:tcW w:w="442" w:type="pct"/>
            <w:vAlign w:val="center"/>
          </w:tcPr>
          <w:p w14:paraId="5171F75E">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tc>
        <w:tc>
          <w:tcPr>
            <w:tcW w:w="247" w:type="pct"/>
            <w:vAlign w:val="center"/>
          </w:tcPr>
          <w:p w14:paraId="2F69B58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组</w:t>
            </w:r>
          </w:p>
        </w:tc>
        <w:tc>
          <w:tcPr>
            <w:tcW w:w="3635" w:type="pct"/>
            <w:vAlign w:val="center"/>
          </w:tcPr>
          <w:p w14:paraId="7024C45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材质：橡木    </w:t>
            </w:r>
          </w:p>
          <w:p w14:paraId="1357DF3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规格：3000mm宽*300mm高*300mm深   4层竖板  共6格储书格*4组   </w:t>
            </w:r>
          </w:p>
          <w:p w14:paraId="68C7CF9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不带背板  环保水性清漆两遍   </w:t>
            </w:r>
          </w:p>
        </w:tc>
      </w:tr>
      <w:tr w14:paraId="5A84F4A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6F2974B6">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FB34B">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私密阅读区大书屋</w:t>
            </w:r>
          </w:p>
        </w:tc>
        <w:tc>
          <w:tcPr>
            <w:tcW w:w="442" w:type="pct"/>
            <w:vAlign w:val="center"/>
          </w:tcPr>
          <w:p w14:paraId="58B72185">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247" w:type="pct"/>
            <w:vAlign w:val="center"/>
          </w:tcPr>
          <w:p w14:paraId="79E20B5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个</w:t>
            </w:r>
          </w:p>
        </w:tc>
        <w:tc>
          <w:tcPr>
            <w:tcW w:w="3635" w:type="pct"/>
            <w:vAlign w:val="center"/>
          </w:tcPr>
          <w:p w14:paraId="6C8FF8B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材质：松木  软包    </w:t>
            </w:r>
          </w:p>
          <w:p w14:paraId="63770A5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规格：2450mm宽*2300mm高*800mm深    </w:t>
            </w:r>
          </w:p>
          <w:p w14:paraId="40F2512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含软包背板  环保水性清漆两遍  </w:t>
            </w:r>
          </w:p>
        </w:tc>
      </w:tr>
      <w:tr w14:paraId="21AE8D0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0F4B701A">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5</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F5B754">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私密阅读区小书屋</w:t>
            </w:r>
          </w:p>
        </w:tc>
        <w:tc>
          <w:tcPr>
            <w:tcW w:w="442" w:type="pct"/>
            <w:vAlign w:val="center"/>
          </w:tcPr>
          <w:p w14:paraId="29F4908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247" w:type="pct"/>
            <w:vAlign w:val="center"/>
          </w:tcPr>
          <w:p w14:paraId="6D7A37F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个</w:t>
            </w:r>
          </w:p>
        </w:tc>
        <w:tc>
          <w:tcPr>
            <w:tcW w:w="3635" w:type="pct"/>
            <w:vAlign w:val="center"/>
          </w:tcPr>
          <w:p w14:paraId="6F6DDB7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材质：松木  软包   </w:t>
            </w:r>
          </w:p>
          <w:p w14:paraId="72A02D6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规格：1160mm宽*1280mm高*600mm深</w:t>
            </w:r>
          </w:p>
          <w:p w14:paraId="230DEC8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含软包背板  环保水性清漆两遍   </w:t>
            </w:r>
          </w:p>
        </w:tc>
      </w:tr>
      <w:tr w14:paraId="280B5DB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75ACE7A2">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6</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538FAA">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图书医院储书柜</w:t>
            </w:r>
          </w:p>
        </w:tc>
        <w:tc>
          <w:tcPr>
            <w:tcW w:w="442" w:type="pct"/>
            <w:vAlign w:val="center"/>
          </w:tcPr>
          <w:p w14:paraId="187D71CA">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w:t>
            </w:r>
          </w:p>
        </w:tc>
        <w:tc>
          <w:tcPr>
            <w:tcW w:w="247" w:type="pct"/>
            <w:vAlign w:val="center"/>
          </w:tcPr>
          <w:p w14:paraId="3D9E61A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组</w:t>
            </w:r>
          </w:p>
        </w:tc>
        <w:tc>
          <w:tcPr>
            <w:tcW w:w="3635" w:type="pct"/>
            <w:vAlign w:val="center"/>
          </w:tcPr>
          <w:p w14:paraId="77ADBAC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材质：橡木   </w:t>
            </w:r>
          </w:p>
          <w:p w14:paraId="0B138AD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规格：800mm宽*1500mm高*300mm  3层横板 共4格储书格 *1组</w:t>
            </w:r>
          </w:p>
          <w:p w14:paraId="6E8C27F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不带背板  环保水性清漆两遍   </w:t>
            </w:r>
          </w:p>
        </w:tc>
      </w:tr>
      <w:tr w14:paraId="343A27F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013C2E2A">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7</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BECFC">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图书医院桌椅</w:t>
            </w:r>
          </w:p>
        </w:tc>
        <w:tc>
          <w:tcPr>
            <w:tcW w:w="442" w:type="pct"/>
            <w:vAlign w:val="center"/>
          </w:tcPr>
          <w:p w14:paraId="51CD36F3">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w:t>
            </w:r>
          </w:p>
        </w:tc>
        <w:tc>
          <w:tcPr>
            <w:tcW w:w="247" w:type="pct"/>
            <w:vAlign w:val="center"/>
          </w:tcPr>
          <w:p w14:paraId="55F96A1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组</w:t>
            </w:r>
          </w:p>
        </w:tc>
        <w:tc>
          <w:tcPr>
            <w:tcW w:w="3635" w:type="pct"/>
            <w:vAlign w:val="center"/>
          </w:tcPr>
          <w:p w14:paraId="3DE723E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材质：橡木    </w:t>
            </w:r>
          </w:p>
          <w:p w14:paraId="4872B4A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规格：椅子：300mm宽*1800mm长*300mm高 </w:t>
            </w:r>
          </w:p>
          <w:p w14:paraId="173725D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桌子：550mm(含工具柜 900mm）高  1800mm宽  700mm深 </w:t>
            </w:r>
          </w:p>
          <w:p w14:paraId="43615F3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不带背板  环保水性清漆两遍   </w:t>
            </w:r>
          </w:p>
        </w:tc>
      </w:tr>
      <w:tr w14:paraId="35AF684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310D3325">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8</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8C1AF">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表演区造型背景</w:t>
            </w:r>
          </w:p>
        </w:tc>
        <w:tc>
          <w:tcPr>
            <w:tcW w:w="442" w:type="pct"/>
            <w:vAlign w:val="center"/>
          </w:tcPr>
          <w:p w14:paraId="33C64082">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w:t>
            </w:r>
          </w:p>
        </w:tc>
        <w:tc>
          <w:tcPr>
            <w:tcW w:w="247" w:type="pct"/>
            <w:vAlign w:val="center"/>
          </w:tcPr>
          <w:p w14:paraId="24A0457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个</w:t>
            </w:r>
          </w:p>
        </w:tc>
        <w:tc>
          <w:tcPr>
            <w:tcW w:w="3635" w:type="pct"/>
            <w:vAlign w:val="center"/>
          </w:tcPr>
          <w:p w14:paraId="0F639AE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材质：松木    </w:t>
            </w:r>
          </w:p>
          <w:p w14:paraId="559CBAF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规格：2000mm宽*2300mm高*450mm深*1个  </w:t>
            </w:r>
          </w:p>
          <w:p w14:paraId="11D3893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油漆：采用环保油漆型聚脂漆  </w:t>
            </w:r>
          </w:p>
        </w:tc>
      </w:tr>
      <w:tr w14:paraId="2CA100C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822" w:hRule="atLeast"/>
          <w:jc w:val="center"/>
        </w:trPr>
        <w:tc>
          <w:tcPr>
            <w:tcW w:w="296" w:type="pct"/>
            <w:vAlign w:val="center"/>
          </w:tcPr>
          <w:p w14:paraId="2F3A3276">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9</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721C8">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蛋形书架</w:t>
            </w:r>
          </w:p>
        </w:tc>
        <w:tc>
          <w:tcPr>
            <w:tcW w:w="442" w:type="pct"/>
            <w:vAlign w:val="center"/>
          </w:tcPr>
          <w:p w14:paraId="7B24D3F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w:t>
            </w:r>
          </w:p>
        </w:tc>
        <w:tc>
          <w:tcPr>
            <w:tcW w:w="247" w:type="pct"/>
            <w:vAlign w:val="center"/>
          </w:tcPr>
          <w:p w14:paraId="275467F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个</w:t>
            </w:r>
          </w:p>
        </w:tc>
        <w:tc>
          <w:tcPr>
            <w:tcW w:w="3635" w:type="pct"/>
            <w:vAlign w:val="center"/>
          </w:tcPr>
          <w:p w14:paraId="48EF84F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材质：橡木    </w:t>
            </w:r>
          </w:p>
          <w:p w14:paraId="0D590CA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规格：直径1160mm*700mm高   </w:t>
            </w:r>
          </w:p>
          <w:p w14:paraId="50E148E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环保水性清漆两遍   </w:t>
            </w:r>
          </w:p>
        </w:tc>
      </w:tr>
      <w:tr w14:paraId="19C6BC9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1A87018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10</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0EA1E6">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环形半开放书架</w:t>
            </w:r>
          </w:p>
        </w:tc>
        <w:tc>
          <w:tcPr>
            <w:tcW w:w="442" w:type="pct"/>
            <w:vAlign w:val="center"/>
          </w:tcPr>
          <w:p w14:paraId="482A1528">
            <w:pPr>
              <w:keepNext w:val="0"/>
              <w:keepLines w:val="0"/>
              <w:pageBreakBefore w:val="0"/>
              <w:widowControl/>
              <w:suppressLineNumbers w:val="0"/>
              <w:kinsoku/>
              <w:wordWrap/>
              <w:overflowPunct/>
              <w:topLinePunct w:val="0"/>
              <w:bidi w:val="0"/>
              <w:adjustRightInd/>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247" w:type="pct"/>
            <w:vAlign w:val="center"/>
          </w:tcPr>
          <w:p w14:paraId="0641A4FA">
            <w:pPr>
              <w:keepNext w:val="0"/>
              <w:keepLines w:val="0"/>
              <w:pageBreakBefore w:val="0"/>
              <w:widowControl/>
              <w:suppressLineNumbers w:val="0"/>
              <w:kinsoku/>
              <w:wordWrap/>
              <w:overflowPunct/>
              <w:topLinePunct w:val="0"/>
              <w:bidi w:val="0"/>
              <w:adjustRightInd/>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组</w:t>
            </w:r>
          </w:p>
        </w:tc>
        <w:tc>
          <w:tcPr>
            <w:tcW w:w="3635" w:type="pct"/>
            <w:vAlign w:val="center"/>
          </w:tcPr>
          <w:p w14:paraId="4ADFD8F7">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Style w:val="22"/>
                <w:rFonts w:hint="eastAsia" w:ascii="宋体" w:hAnsi="宋体" w:eastAsia="宋体" w:cs="宋体"/>
                <w:snapToGrid w:val="0"/>
                <w:color w:val="000000"/>
                <w:sz w:val="24"/>
                <w:szCs w:val="24"/>
                <w:highlight w:val="none"/>
                <w:lang w:val="en-US" w:eastAsia="zh-CN" w:bidi="ar"/>
              </w:rPr>
            </w:pPr>
            <w:r>
              <w:rPr>
                <w:rStyle w:val="22"/>
                <w:rFonts w:hint="eastAsia" w:ascii="宋体" w:hAnsi="宋体" w:eastAsia="宋体" w:cs="宋体"/>
                <w:snapToGrid w:val="0"/>
                <w:color w:val="000000"/>
                <w:sz w:val="24"/>
                <w:szCs w:val="24"/>
                <w:highlight w:val="none"/>
                <w:lang w:val="en-US" w:eastAsia="zh-CN" w:bidi="ar"/>
              </w:rPr>
              <w:t xml:space="preserve">材质：橡木   </w:t>
            </w:r>
          </w:p>
          <w:p w14:paraId="2F280028">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Style w:val="22"/>
                <w:rFonts w:hint="eastAsia" w:ascii="宋体" w:hAnsi="宋体" w:eastAsia="宋体" w:cs="宋体"/>
                <w:snapToGrid w:val="0"/>
                <w:color w:val="000000"/>
                <w:sz w:val="24"/>
                <w:szCs w:val="24"/>
                <w:highlight w:val="none"/>
                <w:lang w:val="en-US" w:eastAsia="zh-CN" w:bidi="ar"/>
              </w:rPr>
            </w:pPr>
            <w:r>
              <w:rPr>
                <w:rStyle w:val="22"/>
                <w:rFonts w:hint="eastAsia" w:ascii="宋体" w:hAnsi="宋体" w:eastAsia="宋体" w:cs="宋体"/>
                <w:snapToGrid w:val="0"/>
                <w:color w:val="000000"/>
                <w:sz w:val="24"/>
                <w:szCs w:val="24"/>
                <w:highlight w:val="none"/>
                <w:lang w:val="en-US" w:eastAsia="zh-CN" w:bidi="ar"/>
              </w:rPr>
              <w:t xml:space="preserve">规格：1550mm长*1200mm高*300mm   2层隔板  共3格储书格 </w:t>
            </w:r>
          </w:p>
          <w:p w14:paraId="2E304AD9">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Style w:val="22"/>
                <w:rFonts w:hint="eastAsia" w:ascii="宋体" w:hAnsi="宋体" w:eastAsia="宋体" w:cs="宋体"/>
                <w:snapToGrid w:val="0"/>
                <w:color w:val="000000"/>
                <w:sz w:val="24"/>
                <w:szCs w:val="24"/>
                <w:highlight w:val="none"/>
                <w:lang w:val="en-US" w:eastAsia="zh-CN" w:bidi="ar"/>
              </w:rPr>
            </w:pPr>
            <w:r>
              <w:rPr>
                <w:rStyle w:val="22"/>
                <w:rFonts w:hint="eastAsia" w:ascii="宋体" w:hAnsi="宋体" w:eastAsia="宋体" w:cs="宋体"/>
                <w:snapToGrid w:val="0"/>
                <w:color w:val="000000"/>
                <w:sz w:val="24"/>
                <w:szCs w:val="24"/>
                <w:highlight w:val="none"/>
                <w:lang w:val="en-US" w:eastAsia="zh-CN" w:bidi="ar"/>
              </w:rPr>
              <w:t xml:space="preserve">不带背板  环保水性清漆两遍   </w:t>
            </w:r>
          </w:p>
          <w:p w14:paraId="64BD7DDB">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p>
        </w:tc>
      </w:tr>
      <w:tr w14:paraId="18B701C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20" w:hRule="atLeast"/>
          <w:jc w:val="center"/>
        </w:trPr>
        <w:tc>
          <w:tcPr>
            <w:tcW w:w="5000" w:type="pct"/>
            <w:gridSpan w:val="5"/>
            <w:vAlign w:val="center"/>
          </w:tcPr>
          <w:p w14:paraId="74383747">
            <w:pPr>
              <w:keepNext w:val="0"/>
              <w:keepLines w:val="0"/>
              <w:pageBreakBefore w:val="0"/>
              <w:widowControl/>
              <w:suppressLineNumbers w:val="0"/>
              <w:kinsoku/>
              <w:wordWrap/>
              <w:overflowPunct/>
              <w:topLinePunct w:val="0"/>
              <w:bidi w:val="0"/>
              <w:adjustRightInd/>
              <w:snapToGrid w:val="0"/>
              <w:spacing w:line="360" w:lineRule="exact"/>
              <w:ind w:firstLine="480" w:firstLineChars="200"/>
              <w:jc w:val="left"/>
              <w:textAlignment w:val="center"/>
              <w:rPr>
                <w:rStyle w:val="22"/>
                <w:rFonts w:hint="eastAsia" w:ascii="宋体" w:hAnsi="宋体" w:eastAsia="宋体" w:cs="宋体"/>
                <w:snapToGrid w:val="0"/>
                <w:color w:val="000000"/>
                <w:sz w:val="24"/>
                <w:szCs w:val="24"/>
                <w:highlight w:val="none"/>
                <w:lang w:val="en-US" w:eastAsia="zh-CN" w:bidi="ar"/>
              </w:rPr>
            </w:pPr>
            <w:r>
              <w:rPr>
                <w:rStyle w:val="22"/>
                <w:rFonts w:hint="eastAsia" w:ascii="宋体" w:hAnsi="宋体" w:eastAsia="宋体" w:cs="宋体"/>
                <w:snapToGrid w:val="0"/>
                <w:color w:val="000000"/>
                <w:sz w:val="24"/>
                <w:szCs w:val="24"/>
                <w:highlight w:val="none"/>
                <w:lang w:val="en-US" w:eastAsia="zh-CN" w:bidi="ar"/>
              </w:rPr>
              <w:t>1-10项质量要求：环保（甲醛、苯等有害物质优于室内使用国标标准）、防虫防腐；外表面和内表面以及儿童手指可触及的隐蔽处均不得有锐利的棱角、毛刺以及小五金部件露出的锐利尖锐。</w:t>
            </w:r>
          </w:p>
        </w:tc>
      </w:tr>
      <w:tr w14:paraId="7F86529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944" w:hRule="atLeast"/>
          <w:jc w:val="center"/>
        </w:trPr>
        <w:tc>
          <w:tcPr>
            <w:tcW w:w="296" w:type="pct"/>
            <w:vAlign w:val="center"/>
          </w:tcPr>
          <w:p w14:paraId="2F674F2C">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6DBABF">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懒人沙发</w:t>
            </w:r>
          </w:p>
        </w:tc>
        <w:tc>
          <w:tcPr>
            <w:tcW w:w="442" w:type="pct"/>
            <w:vAlign w:val="center"/>
          </w:tcPr>
          <w:p w14:paraId="5A540A22">
            <w:pPr>
              <w:keepNext w:val="0"/>
              <w:keepLines w:val="0"/>
              <w:pageBreakBefore w:val="0"/>
              <w:widowControl/>
              <w:suppressLineNumbers w:val="0"/>
              <w:kinsoku/>
              <w:wordWrap/>
              <w:overflowPunct/>
              <w:topLinePunct w:val="0"/>
              <w:bidi w:val="0"/>
              <w:adjustRightInd/>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5</w:t>
            </w:r>
          </w:p>
        </w:tc>
        <w:tc>
          <w:tcPr>
            <w:tcW w:w="247" w:type="pct"/>
            <w:vAlign w:val="center"/>
          </w:tcPr>
          <w:p w14:paraId="722A8760">
            <w:pPr>
              <w:keepNext w:val="0"/>
              <w:keepLines w:val="0"/>
              <w:pageBreakBefore w:val="0"/>
              <w:widowControl/>
              <w:suppressLineNumbers w:val="0"/>
              <w:kinsoku/>
              <w:wordWrap/>
              <w:overflowPunct/>
              <w:topLinePunct w:val="0"/>
              <w:bidi w:val="0"/>
              <w:adjustRightInd/>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3635" w:type="pct"/>
            <w:vAlign w:val="center"/>
          </w:tcPr>
          <w:p w14:paraId="150A7F88">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材质：布艺     </w:t>
            </w:r>
          </w:p>
          <w:p w14:paraId="6C365A4C">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规格：直径400mm、500mm、600mm   高度  80-120mm</w:t>
            </w:r>
          </w:p>
        </w:tc>
      </w:tr>
      <w:tr w14:paraId="4A30ECF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327C694C">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18146E">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Z型网桶攀爬底部</w:t>
            </w:r>
          </w:p>
        </w:tc>
        <w:tc>
          <w:tcPr>
            <w:tcW w:w="442" w:type="pct"/>
            <w:vAlign w:val="center"/>
          </w:tcPr>
          <w:p w14:paraId="4F9D202F">
            <w:pPr>
              <w:keepNext w:val="0"/>
              <w:keepLines w:val="0"/>
              <w:pageBreakBefore w:val="0"/>
              <w:widowControl/>
              <w:suppressLineNumbers w:val="0"/>
              <w:kinsoku/>
              <w:wordWrap/>
              <w:overflowPunct/>
              <w:topLinePunct w:val="0"/>
              <w:bidi w:val="0"/>
              <w:adjustRightInd/>
              <w:snapToGrid w:val="0"/>
              <w:spacing w:line="360" w:lineRule="exact"/>
              <w:jc w:val="right"/>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2.8</w:t>
            </w:r>
          </w:p>
        </w:tc>
        <w:tc>
          <w:tcPr>
            <w:tcW w:w="247" w:type="pct"/>
            <w:vAlign w:val="center"/>
          </w:tcPr>
          <w:p w14:paraId="3B6EFA43">
            <w:pPr>
              <w:keepNext w:val="0"/>
              <w:keepLines w:val="0"/>
              <w:pageBreakBefore w:val="0"/>
              <w:widowControl/>
              <w:suppressLineNumbers w:val="0"/>
              <w:kinsoku/>
              <w:wordWrap/>
              <w:overflowPunct/>
              <w:topLinePunct w:val="0"/>
              <w:bidi w:val="0"/>
              <w:adjustRightInd/>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m</w:t>
            </w:r>
          </w:p>
        </w:tc>
        <w:tc>
          <w:tcPr>
            <w:tcW w:w="3635" w:type="pct"/>
            <w:vAlign w:val="center"/>
          </w:tcPr>
          <w:p w14:paraId="46B3DA52">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材质：镀锌圆管 太空绳   规格：直径800mm  高度在1800mm-2000mm之间 </w:t>
            </w:r>
          </w:p>
          <w:p w14:paraId="6BA729D0">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镀锌圆管规格：直径  40mm </w:t>
            </w:r>
          </w:p>
        </w:tc>
      </w:tr>
      <w:tr w14:paraId="3B3E55BC">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136" w:hRule="atLeast"/>
          <w:jc w:val="center"/>
        </w:trPr>
        <w:tc>
          <w:tcPr>
            <w:tcW w:w="296" w:type="pct"/>
            <w:vAlign w:val="center"/>
          </w:tcPr>
          <w:p w14:paraId="57D68420">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13</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427DB">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二层玻璃游戏平台</w:t>
            </w:r>
          </w:p>
        </w:tc>
        <w:tc>
          <w:tcPr>
            <w:tcW w:w="442" w:type="pct"/>
            <w:vAlign w:val="center"/>
          </w:tcPr>
          <w:p w14:paraId="1234133D">
            <w:pPr>
              <w:keepNext w:val="0"/>
              <w:keepLines w:val="0"/>
              <w:pageBreakBefore w:val="0"/>
              <w:widowControl/>
              <w:suppressLineNumbers w:val="0"/>
              <w:kinsoku/>
              <w:wordWrap/>
              <w:overflowPunct/>
              <w:topLinePunct w:val="0"/>
              <w:bidi w:val="0"/>
              <w:adjustRightInd/>
              <w:snapToGrid w:val="0"/>
              <w:spacing w:line="360" w:lineRule="exact"/>
              <w:jc w:val="right"/>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34963BC5">
            <w:pPr>
              <w:keepNext w:val="0"/>
              <w:keepLines w:val="0"/>
              <w:pageBreakBefore w:val="0"/>
              <w:widowControl/>
              <w:suppressLineNumbers w:val="0"/>
              <w:kinsoku/>
              <w:wordWrap/>
              <w:overflowPunct/>
              <w:topLinePunct w:val="0"/>
              <w:bidi w:val="0"/>
              <w:adjustRightInd/>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3635" w:type="pct"/>
            <w:vAlign w:val="center"/>
          </w:tcPr>
          <w:p w14:paraId="784C24D1">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材质：镀锌方管  钢化玻璃 </w:t>
            </w:r>
          </w:p>
          <w:p w14:paraId="2109950E">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规格：直径：4400mm  平台高2000mm  </w:t>
            </w:r>
          </w:p>
          <w:p w14:paraId="560579DD">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钢化玻璃规格：8mm+8mm钢化加胶玻璃 </w:t>
            </w:r>
          </w:p>
          <w:p w14:paraId="75F75119">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镀锌方管规格：80mm*80mm*2mm主框架</w:t>
            </w:r>
          </w:p>
          <w:p w14:paraId="1CD7CE19">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40mm*60mm*1.5mm 副支撑</w:t>
            </w:r>
          </w:p>
          <w:p w14:paraId="6A49A84A">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25mm*25mm*1.2mm 护栏</w:t>
            </w:r>
          </w:p>
          <w:p w14:paraId="4A11796B">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40mm*60mm*1.5mm 扶手</w:t>
            </w:r>
          </w:p>
          <w:p w14:paraId="6DB9C869">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护栏+扶手整体高度  1300mm</w:t>
            </w:r>
          </w:p>
        </w:tc>
      </w:tr>
      <w:tr w14:paraId="73ECE1BC">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43" w:hRule="atLeast"/>
          <w:jc w:val="center"/>
        </w:trPr>
        <w:tc>
          <w:tcPr>
            <w:tcW w:w="296" w:type="pct"/>
            <w:vAlign w:val="center"/>
          </w:tcPr>
          <w:p w14:paraId="0E9C6276">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14</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78EF5">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实木拼接地台</w:t>
            </w:r>
          </w:p>
        </w:tc>
        <w:tc>
          <w:tcPr>
            <w:tcW w:w="442" w:type="pct"/>
            <w:vAlign w:val="center"/>
          </w:tcPr>
          <w:p w14:paraId="1DB2163D">
            <w:pPr>
              <w:keepNext w:val="0"/>
              <w:keepLines w:val="0"/>
              <w:pageBreakBefore w:val="0"/>
              <w:widowControl/>
              <w:suppressLineNumbers w:val="0"/>
              <w:kinsoku/>
              <w:wordWrap/>
              <w:overflowPunct/>
              <w:topLinePunct w:val="0"/>
              <w:bidi w:val="0"/>
              <w:adjustRightInd/>
              <w:snapToGrid w:val="0"/>
              <w:spacing w:line="360" w:lineRule="exact"/>
              <w:jc w:val="right"/>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55</w:t>
            </w:r>
          </w:p>
        </w:tc>
        <w:tc>
          <w:tcPr>
            <w:tcW w:w="247" w:type="pct"/>
            <w:vAlign w:val="center"/>
          </w:tcPr>
          <w:p w14:paraId="01D02352">
            <w:pPr>
              <w:keepNext w:val="0"/>
              <w:keepLines w:val="0"/>
              <w:pageBreakBefore w:val="0"/>
              <w:widowControl/>
              <w:suppressLineNumbers w:val="0"/>
              <w:kinsoku/>
              <w:wordWrap/>
              <w:overflowPunct/>
              <w:topLinePunct w:val="0"/>
              <w:bidi w:val="0"/>
              <w:adjustRightInd/>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w:t>
            </w:r>
          </w:p>
        </w:tc>
        <w:tc>
          <w:tcPr>
            <w:tcW w:w="3635" w:type="pct"/>
            <w:vAlign w:val="center"/>
          </w:tcPr>
          <w:p w14:paraId="0763E298">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材质：橡木    </w:t>
            </w:r>
          </w:p>
          <w:p w14:paraId="6EF0BD2E">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规格：300mm高  基层框架  40mm*40mm*1.2mm 镀锌方管龙骨，龙骨间距  500mm；面层 12mm厚成品实木复合地板铺设</w:t>
            </w:r>
          </w:p>
        </w:tc>
      </w:tr>
      <w:tr w14:paraId="263589C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743" w:hRule="atLeast"/>
          <w:jc w:val="center"/>
        </w:trPr>
        <w:tc>
          <w:tcPr>
            <w:tcW w:w="296" w:type="pct"/>
            <w:vAlign w:val="center"/>
          </w:tcPr>
          <w:p w14:paraId="2885DCE6">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15</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08A91F">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生态地毯</w:t>
            </w:r>
          </w:p>
        </w:tc>
        <w:tc>
          <w:tcPr>
            <w:tcW w:w="442" w:type="pct"/>
            <w:vAlign w:val="center"/>
          </w:tcPr>
          <w:p w14:paraId="02F5852A">
            <w:pPr>
              <w:keepNext w:val="0"/>
              <w:keepLines w:val="0"/>
              <w:pageBreakBefore w:val="0"/>
              <w:widowControl/>
              <w:suppressLineNumbers w:val="0"/>
              <w:kinsoku/>
              <w:wordWrap/>
              <w:overflowPunct/>
              <w:topLinePunct w:val="0"/>
              <w:bidi w:val="0"/>
              <w:adjustRightInd/>
              <w:snapToGrid w:val="0"/>
              <w:spacing w:line="360" w:lineRule="exact"/>
              <w:jc w:val="right"/>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50</w:t>
            </w:r>
          </w:p>
        </w:tc>
        <w:tc>
          <w:tcPr>
            <w:tcW w:w="247" w:type="pct"/>
            <w:vAlign w:val="center"/>
          </w:tcPr>
          <w:p w14:paraId="12F83B18">
            <w:pPr>
              <w:keepNext w:val="0"/>
              <w:keepLines w:val="0"/>
              <w:pageBreakBefore w:val="0"/>
              <w:widowControl/>
              <w:suppressLineNumbers w:val="0"/>
              <w:kinsoku/>
              <w:wordWrap/>
              <w:overflowPunct/>
              <w:topLinePunct w:val="0"/>
              <w:bidi w:val="0"/>
              <w:adjustRightInd/>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w:t>
            </w:r>
          </w:p>
        </w:tc>
        <w:tc>
          <w:tcPr>
            <w:tcW w:w="3635" w:type="pct"/>
            <w:vAlign w:val="center"/>
          </w:tcPr>
          <w:p w14:paraId="14BFEBF1">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材质：丙纶    规格：  5mm厚</w:t>
            </w:r>
          </w:p>
        </w:tc>
      </w:tr>
      <w:tr w14:paraId="365541A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120" w:hRule="atLeast"/>
          <w:jc w:val="center"/>
        </w:trPr>
        <w:tc>
          <w:tcPr>
            <w:tcW w:w="296" w:type="pct"/>
            <w:vAlign w:val="center"/>
          </w:tcPr>
          <w:p w14:paraId="22B01D85">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16</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31B59">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顶部装饰模块</w:t>
            </w:r>
          </w:p>
        </w:tc>
        <w:tc>
          <w:tcPr>
            <w:tcW w:w="442" w:type="pct"/>
            <w:vAlign w:val="center"/>
          </w:tcPr>
          <w:p w14:paraId="4C5E3BFB">
            <w:pPr>
              <w:keepNext w:val="0"/>
              <w:keepLines w:val="0"/>
              <w:pageBreakBefore w:val="0"/>
              <w:widowControl/>
              <w:suppressLineNumbers w:val="0"/>
              <w:kinsoku/>
              <w:wordWrap/>
              <w:overflowPunct/>
              <w:topLinePunct w:val="0"/>
              <w:bidi w:val="0"/>
              <w:adjustRightInd/>
              <w:snapToGrid w:val="0"/>
              <w:spacing w:line="360" w:lineRule="exact"/>
              <w:jc w:val="right"/>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5</w:t>
            </w:r>
          </w:p>
        </w:tc>
        <w:tc>
          <w:tcPr>
            <w:tcW w:w="247" w:type="pct"/>
            <w:vAlign w:val="center"/>
          </w:tcPr>
          <w:p w14:paraId="2B64C169">
            <w:pPr>
              <w:keepNext w:val="0"/>
              <w:keepLines w:val="0"/>
              <w:pageBreakBefore w:val="0"/>
              <w:widowControl/>
              <w:suppressLineNumbers w:val="0"/>
              <w:kinsoku/>
              <w:wordWrap/>
              <w:overflowPunct/>
              <w:topLinePunct w:val="0"/>
              <w:bidi w:val="0"/>
              <w:adjustRightInd/>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3635" w:type="pct"/>
            <w:vAlign w:val="center"/>
          </w:tcPr>
          <w:p w14:paraId="32780E3E">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材质：高分子聚合物    规格：  长度   1200mm</w:t>
            </w:r>
          </w:p>
        </w:tc>
      </w:tr>
      <w:tr w14:paraId="7817D94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069" w:hRule="atLeast"/>
          <w:jc w:val="center"/>
        </w:trPr>
        <w:tc>
          <w:tcPr>
            <w:tcW w:w="296" w:type="pct"/>
            <w:vAlign w:val="center"/>
          </w:tcPr>
          <w:p w14:paraId="473EBFD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17</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7637C">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旋转楼梯</w:t>
            </w:r>
          </w:p>
        </w:tc>
        <w:tc>
          <w:tcPr>
            <w:tcW w:w="442" w:type="pct"/>
            <w:vAlign w:val="center"/>
          </w:tcPr>
          <w:p w14:paraId="15683B71">
            <w:pPr>
              <w:keepNext w:val="0"/>
              <w:keepLines w:val="0"/>
              <w:pageBreakBefore w:val="0"/>
              <w:widowControl/>
              <w:suppressLineNumbers w:val="0"/>
              <w:kinsoku/>
              <w:wordWrap/>
              <w:overflowPunct/>
              <w:topLinePunct w:val="0"/>
              <w:bidi w:val="0"/>
              <w:adjustRightInd/>
              <w:snapToGrid w:val="0"/>
              <w:spacing w:line="360" w:lineRule="exact"/>
              <w:jc w:val="right"/>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14</w:t>
            </w:r>
          </w:p>
        </w:tc>
        <w:tc>
          <w:tcPr>
            <w:tcW w:w="247" w:type="pct"/>
            <w:vAlign w:val="center"/>
          </w:tcPr>
          <w:p w14:paraId="5A76DCB7">
            <w:pPr>
              <w:keepNext w:val="0"/>
              <w:keepLines w:val="0"/>
              <w:pageBreakBefore w:val="0"/>
              <w:widowControl/>
              <w:suppressLineNumbers w:val="0"/>
              <w:kinsoku/>
              <w:wordWrap/>
              <w:overflowPunct/>
              <w:topLinePunct w:val="0"/>
              <w:bidi w:val="0"/>
              <w:adjustRightInd/>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snapToGrid w:val="0"/>
                <w:color w:val="000000"/>
                <w:kern w:val="0"/>
                <w:sz w:val="24"/>
                <w:szCs w:val="24"/>
                <w:highlight w:val="none"/>
                <w:u w:val="none"/>
                <w:lang w:val="en-US" w:eastAsia="zh-CN" w:bidi="ar"/>
              </w:rPr>
              <w:t>踏</w:t>
            </w:r>
          </w:p>
        </w:tc>
        <w:tc>
          <w:tcPr>
            <w:tcW w:w="3635" w:type="pct"/>
            <w:vAlign w:val="center"/>
          </w:tcPr>
          <w:p w14:paraId="46248222">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材料：80mmx80mmx2mm镀锌方钢主框架及支撑（或直径108-219mm镀锌圆钢主支撑）40mm*60mm*1.5mm连接支撑。40mmx60mmx1.5mm镀锌方钢扶手，25mmx25mmx1.2mm镀锌护栏，护栏高度1300mm、间距不大于90mm。20mm厚实木底板.户外防腐耐候木蜡油</w:t>
            </w:r>
          </w:p>
          <w:p w14:paraId="4D69F56F">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工艺：1.底部基础做法：软质地面主支撑预埋地面以下；其他硬化地面切小口焊接预埋板，膨胀螺栓固定。扶手连接平台部分用25mm*25mm*1.2mm方钢过渡。        </w:t>
            </w:r>
          </w:p>
          <w:p w14:paraId="0DD231CE">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2.主钢架满焊，打磨，扶手焊接两侧、另侧补汽车专用原子灰，打磨平整，基层整体喷辛黄底漆底漆一遍、丙烯酸聚氨酯面漆一遍，预埋部分喷辛黄底漆两遍。            </w:t>
            </w:r>
          </w:p>
          <w:p w14:paraId="3BE14AC6">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3.攀爬、滑梯类上下口位置在700mm高度位置加圆形横撑防护。            </w:t>
            </w:r>
          </w:p>
          <w:p w14:paraId="7381993A">
            <w:pPr>
              <w:keepNext w:val="0"/>
              <w:keepLines w:val="0"/>
              <w:pageBreakBefore w:val="0"/>
              <w:widowControl/>
              <w:suppressLineNumbers w:val="0"/>
              <w:kinsoku/>
              <w:wordWrap/>
              <w:overflowPunct/>
              <w:topLinePunct w:val="0"/>
              <w:bidi w:val="0"/>
              <w:adjustRightInd/>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4.原木打磨，无棱角，表面光滑，面层木蜡油3遍以上工艺、表层无漏底、无流漆现象。          </w:t>
            </w:r>
          </w:p>
        </w:tc>
      </w:tr>
      <w:tr w14:paraId="74DF69FC">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67" w:hRule="atLeast"/>
          <w:jc w:val="center"/>
        </w:trPr>
        <w:tc>
          <w:tcPr>
            <w:tcW w:w="5000" w:type="pct"/>
            <w:gridSpan w:val="5"/>
            <w:vAlign w:val="center"/>
          </w:tcPr>
          <w:p w14:paraId="241E84B9">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二、</w:t>
            </w:r>
            <w:r>
              <w:rPr>
                <w:rFonts w:hint="eastAsia" w:ascii="宋体" w:hAnsi="宋体" w:eastAsia="宋体" w:cs="宋体"/>
                <w:b/>
                <w:bCs/>
                <w:color w:val="auto"/>
                <w:sz w:val="24"/>
                <w:szCs w:val="24"/>
                <w:highlight w:val="none"/>
              </w:rPr>
              <w:t>无线便携录播</w:t>
            </w:r>
            <w:r>
              <w:rPr>
                <w:rFonts w:hint="eastAsia" w:ascii="宋体" w:hAnsi="宋体" w:eastAsia="宋体" w:cs="宋体"/>
                <w:b/>
                <w:bCs/>
                <w:color w:val="auto"/>
                <w:sz w:val="24"/>
                <w:szCs w:val="24"/>
                <w:highlight w:val="none"/>
                <w:lang w:val="en-US" w:eastAsia="zh-CN"/>
              </w:rPr>
              <w:t>设备</w:t>
            </w:r>
          </w:p>
        </w:tc>
      </w:tr>
      <w:tr w14:paraId="0FEDEB4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220" w:hRule="atLeast"/>
          <w:jc w:val="center"/>
        </w:trPr>
        <w:tc>
          <w:tcPr>
            <w:tcW w:w="296" w:type="pct"/>
            <w:vAlign w:val="center"/>
          </w:tcPr>
          <w:p w14:paraId="60163FE4">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0B4D5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高清录播主机</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560745">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5D08E80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2224EF4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 整体设计：便携式移动录播主机高度＜2U，重量＜6kg，采用笔记本翻盖式设计，主机内嵌导播键盘进行导播操作。采用嵌入式ARM架构设计，Linux操作系统，高度集成多种功能应用，包括管理、导播、录制、直播、点播、互动等功能。</w:t>
            </w:r>
          </w:p>
          <w:p w14:paraId="38C4D92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 触屏设计：主机内嵌1920*1080高清液晶触控屏，电容屏，支持触控导播操作。</w:t>
            </w:r>
          </w:p>
          <w:p w14:paraId="76D3808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 导播键盘设计：导播键盘支持录制、停止、摄像机控制、预置位调用、画面切换、专场特技等功能按键，提供导播摇杆便于摄像机的云台控制操作。</w:t>
            </w:r>
          </w:p>
          <w:p w14:paraId="35ED490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4)视频接口：3G-SDI in≥4，HDMI in≥1、VGA≥1，SDI out≥1，HDMI out≥1。</w:t>
            </w:r>
          </w:p>
          <w:p w14:paraId="76AAFBA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 音频接口：MIC in≥2、Line in≥1；Line out≥1、耳机监听接口≥1。</w:t>
            </w:r>
          </w:p>
          <w:p w14:paraId="4913208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6）网络接口：RJ-45≥1，支持1000/100Mbps自适应，支持IPv4、IPv6双协议栈，适应互联网通信发展需求。</w:t>
            </w:r>
          </w:p>
          <w:p w14:paraId="05B3A51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7）其他接口：USB≥4。</w:t>
            </w:r>
          </w:p>
          <w:p w14:paraId="0417D8C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8）存储容量：1TB 机械硬盘。</w:t>
            </w:r>
          </w:p>
          <w:p w14:paraId="28DD635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9）电源管理：采用不高于DC36V安全电压供电，采用无风扇散热设计。</w:t>
            </w:r>
          </w:p>
          <w:p w14:paraId="5585A3B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10）视频采集：支持多种方式实现摄像机画面采集，可通过SDI高清有线视频画面采集和WIFI视频传输两种方式获取摄像机信号。</w:t>
            </w:r>
          </w:p>
          <w:p w14:paraId="506585A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11）视频录制：采用标准H.264视频编码技术，便携式录播主机应支持电影模式和资源模式同步录制。支持网络多流和本地SDI多流两种录制模式，可实现摄像机无线接入多流录制。</w:t>
            </w:r>
          </w:p>
          <w:p w14:paraId="1598BF7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12)互动功能：内置互动功能，支持H.323、SIP等主流互动通讯协议，同时支持实时通讯网络环境检测，可检测录播主机与互动主机之间的实时网络情况，包括上下行丢包率、带宽等。</w:t>
            </w:r>
          </w:p>
          <w:p w14:paraId="3C7FEB9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13) 音频处理功能：支持EQ均衡调节、回声抑制、增益调节及音频采样率和比特率设置。支持对音频输入输出通道进行音量调节，支持对音频输出通道进行静音设置。</w:t>
            </w:r>
          </w:p>
          <w:p w14:paraId="567EAB1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14)一线通功能：支持通过一条标准SDI线连接高清云台摄像机，即可实现视频传输、供电和云台控制功能。</w:t>
            </w:r>
          </w:p>
        </w:tc>
      </w:tr>
      <w:tr w14:paraId="69464A8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882" w:hRule="atLeast"/>
          <w:jc w:val="center"/>
        </w:trPr>
        <w:tc>
          <w:tcPr>
            <w:tcW w:w="296" w:type="pct"/>
            <w:vAlign w:val="center"/>
          </w:tcPr>
          <w:p w14:paraId="3257A7D6">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81DB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录播管理软件</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759C91">
            <w:pPr>
              <w:keepNext w:val="0"/>
              <w:keepLines w:val="0"/>
              <w:pageBreakBefore w:val="0"/>
              <w:widowControl/>
              <w:suppressLineNumbers w:val="0"/>
              <w:wordWrap/>
              <w:overflowPunct/>
              <w:topLinePunct w:val="0"/>
              <w:bidi w:val="0"/>
              <w:snapToGrid w:val="0"/>
              <w:spacing w:line="360" w:lineRule="exact"/>
              <w:jc w:val="center"/>
              <w:textAlignment w:val="center"/>
              <w:rPr>
                <w:rFonts w:hint="default"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2C6ED005">
            <w:pPr>
              <w:keepNext w:val="0"/>
              <w:keepLines w:val="0"/>
              <w:pageBreakBefore w:val="0"/>
              <w:widowControl/>
              <w:suppressLineNumbers w:val="0"/>
              <w:wordWrap/>
              <w:overflowPunct/>
              <w:topLinePunct w:val="0"/>
              <w:bidi w:val="0"/>
              <w:snapToGrid w:val="0"/>
              <w:spacing w:line="360" w:lineRule="exact"/>
              <w:jc w:val="center"/>
              <w:textAlignment w:val="center"/>
              <w:rPr>
                <w:rFonts w:hint="default"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3635" w:type="pct"/>
            <w:vAlign w:val="center"/>
          </w:tcPr>
          <w:p w14:paraId="12A7347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1.软件架构：支持B/S架构设计，能够方便教师使用IE、360等主流浏览器通过网络直接访问录播主机进行导播和管理。</w:t>
            </w:r>
          </w:p>
          <w:p w14:paraId="4484344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2.录制控制：支持录制、暂停、停止等基本功能操作，实现全自动、手动两种录制模式，支持录制过程中实时切换录制模式。</w:t>
            </w:r>
          </w:p>
          <w:p w14:paraId="6CA73A7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录制管理：支持高低码流同步录制，支持电影模式和资源模式录制，实现复合画面、每个摄像机画面及电脑课件画面的独立封装和点播。支持自定义录制分辨率、帧率和码率，最高支持1080P@30fps，码率支持512kbps到40Mbps可设。</w:t>
            </w:r>
          </w:p>
          <w:p w14:paraId="7A9DCF0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4.分段录制：支持分段录制技术，当录制的课程时间较长时，可按照用户设定的文件时长自动分割录制成多个视频文件，提供不分段、30分钟分段、60分钟分段三种方式可选。</w:t>
            </w:r>
          </w:p>
          <w:p w14:paraId="2DDEF97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5.同步录制：支持USB接口插入U盘，实现本机和U盘同步录制功能，录制完毕后同时另存为一份录像文件到U盘中。</w:t>
            </w:r>
          </w:p>
          <w:p w14:paraId="0A4AAA3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6.摄像机控制：支持鼠标快速定位功能，通过鼠标点击快速居中画面区域，通过鼠标滚轮可以调节云台摄像机的焦距。每个云台摄像机应至少支持8个预置位设置与调用功能。</w:t>
            </w:r>
          </w:p>
          <w:p w14:paraId="13DE9B5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7.视频环出：2路高清信号同步输出，录课模式下实时环出录课画面，双流互动模式下分别实时环出互动主、辅流画面。</w:t>
            </w:r>
          </w:p>
          <w:p w14:paraId="79C32DA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8.音频处理：内置音频处理功能，包括混音、EQ均衡、回声抑制、幻象供电等。</w:t>
            </w:r>
          </w:p>
          <w:p w14:paraId="3C1F8BC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9.直播管理：支持自定义直播分辨率和码率，最高支持1080P@30fps，以适应不同网络环境下保持直播的流畅性。支持RTMP和RTSP视频传输协议，支持≥3路RTMP同步推流，推流信号源可自定义选择，实现多流直播。</w:t>
            </w:r>
          </w:p>
          <w:p w14:paraId="6550B71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10.录像管理：支持对录制视频按标题、主持人、时间、时长进行排序，便于快速检索所需视频。支持对录像文件进行回放和下载。</w:t>
            </w:r>
          </w:p>
          <w:p w14:paraId="2A7ADD7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11.视频修复：支持硬盘格式化功能，支持对设备异常断电、宕机造成的损坏视频文件进行修复。</w:t>
            </w:r>
          </w:p>
          <w:p w14:paraId="3ED9EBC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12.文件上传：支持与资源平台无缝对接，录播设备通过FTP传输协议将录制视频文件自动上传至平台。</w:t>
            </w:r>
          </w:p>
        </w:tc>
      </w:tr>
      <w:tr w14:paraId="4231B8C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882" w:hRule="atLeast"/>
          <w:jc w:val="center"/>
        </w:trPr>
        <w:tc>
          <w:tcPr>
            <w:tcW w:w="296" w:type="pct"/>
            <w:vAlign w:val="center"/>
          </w:tcPr>
          <w:p w14:paraId="272FABCB">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8895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录播导播软件</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6981B5">
            <w:pPr>
              <w:keepNext w:val="0"/>
              <w:keepLines w:val="0"/>
              <w:pageBreakBefore w:val="0"/>
              <w:widowControl/>
              <w:suppressLineNumbers w:val="0"/>
              <w:wordWrap/>
              <w:overflowPunct/>
              <w:topLinePunct w:val="0"/>
              <w:bidi w:val="0"/>
              <w:snapToGrid w:val="0"/>
              <w:spacing w:line="360" w:lineRule="exact"/>
              <w:jc w:val="center"/>
              <w:textAlignment w:val="center"/>
              <w:rPr>
                <w:rFonts w:hint="default"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1套</w:t>
            </w:r>
          </w:p>
        </w:tc>
        <w:tc>
          <w:tcPr>
            <w:tcW w:w="247" w:type="pct"/>
            <w:vAlign w:val="center"/>
          </w:tcPr>
          <w:p w14:paraId="2673868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tc>
        <w:tc>
          <w:tcPr>
            <w:tcW w:w="3635" w:type="pct"/>
            <w:vAlign w:val="center"/>
          </w:tcPr>
          <w:p w14:paraId="4D84778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1）导播方式：支持通过内嵌导播键盘和液晶屏进行本地导播，支持外接鼠标、键盘，保证导播具有较好的实时性和流畅性。</w:t>
            </w:r>
          </w:p>
          <w:p w14:paraId="1CCF7BA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2）导播功能：支持布局切换、转场特效、字幕、LOGO、摄像机控制等基本导播功能。</w:t>
            </w:r>
          </w:p>
          <w:p w14:paraId="587D5B5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3）画面预览：提供4路摄像机画面和1路教师电脑画面预览窗口，支持视频画面任意切换。</w:t>
            </w:r>
          </w:p>
          <w:p w14:paraId="286ED6C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4）布局模式：支持7种以上可选布局模式，包括双分屏、三分屏、画中画等。支持两个自定义布局方式，支持多个视频图层自由叠加组合，支持叠加纯色图层，自定义布局时可随意拖拉画面窗口。</w:t>
            </w:r>
          </w:p>
          <w:p w14:paraId="5BF351C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5）鼠标定位：支持鼠标快速定位功能，通过鼠标点击快速居中画面区域，通过鼠标滚轮可以调节云台摄像机的焦距。</w:t>
            </w:r>
          </w:p>
          <w:p w14:paraId="3AFF2CF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6）云台预置位：支持云台摄像机预置位的预设和调用功能，每个云台摄像机至少支持8个以上预置位功能。</w:t>
            </w:r>
          </w:p>
          <w:p w14:paraId="4C10D34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7）布局设置：支持自定义布局设置，支持多个视频图层自由叠加组合，自定义布局时可随意拖拉画面窗口。</w:t>
            </w:r>
          </w:p>
          <w:p w14:paraId="67BA938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8）字幕台标：支持字幕和字幕背景的透明度设置功能，支持字幕滚动和固定位置两种显示方式；支持上传台标，自定义台标位置。</w:t>
            </w:r>
          </w:p>
        </w:tc>
      </w:tr>
      <w:tr w14:paraId="369AEB2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2575410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82230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高清摄像机</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AC31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247" w:type="pct"/>
            <w:vAlign w:val="center"/>
          </w:tcPr>
          <w:p w14:paraId="05698FC0">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47DA529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1.视频输出接口：HDMI、SDI</w:t>
            </w:r>
          </w:p>
          <w:p w14:paraId="2E5E70D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2.传感器类型：CMOS，1/2.33英寸</w:t>
            </w:r>
          </w:p>
          <w:p w14:paraId="4CE4271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3.传感器像素：有效像素≥207万</w:t>
            </w:r>
          </w:p>
          <w:p w14:paraId="43D7486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4.焦距：22倍变焦</w:t>
            </w:r>
          </w:p>
          <w:p w14:paraId="408405C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5.水平转动速度范围：1.0° ~ 94.2°/s，垂直转动速度范围：1.0° ~ 74.8°/s，水平视场角：72.0° ~ 6.7°，垂直视场角：43.2° ~ 3.7°</w:t>
            </w:r>
          </w:p>
          <w:p w14:paraId="27BFFEA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6.支持水平、垂直翻转</w:t>
            </w:r>
          </w:p>
          <w:p w14:paraId="280D480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7.背光补偿：支持</w:t>
            </w:r>
          </w:p>
          <w:p w14:paraId="109D64A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8.数字降噪：2D&amp;3D数字降噪</w:t>
            </w:r>
          </w:p>
          <w:p w14:paraId="7FB77BA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9.网络流传输协议：RTP、RTSP</w:t>
            </w:r>
          </w:p>
          <w:p w14:paraId="31E8319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10.预置位数量：255</w:t>
            </w:r>
          </w:p>
          <w:p w14:paraId="6DD8683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11.网络接口：RJ45</w:t>
            </w:r>
          </w:p>
          <w:p w14:paraId="61FBF8B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12.音频接口：Line In,3.5mm</w:t>
            </w:r>
          </w:p>
          <w:p w14:paraId="770A62F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13.通讯接口：RS232、RS422</w:t>
            </w:r>
          </w:p>
          <w:p w14:paraId="6C276D5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14.USB接口：USB Type-A</w:t>
            </w:r>
          </w:p>
          <w:p w14:paraId="499A6E6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15.支持的协议类型：VISCA</w:t>
            </w:r>
          </w:p>
          <w:p w14:paraId="0C55504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16.编码技术：视频H.265、H.264</w:t>
            </w:r>
          </w:p>
          <w:p w14:paraId="2CF9609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17.电源支持：支持POC供电、电源适配器供电两种供电方式，根据环境实际情况可灵活选择。</w:t>
            </w:r>
          </w:p>
          <w:p w14:paraId="2344622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w:t>
            </w:r>
            <w:r>
              <w:rPr>
                <w:rFonts w:hint="eastAsia" w:ascii="宋体" w:hAnsi="宋体" w:eastAsia="宋体" w:cs="宋体"/>
                <w:color w:val="auto"/>
                <w:sz w:val="24"/>
                <w:szCs w:val="24"/>
                <w:highlight w:val="none"/>
                <w:lang w:val="en-US" w:eastAsia="zh-CN"/>
              </w:rPr>
              <w:t>8</w:t>
            </w:r>
            <w:r>
              <w:rPr>
                <w:rFonts w:hint="eastAsia" w:ascii="宋体" w:hAnsi="宋体" w:eastAsia="宋体" w:cs="宋体"/>
                <w:color w:val="auto"/>
                <w:sz w:val="24"/>
                <w:szCs w:val="24"/>
                <w:highlight w:val="none"/>
              </w:rPr>
              <w:t>.整机使用平均无故障运行时间(MTBF)应≥100000小时</w:t>
            </w:r>
          </w:p>
          <w:p w14:paraId="491A91A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19.</w:t>
            </w:r>
            <w:r>
              <w:rPr>
                <w:rFonts w:hint="eastAsia" w:ascii="宋体" w:hAnsi="宋体" w:eastAsia="宋体" w:cs="宋体"/>
                <w:color w:val="auto"/>
                <w:sz w:val="24"/>
                <w:szCs w:val="24"/>
                <w:highlight w:val="none"/>
              </w:rPr>
              <w:t>要求摄像机与录播主机为同一品牌</w:t>
            </w:r>
          </w:p>
        </w:tc>
      </w:tr>
      <w:tr w14:paraId="30BBB82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70" w:hRule="atLeast"/>
          <w:jc w:val="center"/>
        </w:trPr>
        <w:tc>
          <w:tcPr>
            <w:tcW w:w="296" w:type="pct"/>
            <w:vAlign w:val="center"/>
          </w:tcPr>
          <w:p w14:paraId="5063BA68">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5</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52EE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高清摄像机管理软件</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60335">
            <w:pPr>
              <w:keepNext w:val="0"/>
              <w:keepLines w:val="0"/>
              <w:pageBreakBefore w:val="0"/>
              <w:widowControl/>
              <w:suppressLineNumbers w:val="0"/>
              <w:wordWrap/>
              <w:overflowPunct/>
              <w:topLinePunct w:val="0"/>
              <w:bidi w:val="0"/>
              <w:snapToGrid w:val="0"/>
              <w:spacing w:line="360" w:lineRule="exact"/>
              <w:jc w:val="center"/>
              <w:textAlignment w:val="center"/>
              <w:rPr>
                <w:rFonts w:hint="default"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3套</w:t>
            </w:r>
          </w:p>
        </w:tc>
        <w:tc>
          <w:tcPr>
            <w:tcW w:w="247" w:type="pct"/>
            <w:vAlign w:val="center"/>
          </w:tcPr>
          <w:p w14:paraId="60FE828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tc>
        <w:tc>
          <w:tcPr>
            <w:tcW w:w="3635" w:type="pct"/>
            <w:vAlign w:val="center"/>
          </w:tcPr>
          <w:p w14:paraId="59883BC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 摄像机管理软件采用B/S架构，支持通用浏览器直接访问进行管理。</w:t>
            </w:r>
          </w:p>
          <w:p w14:paraId="12AF936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 支持网络参数设置与修改，支持一键恢复默认参数。</w:t>
            </w:r>
          </w:p>
          <w:p w14:paraId="1E04239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 支持曝光模式设置功能，包括自动、手动。</w:t>
            </w:r>
          </w:p>
          <w:p w14:paraId="67AF0AF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 支持抗闪烁频率、动态范围、光圈、快门参数设置。</w:t>
            </w:r>
          </w:p>
          <w:p w14:paraId="7D1BC34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 支持自动白平衡设置功能，红、蓝增益可调。</w:t>
            </w:r>
          </w:p>
          <w:p w14:paraId="57B2B5C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 支持噪声抑制设置功能，支持2D、3D降噪。</w:t>
            </w:r>
          </w:p>
          <w:p w14:paraId="168DC41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 支持摄像机图像质量调节功能，包括亮度、对比度、色调、饱和度。</w:t>
            </w:r>
          </w:p>
          <w:p w14:paraId="3E89A72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 支持摄像机控制功能，包括云台控制、预置位设置与调用、焦距调节等。</w:t>
            </w:r>
          </w:p>
        </w:tc>
      </w:tr>
      <w:tr w14:paraId="5482C63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176673FF">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6</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BCA3C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数字无线音频套装</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C4BBA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3B90F39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3635" w:type="pct"/>
            <w:vAlign w:val="center"/>
          </w:tcPr>
          <w:p w14:paraId="45A0E5D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（1）腰包领夹麦克风</w:t>
            </w:r>
          </w:p>
          <w:p w14:paraId="4EF09E7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1.载波频段：UHF500~980MHz</w:t>
            </w:r>
          </w:p>
          <w:p w14:paraId="1DBD77B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2.调制方式：FM</w:t>
            </w:r>
          </w:p>
          <w:p w14:paraId="6AAC8BF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3.输出功率：5mW-10mW</w:t>
            </w:r>
          </w:p>
          <w:p w14:paraId="2A70FA4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4.振荡方式：PLL相位锁定频率合成</w:t>
            </w:r>
          </w:p>
          <w:p w14:paraId="39AD175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6.综合S/N比：&gt;97dB</w:t>
            </w:r>
          </w:p>
          <w:p w14:paraId="22BD536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7.单体：背极式驻极体</w:t>
            </w:r>
          </w:p>
          <w:p w14:paraId="341EFA6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8.指向性：心形</w:t>
            </w:r>
          </w:p>
          <w:p w14:paraId="6C4F252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9.频率响应：40Hz-16kHz</w:t>
            </w:r>
          </w:p>
          <w:p w14:paraId="1AFEE9E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10.灵敏度：-37dB±3dB</w:t>
            </w:r>
          </w:p>
          <w:p w14:paraId="37D72D1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11.最大声压级：130dB</w:t>
            </w:r>
          </w:p>
          <w:p w14:paraId="611F47E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（2）手持发射麦克风</w:t>
            </w:r>
          </w:p>
          <w:p w14:paraId="5F9EECE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1.载波频段UHF500~980MHz</w:t>
            </w:r>
          </w:p>
          <w:p w14:paraId="6B1F773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2.调制方式FM</w:t>
            </w:r>
          </w:p>
          <w:p w14:paraId="24BF730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3.输出功率5mW-10mW</w:t>
            </w:r>
          </w:p>
          <w:p w14:paraId="51729CE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4.振荡方式PLL相位锁定频率合成</w:t>
            </w:r>
          </w:p>
          <w:p w14:paraId="6CAE3A1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5.综合S/N比&gt;97dB</w:t>
            </w:r>
          </w:p>
          <w:p w14:paraId="0039F60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6.综合T.H.D.≤1%@1KHz</w:t>
            </w:r>
          </w:p>
          <w:p w14:paraId="557EB63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7.单体动圈式音头</w:t>
            </w:r>
          </w:p>
          <w:p w14:paraId="7EB5B63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8.指向性心形指向</w:t>
            </w:r>
          </w:p>
          <w:p w14:paraId="65A6FCD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9.频率响应60Hz-18kHz</w:t>
            </w:r>
          </w:p>
          <w:p w14:paraId="620F56A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10.灵敏度-50dB±3dB</w:t>
            </w:r>
          </w:p>
          <w:p w14:paraId="7D33AA2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（3）手雷发射麦克风</w:t>
            </w:r>
          </w:p>
          <w:p w14:paraId="35C4A93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1.频段：UHF480-960MHz</w:t>
            </w:r>
          </w:p>
          <w:p w14:paraId="26B9149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2.转换头：具有固定螺环的XLR插座</w:t>
            </w:r>
          </w:p>
          <w:p w14:paraId="487D8E5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3.发射功率：5mW/10mW可设置切换</w:t>
            </w:r>
          </w:p>
          <w:p w14:paraId="1E05296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4.天线：外接的有线动圈式麦克风或电容式麦克风</w:t>
            </w:r>
          </w:p>
          <w:p w14:paraId="2194E1B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5.振荡模式：PLL电路，频率稳定度≤±0.005%</w:t>
            </w:r>
          </w:p>
          <w:p w14:paraId="1A2B32A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6.显示器：具有背光的LCD，显示工作频道、频率、增益、音量、发射功率、静音、电池存量、静音开关设定、幻象电压，操作锁定及提示讯息等功能</w:t>
            </w:r>
          </w:p>
          <w:p w14:paraId="3F7E9D5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7.输入灵敏度：-40dB、-30dB、-20dB、-10dB、0dB五段，0dB=音头灵敏度</w:t>
            </w:r>
          </w:p>
          <w:p w14:paraId="56EED10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8.幻象电源电压：提供可切换0V、12V、及48V的电压</w:t>
            </w:r>
          </w:p>
          <w:p w14:paraId="45EE48E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9.外接麦克风输入座：标准有线麦克风XLR平衡输入母座</w:t>
            </w:r>
          </w:p>
          <w:p w14:paraId="5E9262C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10.连续使用时间：＞5小时</w:t>
            </w:r>
          </w:p>
          <w:p w14:paraId="6AE4BF7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11.话筒单体：电容式拾音器</w:t>
            </w:r>
          </w:p>
          <w:p w14:paraId="20DA3A6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12.指向性超心型</w:t>
            </w:r>
          </w:p>
          <w:p w14:paraId="1B3BD70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13.频率响应40Hz-16kHz</w:t>
            </w:r>
          </w:p>
          <w:p w14:paraId="7B812DC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14.灵敏度-29±3dB</w:t>
            </w:r>
          </w:p>
          <w:p w14:paraId="0A87D8A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15.最大声压级130dB（T.H.D≤1% at 1kHz）</w:t>
            </w:r>
          </w:p>
          <w:p w14:paraId="005C6CA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16.信噪比70dB（1kHz at 1Pa）</w:t>
            </w:r>
          </w:p>
          <w:p w14:paraId="2EE591F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（4）无线接收机</w:t>
            </w:r>
          </w:p>
          <w:p w14:paraId="01BA399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1.振动器类型：晶体控制锁相环合成器</w:t>
            </w:r>
          </w:p>
          <w:p w14:paraId="643C4D6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2.接收频率范围：500-960MHz</w:t>
            </w:r>
          </w:p>
          <w:p w14:paraId="2560827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3.频率响应：30Hz至16kHz</w:t>
            </w:r>
          </w:p>
          <w:p w14:paraId="05F1098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4.信噪比96dB</w:t>
            </w:r>
          </w:p>
          <w:p w14:paraId="23F7047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5.模拟输入（麦克风及线路）：3极迷你插孔</w:t>
            </w:r>
          </w:p>
          <w:p w14:paraId="5CEC072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6.模拟输入电平：-50dBV</w:t>
            </w:r>
          </w:p>
          <w:p w14:paraId="57C4DA0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7.模拟输出：3极迷你插孔，不平衡</w:t>
            </w:r>
          </w:p>
          <w:p w14:paraId="6C1B6D7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8.模拟输出电平：-60dBV</w:t>
            </w:r>
          </w:p>
          <w:p w14:paraId="1BAFA3F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9.模拟输出调节范围：-12dB至+12dB</w:t>
            </w:r>
          </w:p>
          <w:p w14:paraId="4314DE4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10.耳机输出：φ3.5mm（5/32英寸）立体声迷你插孔</w:t>
            </w:r>
          </w:p>
          <w:p w14:paraId="16AB6FA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11.耳机输出电平：5mW</w:t>
            </w:r>
          </w:p>
        </w:tc>
      </w:tr>
      <w:tr w14:paraId="202482B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903" w:hRule="atLeast"/>
          <w:jc w:val="center"/>
        </w:trPr>
        <w:tc>
          <w:tcPr>
            <w:tcW w:w="296" w:type="pct"/>
            <w:vAlign w:val="center"/>
          </w:tcPr>
          <w:p w14:paraId="3D4CEF0F">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7</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C4A5B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无线网卡</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3FB2B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247" w:type="pct"/>
            <w:vAlign w:val="center"/>
          </w:tcPr>
          <w:p w14:paraId="7098FF8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3635" w:type="pct"/>
            <w:vAlign w:val="center"/>
          </w:tcPr>
          <w:p w14:paraId="57DF077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1.接口类型：USB3.0，向下兼容USB2.0</w:t>
            </w:r>
          </w:p>
          <w:p w14:paraId="4E41A6E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2.天线：内置智能天线，高增益2dBi</w:t>
            </w:r>
          </w:p>
          <w:p w14:paraId="39474F9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3.网络标准：IEEE 802.11ac/a/b/g/n</w:t>
            </w:r>
          </w:p>
          <w:p w14:paraId="3B28FF5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4.频率范围：双频(2.4GHz、5.8GHz)</w:t>
            </w:r>
          </w:p>
          <w:p w14:paraId="67FBAD2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5.传输速率：2.4G不小于300Mbps；5.8G不小于800Mbps</w:t>
            </w:r>
          </w:p>
          <w:p w14:paraId="3330F12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6.收发性能：支持4*4MIMO架构，4数据流并发</w:t>
            </w:r>
          </w:p>
          <w:p w14:paraId="6C3C38D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7.发射功率：≥18dBm</w:t>
            </w:r>
          </w:p>
          <w:p w14:paraId="526E6AE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8.操作系统：Win XP/Win7/Win8/Win10/Vista/Linux/Mac</w:t>
            </w:r>
          </w:p>
        </w:tc>
      </w:tr>
      <w:tr w14:paraId="33CF055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3184592D">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8</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F4E52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摄像机支架</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FE31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247" w:type="pct"/>
            <w:vAlign w:val="center"/>
          </w:tcPr>
          <w:p w14:paraId="5DB33994">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支</w:t>
            </w:r>
          </w:p>
        </w:tc>
        <w:tc>
          <w:tcPr>
            <w:tcW w:w="3635" w:type="pct"/>
            <w:vAlign w:val="center"/>
          </w:tcPr>
          <w:p w14:paraId="20337FA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1.材质：铝合金；</w:t>
            </w:r>
          </w:p>
          <w:p w14:paraId="5B0FC2B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2.管径：14~26mm</w:t>
            </w:r>
          </w:p>
          <w:p w14:paraId="0780A79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3.升高：≥150cm</w:t>
            </w:r>
          </w:p>
          <w:p w14:paraId="0FFDF08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4.最低高度：12~15cm</w:t>
            </w:r>
          </w:p>
          <w:p w14:paraId="36E803B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5.收合高度：≤45cm</w:t>
            </w:r>
          </w:p>
          <w:p w14:paraId="390E056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6.载重：≥5kg</w:t>
            </w:r>
          </w:p>
        </w:tc>
      </w:tr>
      <w:tr w14:paraId="44B123C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297" w:hRule="atLeast"/>
          <w:jc w:val="center"/>
        </w:trPr>
        <w:tc>
          <w:tcPr>
            <w:tcW w:w="296" w:type="pct"/>
            <w:vAlign w:val="center"/>
          </w:tcPr>
          <w:p w14:paraId="4B4305D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9</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B09C3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设备箱/线材箱</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1B76C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499AD4F4">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3635" w:type="pct"/>
            <w:vAlign w:val="center"/>
          </w:tcPr>
          <w:p w14:paraId="0AEB302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 外尺寸：≥L665*W490*H342mm</w:t>
            </w:r>
          </w:p>
          <w:p w14:paraId="1A00405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 内尺寸：L600*W420*H（260+43）mm</w:t>
            </w:r>
          </w:p>
          <w:p w14:paraId="14E06B4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 颜色：黑</w:t>
            </w:r>
          </w:p>
        </w:tc>
      </w:tr>
      <w:tr w14:paraId="24A6425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29C58DB3">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10</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E7B76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移动电源</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6A7EC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247" w:type="pct"/>
            <w:vAlign w:val="center"/>
          </w:tcPr>
          <w:p w14:paraId="73D27B9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3635" w:type="pct"/>
            <w:vAlign w:val="center"/>
          </w:tcPr>
          <w:p w14:paraId="129F228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1）容量（mAh）：≥32000</w:t>
            </w:r>
          </w:p>
          <w:p w14:paraId="51711D8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2）电芯类型：锂聚合物电池</w:t>
            </w:r>
          </w:p>
          <w:p w14:paraId="2EC4758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3）输入电压：20V (max)</w:t>
            </w:r>
          </w:p>
          <w:p w14:paraId="03E9414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4）输出电压：20V (max)</w:t>
            </w:r>
          </w:p>
          <w:p w14:paraId="3837E80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5）输出电流：DC15-24V 2A</w:t>
            </w:r>
          </w:p>
          <w:p w14:paraId="1A5FBF8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6）输入电流：DC15-24V 2A</w:t>
            </w:r>
          </w:p>
          <w:p w14:paraId="55EDB34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7）电量显示：支持</w:t>
            </w:r>
          </w:p>
        </w:tc>
      </w:tr>
      <w:tr w14:paraId="60F0A0C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97" w:hRule="atLeast"/>
          <w:jc w:val="center"/>
        </w:trPr>
        <w:tc>
          <w:tcPr>
            <w:tcW w:w="5000" w:type="pct"/>
            <w:gridSpan w:val="5"/>
            <w:vAlign w:val="center"/>
          </w:tcPr>
          <w:p w14:paraId="5DC22644">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eastAsia="zh-CN"/>
              </w:rPr>
            </w:pPr>
            <w:r>
              <w:rPr>
                <w:rFonts w:hint="eastAsia" w:ascii="宋体" w:hAnsi="宋体" w:eastAsia="宋体" w:cs="宋体"/>
                <w:b/>
                <w:bCs/>
                <w:color w:val="auto"/>
                <w:sz w:val="24"/>
                <w:szCs w:val="24"/>
                <w:highlight w:val="none"/>
                <w:lang w:val="en-US" w:eastAsia="zh-CN"/>
              </w:rPr>
              <w:t>三、</w:t>
            </w:r>
            <w:r>
              <w:rPr>
                <w:rFonts w:hint="eastAsia" w:ascii="宋体" w:hAnsi="宋体" w:eastAsia="宋体" w:cs="宋体"/>
                <w:b/>
                <w:bCs/>
                <w:color w:val="auto"/>
                <w:sz w:val="24"/>
                <w:szCs w:val="24"/>
                <w:highlight w:val="none"/>
              </w:rPr>
              <w:t>多功能厅</w:t>
            </w:r>
            <w:r>
              <w:rPr>
                <w:rFonts w:hint="eastAsia" w:ascii="宋体" w:hAnsi="宋体" w:eastAsia="宋体" w:cs="宋体"/>
                <w:b/>
                <w:bCs/>
                <w:color w:val="auto"/>
                <w:sz w:val="24"/>
                <w:szCs w:val="24"/>
                <w:highlight w:val="none"/>
                <w:lang w:val="en-US" w:eastAsia="zh-CN"/>
              </w:rPr>
              <w:t>设备</w:t>
            </w:r>
          </w:p>
        </w:tc>
      </w:tr>
      <w:tr w14:paraId="7613653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97" w:hRule="atLeast"/>
          <w:jc w:val="center"/>
        </w:trPr>
        <w:tc>
          <w:tcPr>
            <w:tcW w:w="5000" w:type="pct"/>
            <w:gridSpan w:val="5"/>
            <w:vAlign w:val="center"/>
          </w:tcPr>
          <w:p w14:paraId="490FDF8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b/>
                <w:bCs/>
                <w:color w:val="auto"/>
                <w:sz w:val="24"/>
                <w:szCs w:val="24"/>
                <w:highlight w:val="none"/>
                <w:lang w:val="en-US" w:eastAsia="zh-CN"/>
              </w:rPr>
            </w:pPr>
            <w:r>
              <w:rPr>
                <w:rFonts w:hint="default" w:ascii="Calibri" w:hAnsi="Calibri" w:eastAsia="宋体" w:cs="Calibri"/>
                <w:b/>
                <w:bCs/>
                <w:color w:val="auto"/>
                <w:sz w:val="24"/>
                <w:szCs w:val="24"/>
                <w:highlight w:val="none"/>
              </w:rPr>
              <w:t>①</w:t>
            </w:r>
            <w:r>
              <w:rPr>
                <w:rFonts w:hint="eastAsia" w:ascii="宋体" w:hAnsi="宋体" w:eastAsia="宋体" w:cs="宋体"/>
                <w:b/>
                <w:bCs/>
                <w:color w:val="auto"/>
                <w:sz w:val="24"/>
                <w:szCs w:val="24"/>
                <w:highlight w:val="none"/>
              </w:rPr>
              <w:t>多功能厅扩声系统</w:t>
            </w:r>
          </w:p>
        </w:tc>
      </w:tr>
      <w:tr w14:paraId="1EB896F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050BD104">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57766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线阵主扩音箱</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E023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8</w:t>
            </w:r>
          </w:p>
        </w:tc>
        <w:tc>
          <w:tcPr>
            <w:tcW w:w="247" w:type="pct"/>
            <w:vAlign w:val="center"/>
          </w:tcPr>
          <w:p w14:paraId="42758DC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只</w:t>
            </w:r>
          </w:p>
        </w:tc>
        <w:tc>
          <w:tcPr>
            <w:tcW w:w="3635" w:type="pct"/>
            <w:vAlign w:val="center"/>
          </w:tcPr>
          <w:p w14:paraId="424C5B89">
            <w:pPr>
              <w:keepNext w:val="0"/>
              <w:keepLines w:val="0"/>
              <w:pageBreakBefore w:val="0"/>
              <w:widowControl w:val="0"/>
              <w:kinsoku/>
              <w:wordWrap/>
              <w:overflowPunct/>
              <w:topLinePunct w:val="0"/>
              <w:autoSpaceDE/>
              <w:autoSpaceDN/>
              <w:bidi w:val="0"/>
              <w:adjustRightInd/>
              <w:snapToGrid w:val="0"/>
              <w:spacing w:line="360" w:lineRule="exact"/>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分频结构：两分频线性阵列全频音箱</w:t>
            </w:r>
          </w:p>
          <w:p w14:paraId="5B552BF7">
            <w:pPr>
              <w:keepNext w:val="0"/>
              <w:keepLines w:val="0"/>
              <w:pageBreakBefore w:val="0"/>
              <w:widowControl w:val="0"/>
              <w:kinsoku/>
              <w:wordWrap/>
              <w:overflowPunct/>
              <w:topLinePunct w:val="0"/>
              <w:autoSpaceDE/>
              <w:autoSpaceDN/>
              <w:bidi w:val="0"/>
              <w:adjustRightInd/>
              <w:snapToGrid w:val="0"/>
              <w:spacing w:line="360" w:lineRule="exact"/>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低音单元：≥2*10寸</w:t>
            </w:r>
          </w:p>
          <w:p w14:paraId="3851821B">
            <w:pPr>
              <w:keepNext w:val="0"/>
              <w:keepLines w:val="0"/>
              <w:pageBreakBefore w:val="0"/>
              <w:widowControl w:val="0"/>
              <w:kinsoku/>
              <w:wordWrap/>
              <w:overflowPunct/>
              <w:topLinePunct w:val="0"/>
              <w:autoSpaceDE/>
              <w:autoSpaceDN/>
              <w:bidi w:val="0"/>
              <w:adjustRightInd/>
              <w:snapToGrid w:val="0"/>
              <w:spacing w:line="360" w:lineRule="exact"/>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高音：≥75mm</w:t>
            </w:r>
          </w:p>
          <w:p w14:paraId="71CCAC47">
            <w:pPr>
              <w:keepNext w:val="0"/>
              <w:keepLines w:val="0"/>
              <w:pageBreakBefore w:val="0"/>
              <w:widowControl w:val="0"/>
              <w:kinsoku/>
              <w:wordWrap/>
              <w:overflowPunct/>
              <w:topLinePunct w:val="0"/>
              <w:autoSpaceDE/>
              <w:autoSpaceDN/>
              <w:bidi w:val="0"/>
              <w:adjustRightInd/>
              <w:snapToGrid w:val="0"/>
              <w:spacing w:line="360" w:lineRule="exact"/>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输入阻抗：8Ω</w:t>
            </w:r>
          </w:p>
          <w:p w14:paraId="56005FAE">
            <w:pPr>
              <w:keepNext w:val="0"/>
              <w:keepLines w:val="0"/>
              <w:pageBreakBefore w:val="0"/>
              <w:widowControl w:val="0"/>
              <w:kinsoku/>
              <w:wordWrap/>
              <w:overflowPunct/>
              <w:topLinePunct w:val="0"/>
              <w:autoSpaceDE/>
              <w:autoSpaceDN/>
              <w:bidi w:val="0"/>
              <w:adjustRightInd/>
              <w:snapToGrid w:val="0"/>
              <w:spacing w:line="360" w:lineRule="exact"/>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连续功率：≥700W</w:t>
            </w:r>
          </w:p>
          <w:p w14:paraId="579B5AB3">
            <w:pPr>
              <w:keepNext w:val="0"/>
              <w:keepLines w:val="0"/>
              <w:pageBreakBefore w:val="0"/>
              <w:widowControl w:val="0"/>
              <w:kinsoku/>
              <w:wordWrap/>
              <w:overflowPunct/>
              <w:topLinePunct w:val="0"/>
              <w:autoSpaceDE/>
              <w:autoSpaceDN/>
              <w:bidi w:val="0"/>
              <w:adjustRightInd/>
              <w:snapToGrid w:val="0"/>
              <w:spacing w:line="360" w:lineRule="exact"/>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峰值功率：≥1400W</w:t>
            </w:r>
          </w:p>
          <w:p w14:paraId="7BF2A67E">
            <w:pPr>
              <w:keepNext w:val="0"/>
              <w:keepLines w:val="0"/>
              <w:pageBreakBefore w:val="0"/>
              <w:widowControl w:val="0"/>
              <w:kinsoku/>
              <w:wordWrap/>
              <w:overflowPunct/>
              <w:topLinePunct w:val="0"/>
              <w:autoSpaceDE/>
              <w:autoSpaceDN/>
              <w:bidi w:val="0"/>
              <w:adjustRightInd/>
              <w:snapToGrid w:val="0"/>
              <w:spacing w:line="360" w:lineRule="exact"/>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频响：≥53Hz-20KHz</w:t>
            </w:r>
          </w:p>
          <w:p w14:paraId="51BB1A5B">
            <w:pPr>
              <w:keepNext w:val="0"/>
              <w:keepLines w:val="0"/>
              <w:pageBreakBefore w:val="0"/>
              <w:widowControl w:val="0"/>
              <w:kinsoku/>
              <w:wordWrap/>
              <w:overflowPunct/>
              <w:topLinePunct w:val="0"/>
              <w:autoSpaceDE/>
              <w:autoSpaceDN/>
              <w:bidi w:val="0"/>
              <w:adjustRightInd/>
              <w:snapToGrid w:val="0"/>
              <w:spacing w:line="360" w:lineRule="exact"/>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灵敏度(1w/m)：≥112dB</w:t>
            </w:r>
          </w:p>
          <w:p w14:paraId="6F7B1382">
            <w:pPr>
              <w:keepNext w:val="0"/>
              <w:keepLines w:val="0"/>
              <w:pageBreakBefore w:val="0"/>
              <w:widowControl w:val="0"/>
              <w:kinsoku/>
              <w:wordWrap/>
              <w:overflowPunct/>
              <w:topLinePunct w:val="0"/>
              <w:autoSpaceDE/>
              <w:autoSpaceDN/>
              <w:bidi w:val="0"/>
              <w:adjustRightInd/>
              <w:snapToGrid w:val="0"/>
              <w:spacing w:line="360" w:lineRule="exact"/>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最大声压：≥138dB</w:t>
            </w:r>
          </w:p>
          <w:p w14:paraId="5F7A77D6">
            <w:pPr>
              <w:keepNext w:val="0"/>
              <w:keepLines w:val="0"/>
              <w:pageBreakBefore w:val="0"/>
              <w:widowControl w:val="0"/>
              <w:kinsoku/>
              <w:wordWrap/>
              <w:overflowPunct/>
              <w:topLinePunct w:val="0"/>
              <w:autoSpaceDE/>
              <w:autoSpaceDN/>
              <w:bidi w:val="0"/>
              <w:adjustRightInd/>
              <w:snapToGrid w:val="0"/>
              <w:spacing w:line="360" w:lineRule="exact"/>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扩声角度：≥70°H×10°V</w:t>
            </w:r>
          </w:p>
        </w:tc>
      </w:tr>
      <w:tr w14:paraId="05CE0E7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49C9114B">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B3C20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线阵主扩音箱功放</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6212C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247" w:type="pct"/>
            <w:vAlign w:val="center"/>
          </w:tcPr>
          <w:p w14:paraId="38B49CD1">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4BA3A8B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8Ω立体声(输出)功率：≥1000W x 2</w:t>
            </w:r>
          </w:p>
          <w:p w14:paraId="5F17C04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4Ω立体声(输出)功率：≥1800W x 2</w:t>
            </w:r>
          </w:p>
          <w:p w14:paraId="7355F56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8Ω桥接(输出)功率：≥2000W </w:t>
            </w:r>
          </w:p>
          <w:p w14:paraId="3553DBA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频率响应：≥20Hz~20KHz(±0.5)</w:t>
            </w:r>
          </w:p>
          <w:p w14:paraId="56ABA89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总谐波失真(8Ω / 1KHz)：≤0.5%</w:t>
            </w:r>
          </w:p>
          <w:p w14:paraId="31A6DEB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互换失真：≤0.35%</w:t>
            </w:r>
          </w:p>
          <w:p w14:paraId="23FF571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转换速率：&gt;10V / μs</w:t>
            </w:r>
          </w:p>
          <w:p w14:paraId="638A67C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串扰：-75dB(at 1KHz) / -59dB(at 20KHz)</w:t>
            </w:r>
          </w:p>
          <w:p w14:paraId="3BB9F82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阻尼系数(400Hz~1KHz)：&gt;600Ω</w:t>
            </w:r>
          </w:p>
          <w:p w14:paraId="37A0B4B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输入灵敏度 0.775V / 1.4V / 32dB</w:t>
            </w:r>
          </w:p>
          <w:p w14:paraId="5C5D67F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输入阻抗 非平衡(10KΩ) / 平衡(20KΩ)</w:t>
            </w:r>
          </w:p>
          <w:p w14:paraId="18081CD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电压增益(8Ω / 1KHz) 33dB / 36dB / 39dB / 41dB</w:t>
            </w:r>
          </w:p>
          <w:p w14:paraId="0AEBE46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接口部分 输入：平衡式(XLR)卡龙(公头x 4 +母头x 4) / 输出：SpeakON接头x 4 + 1/4吋(TRS)接线柱 x 4</w:t>
            </w:r>
          </w:p>
          <w:p w14:paraId="6785B8F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信噪比：≥100dB</w:t>
            </w:r>
          </w:p>
          <w:p w14:paraId="032B38F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保护及冷却功能 哑音开关(软启动)；直流故障断开；有源浪涌(失真)限幅；短路、开路，射频过载和过热等保护功能。(变频智能风扇)</w:t>
            </w:r>
          </w:p>
        </w:tc>
      </w:tr>
      <w:tr w14:paraId="550EEAF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797" w:hRule="atLeast"/>
          <w:jc w:val="center"/>
        </w:trPr>
        <w:tc>
          <w:tcPr>
            <w:tcW w:w="296" w:type="pct"/>
            <w:vAlign w:val="center"/>
          </w:tcPr>
          <w:p w14:paraId="3C2A5CEB">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3FC9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线阵低音音箱</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C673D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247" w:type="pct"/>
            <w:vAlign w:val="center"/>
          </w:tcPr>
          <w:p w14:paraId="13D6EC8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只</w:t>
            </w:r>
          </w:p>
        </w:tc>
        <w:tc>
          <w:tcPr>
            <w:tcW w:w="3635" w:type="pct"/>
            <w:vAlign w:val="center"/>
          </w:tcPr>
          <w:p w14:paraId="542FCDA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分频结构：单18"超重低频线性阵列</w:t>
            </w:r>
          </w:p>
          <w:p w14:paraId="5A010D8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低音单元：≥ 18"</w:t>
            </w:r>
          </w:p>
          <w:p w14:paraId="2473387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输入阻抗：8Ω</w:t>
            </w:r>
          </w:p>
          <w:p w14:paraId="5E5BC4C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连续功率：≥750W</w:t>
            </w:r>
          </w:p>
          <w:p w14:paraId="6D344C4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峰值功率：≥2200W</w:t>
            </w:r>
          </w:p>
          <w:p w14:paraId="287B4AE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频响：≥35Hz-250Hz</w:t>
            </w:r>
          </w:p>
          <w:p w14:paraId="6B964AC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灵敏度(1w/m)：≥ 100dB</w:t>
            </w:r>
          </w:p>
          <w:p w14:paraId="259B5EC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最大声压：≥125dB</w:t>
            </w:r>
          </w:p>
        </w:tc>
      </w:tr>
      <w:tr w14:paraId="4711CA2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54D18E7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C1381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线阵低音箱功放</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D789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247" w:type="pct"/>
            <w:vAlign w:val="center"/>
          </w:tcPr>
          <w:p w14:paraId="2F96F84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7EC07F0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8Ω立体声(输出)功率：≥1000W x 2</w:t>
            </w:r>
          </w:p>
          <w:p w14:paraId="35963CA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4Ω立体声(输出)功率：≥1800W x 2</w:t>
            </w:r>
          </w:p>
          <w:p w14:paraId="0A10E09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8Ω桥接(输出)功率：≥2000W </w:t>
            </w:r>
          </w:p>
          <w:p w14:paraId="1403949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频率响应：≥20Hz~20KHz(±0.5)</w:t>
            </w:r>
          </w:p>
          <w:p w14:paraId="50BB988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总谐波失真(8Ω / 1KHz)：≤0.5%</w:t>
            </w:r>
          </w:p>
          <w:p w14:paraId="1B0872C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互换失真：≤0.35%</w:t>
            </w:r>
          </w:p>
          <w:p w14:paraId="75C6A13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转换速率：&gt;10V / μs</w:t>
            </w:r>
          </w:p>
          <w:p w14:paraId="276D737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串扰：-75dB(at 1KHz) / -59dB(at 20KHz)</w:t>
            </w:r>
          </w:p>
          <w:p w14:paraId="0026101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阻尼系数(400Hz~1KHz)：&gt;600Ω</w:t>
            </w:r>
          </w:p>
          <w:p w14:paraId="6BCF0FA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输入灵敏度 0.775V / 1.4V / 32dB</w:t>
            </w:r>
          </w:p>
          <w:p w14:paraId="0AC2F38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输入阻抗 非平衡(10KΩ) / 平衡(20KΩ)</w:t>
            </w:r>
          </w:p>
          <w:p w14:paraId="2C37999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电压增益(8Ω / 1KHz) 33dB / 36dB / 39dB / 41dB</w:t>
            </w:r>
          </w:p>
          <w:p w14:paraId="5CD25CE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接口部分 输入：平衡式(XLR)卡龙(公头x 4 +母头x 4) / 输出：SpeakON接头x 4 + 1/4吋(TRS)接线柱 x 4</w:t>
            </w:r>
          </w:p>
          <w:p w14:paraId="3F73642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信噪比：≥100dB</w:t>
            </w:r>
          </w:p>
          <w:p w14:paraId="3A8A932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保护及冷却功能 哑音开关(软启动)；直流故障断开；有源浪涌(失真)限幅；短路、开路，射频过载和过热等保护功能。(变频智能风扇)</w:t>
            </w:r>
          </w:p>
        </w:tc>
      </w:tr>
      <w:tr w14:paraId="4CBFE20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6681C4CE">
            <w:pPr>
              <w:pStyle w:val="13"/>
              <w:keepNext w:val="0"/>
              <w:keepLines w:val="0"/>
              <w:pageBreakBefore w:val="0"/>
              <w:widowControl w:val="0"/>
              <w:wordWrap/>
              <w:overflowPunct/>
              <w:topLinePunct w:val="0"/>
              <w:bidi w:val="0"/>
              <w:snapToGrid w:val="0"/>
              <w:spacing w:line="360" w:lineRule="exact"/>
              <w:ind w:left="0" w:leftChars="0" w:firstLine="0" w:firstLineChars="0"/>
              <w:jc w:val="both"/>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5</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EDE365">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线阵吊装配件</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11AE55">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247" w:type="pct"/>
            <w:vAlign w:val="center"/>
          </w:tcPr>
          <w:p w14:paraId="08643AF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3635" w:type="pct"/>
            <w:vAlign w:val="center"/>
          </w:tcPr>
          <w:p w14:paraId="4BE1F41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高强度钢材，极高安全性能多吊点双10寸线阵列配套田字架；配有不少于两个前吊挂连杆，不少于两个后吊挂连杆，不少于4个8厘插销，不少于4个M25U型扣；可作高空吊挂及地面支撑使用</w:t>
            </w:r>
          </w:p>
        </w:tc>
      </w:tr>
      <w:tr w14:paraId="5F6A64C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877" w:hRule="atLeast"/>
          <w:jc w:val="center"/>
        </w:trPr>
        <w:tc>
          <w:tcPr>
            <w:tcW w:w="296" w:type="pct"/>
            <w:vAlign w:val="center"/>
          </w:tcPr>
          <w:p w14:paraId="0AD6916C">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6</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A9C6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中置单12寸全频音箱</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58C4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247" w:type="pct"/>
            <w:vAlign w:val="center"/>
          </w:tcPr>
          <w:p w14:paraId="704A1151">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只</w:t>
            </w:r>
          </w:p>
        </w:tc>
        <w:tc>
          <w:tcPr>
            <w:tcW w:w="3635" w:type="pct"/>
            <w:vAlign w:val="center"/>
          </w:tcPr>
          <w:p w14:paraId="7B6C7B1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分频结构：两分频全频</w:t>
            </w:r>
          </w:p>
          <w:p w14:paraId="26FFAC2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低音单元：≥1*12寸</w:t>
            </w:r>
          </w:p>
          <w:p w14:paraId="7ABDFB3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高音：≥44mm</w:t>
            </w:r>
          </w:p>
          <w:p w14:paraId="49E965B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输入阻抗：8 Ω</w:t>
            </w:r>
          </w:p>
          <w:p w14:paraId="73AB0DF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连续功率：≥400W</w:t>
            </w:r>
          </w:p>
          <w:p w14:paraId="5C9C691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峰值功率：≥800W</w:t>
            </w:r>
          </w:p>
          <w:p w14:paraId="7919999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频响：≥50Hz-18KHz</w:t>
            </w:r>
          </w:p>
          <w:p w14:paraId="6FD7E93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灵敏度　(1w/m)：≥98dB</w:t>
            </w:r>
          </w:p>
          <w:p w14:paraId="5863E61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最大声压：≥130dB</w:t>
            </w:r>
          </w:p>
        </w:tc>
      </w:tr>
      <w:tr w14:paraId="46114B66">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90" w:hRule="atLeast"/>
          <w:jc w:val="center"/>
        </w:trPr>
        <w:tc>
          <w:tcPr>
            <w:tcW w:w="296" w:type="pct"/>
            <w:vAlign w:val="center"/>
          </w:tcPr>
          <w:p w14:paraId="62EB8703">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7</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A195B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中置音箱功放</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40D1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7E853B3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3429473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 Ω立体声RMS：≥800W*2</w:t>
            </w:r>
          </w:p>
          <w:p w14:paraId="1A336D5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 Ω立体声RMS：≥1250W*2</w:t>
            </w:r>
          </w:p>
          <w:p w14:paraId="52E9A50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限幅保护：可达到10V</w:t>
            </w:r>
          </w:p>
          <w:p w14:paraId="2C3094D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频率响应（1W 8ohms）：≥20Hz-20KHz(±0.3dB)</w:t>
            </w:r>
          </w:p>
          <w:p w14:paraId="3209BD3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灵敏度（8ohms 1KHz）：≥0.775v/26/32dB</w:t>
            </w:r>
          </w:p>
          <w:p w14:paraId="6BAECED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总谐波失真:﹤0.05%@8 Ω1KHZ</w:t>
            </w:r>
          </w:p>
          <w:p w14:paraId="4346B5A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阻尼系数:≥900</w:t>
            </w:r>
          </w:p>
          <w:p w14:paraId="26465DB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信噪比:≥108dB</w:t>
            </w:r>
          </w:p>
          <w:p w14:paraId="2E6BCE8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互调失真:≤0.02%</w:t>
            </w:r>
          </w:p>
          <w:p w14:paraId="3804B29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转换速率:≥50V/µs</w:t>
            </w:r>
          </w:p>
        </w:tc>
      </w:tr>
      <w:tr w14:paraId="49BE997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2B9A150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8</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D9BB0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舞台监听音箱</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90BD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247" w:type="pct"/>
            <w:vAlign w:val="center"/>
          </w:tcPr>
          <w:p w14:paraId="3AA3928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只</w:t>
            </w:r>
          </w:p>
        </w:tc>
        <w:tc>
          <w:tcPr>
            <w:tcW w:w="3635" w:type="pct"/>
            <w:vAlign w:val="center"/>
          </w:tcPr>
          <w:p w14:paraId="364CCB9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低音单元：≥1x12寸</w:t>
            </w:r>
          </w:p>
          <w:p w14:paraId="71344AD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高音单元：≥1x1.7寸(44芯)</w:t>
            </w:r>
          </w:p>
          <w:p w14:paraId="289A511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频率范围(±3dB): ≥72Hz-20kHz </w:t>
            </w:r>
          </w:p>
          <w:p w14:paraId="11D8393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灵敏度(1W@1M)：≥97 dB  </w:t>
            </w:r>
          </w:p>
          <w:p w14:paraId="488DB5E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最大声压级输出：≥120 dB                                        </w:t>
            </w:r>
          </w:p>
          <w:p w14:paraId="53E320B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额定阻抗：8 Ω  </w:t>
            </w:r>
          </w:p>
          <w:p w14:paraId="26622E5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输入功率：≥连续/400W,峰值/1600 W </w:t>
            </w:r>
          </w:p>
          <w:p w14:paraId="75B452F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覆盖角：≥60°x100°(H x V) </w:t>
            </w:r>
          </w:p>
          <w:p w14:paraId="1B871FE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输入连接：≥2个NL4MP </w:t>
            </w:r>
          </w:p>
        </w:tc>
      </w:tr>
      <w:tr w14:paraId="735E0BF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1133DC3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9</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1AE51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监听功放</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3BCB7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2C196A75">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1F447E7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8 Ω立体声RMS：≥500W*2</w:t>
            </w:r>
          </w:p>
          <w:p w14:paraId="049923F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 Ω立体声RMS：≥900W*2</w:t>
            </w:r>
          </w:p>
          <w:p w14:paraId="742143D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限幅保护:可达到10V</w:t>
            </w:r>
          </w:p>
          <w:p w14:paraId="75CDE18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频率响应（1W 8ohms）：≥20Hz-20KHz(±0.3dB)</w:t>
            </w:r>
          </w:p>
          <w:p w14:paraId="6E74BC2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灵敏度（8ohms 1KHz）：≥0.775v/26/32dB</w:t>
            </w:r>
          </w:p>
          <w:p w14:paraId="1B20526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总谐波失真:﹤0.05%@8 Ω1KHZ</w:t>
            </w:r>
          </w:p>
          <w:p w14:paraId="28EBBDE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阻尼系数:≥900</w:t>
            </w:r>
          </w:p>
          <w:p w14:paraId="73D37C0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信噪比:≥108dB</w:t>
            </w:r>
          </w:p>
          <w:p w14:paraId="44881FA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互调失真:≤0.02%</w:t>
            </w:r>
          </w:p>
          <w:p w14:paraId="4790AA5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转换速率:≥50V/µs</w:t>
            </w:r>
          </w:p>
        </w:tc>
      </w:tr>
      <w:tr w14:paraId="3473A67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75B85E1E">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10</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A2B5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音箱处理器</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E50AF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247" w:type="pct"/>
            <w:vAlign w:val="center"/>
          </w:tcPr>
          <w:p w14:paraId="3307B7C0">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50BA237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不少于1U机架空间</w:t>
            </w:r>
          </w:p>
          <w:p w14:paraId="2B61F80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不少于2组输入、4组输出</w:t>
            </w:r>
          </w:p>
          <w:p w14:paraId="6CF66AA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可指定任意输入至输出</w:t>
            </w:r>
          </w:p>
          <w:p w14:paraId="791DB75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至少具有分频、均衡、延时和限幅功能</w:t>
            </w:r>
          </w:p>
          <w:p w14:paraId="5DC0E6B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滤波器斜率分别为12,18,24,48dB/倍频程</w:t>
            </w:r>
          </w:p>
          <w:p w14:paraId="02ED644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参数式均衡器：带通、1/64 至4 倍频程范围</w:t>
            </w:r>
          </w:p>
          <w:p w14:paraId="245371B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输入和输出延时</w:t>
            </w:r>
          </w:p>
          <w:p w14:paraId="02686A0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每一输出均具有限幅器</w:t>
            </w:r>
          </w:p>
          <w:p w14:paraId="5D78019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直观的用户界面</w:t>
            </w:r>
          </w:p>
          <w:p w14:paraId="2DB9350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通过面板、PC 或 MIDI 进行程控</w:t>
            </w:r>
          </w:p>
          <w:p w14:paraId="3E6349D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AMX兼容网络链接控制</w:t>
            </w:r>
          </w:p>
          <w:p w14:paraId="786D434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专门的输入和输出电平表</w:t>
            </w:r>
          </w:p>
          <w:p w14:paraId="693694A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平衡式输入和输出 XLR 音频信号连接器</w:t>
            </w:r>
          </w:p>
        </w:tc>
      </w:tr>
      <w:tr w14:paraId="7408A86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013" w:hRule="atLeast"/>
          <w:jc w:val="center"/>
        </w:trPr>
        <w:tc>
          <w:tcPr>
            <w:tcW w:w="296" w:type="pct"/>
            <w:vAlign w:val="center"/>
          </w:tcPr>
          <w:p w14:paraId="12A822AF">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C452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无线会议话筒（1拖4）</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C1122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247" w:type="pct"/>
            <w:vAlign w:val="center"/>
          </w:tcPr>
          <w:p w14:paraId="254A5B3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3635" w:type="pct"/>
            <w:vAlign w:val="center"/>
          </w:tcPr>
          <w:p w14:paraId="5B666CF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四通道接收信号,每通道至少有50个信道可选</w:t>
            </w:r>
          </w:p>
          <w:p w14:paraId="30F2607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每通道有单独电子音量调节大</w:t>
            </w:r>
            <w:r>
              <w:rPr>
                <w:rFonts w:hint="eastAsia" w:ascii="宋体" w:hAnsi="宋体" w:eastAsia="宋体" w:cs="宋体"/>
                <w:color w:val="auto"/>
                <w:sz w:val="24"/>
                <w:szCs w:val="24"/>
                <w:highlight w:val="none"/>
                <w:lang w:eastAsia="zh-CN"/>
              </w:rPr>
              <w:t>小</w:t>
            </w:r>
          </w:p>
          <w:p w14:paraId="1EEBF2C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具有锁屏功能，通过功能组键操作</w:t>
            </w:r>
          </w:p>
          <w:p w14:paraId="1E75AD0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具有一键搜频功能，可通过智能搜索没有干扰频率。</w:t>
            </w:r>
          </w:p>
          <w:p w14:paraId="02A79CE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采用UHF超高频段，比传统的VHF频段干扰更少，传输更可靠。</w:t>
            </w:r>
          </w:p>
          <w:p w14:paraId="328C770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UHF频段传输信号，频率范围640-690MHz</w:t>
            </w:r>
          </w:p>
          <w:p w14:paraId="57F3AEE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LCD屏显示工作信道、工作频点、接收信号、音频信号</w:t>
            </w:r>
          </w:p>
          <w:p w14:paraId="0CE8333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接收机背面设置4条橡胶接收天线，增强接收的信号，外观大方得体；</w:t>
            </w:r>
          </w:p>
          <w:p w14:paraId="7B9A188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背面设有不少于4个平衡输出和不少于1个混合非平衡输出，适合连接各种外置设备；</w:t>
            </w:r>
          </w:p>
          <w:p w14:paraId="45DBBF1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优质麦管，拾音距离强，高保真单指向性电容咪芯，声音还原、清晰度高、噪音小；</w:t>
            </w:r>
          </w:p>
          <w:p w14:paraId="2478D8B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话筒耗电量：≤80mA，使用1.5V电池（2粒）供电，可连续使用6小时以上；</w:t>
            </w:r>
          </w:p>
          <w:p w14:paraId="406AB13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标配可插拔式配高强度阳极氧化工艺铝合金方形短麦杆</w:t>
            </w:r>
          </w:p>
          <w:p w14:paraId="658157F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使用距离: 不低于60米              </w:t>
            </w:r>
          </w:p>
          <w:p w14:paraId="42FFAE7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适用于各种会议和演讲场合。</w:t>
            </w:r>
          </w:p>
          <w:p w14:paraId="1D53329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接收机参数</w:t>
            </w:r>
          </w:p>
          <w:p w14:paraId="25F4C89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振荡方式. 锁相环频率合成</w:t>
            </w:r>
          </w:p>
          <w:p w14:paraId="2BA66BC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频率范围：UHF≥640-690MHz</w:t>
            </w:r>
          </w:p>
          <w:p w14:paraId="40086D5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频率稳定性：±0.001%</w:t>
            </w:r>
          </w:p>
          <w:p w14:paraId="289FF9E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调制方式：FM</w:t>
            </w:r>
          </w:p>
          <w:p w14:paraId="2172DC2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信噪比：&gt;60dB</w:t>
            </w:r>
          </w:p>
          <w:p w14:paraId="467672B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失真度:&lt;0.5%@1KHz           </w:t>
            </w:r>
          </w:p>
          <w:p w14:paraId="6AAD132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灵敏度：1.2/UV @S/N=12dB</w:t>
            </w:r>
          </w:p>
          <w:p w14:paraId="1565622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电源供应：DC:12V～17V</w:t>
            </w:r>
          </w:p>
          <w:p w14:paraId="7858AD2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音频输出：独立0～400mV     混合0～300mV</w:t>
            </w:r>
          </w:p>
          <w:p w14:paraId="357CC32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发射器参数：</w:t>
            </w:r>
          </w:p>
          <w:p w14:paraId="1D744B1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电源供应)：DC 3V （1.5V AA*2）</w:t>
            </w:r>
          </w:p>
          <w:p w14:paraId="24F1570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话筒耗电量：≤100mA</w:t>
            </w:r>
          </w:p>
          <w:p w14:paraId="60FEA09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载波频率：UHF 640-690MHz</w:t>
            </w:r>
          </w:p>
          <w:p w14:paraId="69A27F4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频率稳定度：±0.001%</w:t>
            </w:r>
          </w:p>
          <w:p w14:paraId="28946A9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最大频率偏：±30KH</w:t>
            </w:r>
          </w:p>
          <w:p w14:paraId="0643B53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信噪比：&gt;60dB</w:t>
            </w:r>
          </w:p>
          <w:p w14:paraId="425A241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邻频干扰比：&gt;80dB</w:t>
            </w:r>
          </w:p>
          <w:p w14:paraId="11A1746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动态范围：≥100dB</w:t>
            </w:r>
          </w:p>
          <w:p w14:paraId="44635A7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类型：电容式</w:t>
            </w:r>
          </w:p>
          <w:p w14:paraId="4A3CF4D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极性模式：单一指向性</w:t>
            </w:r>
          </w:p>
          <w:p w14:paraId="5B18B91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频率响应：≥40Hz～20KHz</w:t>
            </w:r>
          </w:p>
          <w:p w14:paraId="1199350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话筒灵敏度：≥-43±3dB@1KHz</w:t>
            </w:r>
          </w:p>
        </w:tc>
      </w:tr>
      <w:tr w14:paraId="1EDDEAC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072" w:hRule="atLeast"/>
          <w:jc w:val="center"/>
        </w:trPr>
        <w:tc>
          <w:tcPr>
            <w:tcW w:w="296" w:type="pct"/>
            <w:vAlign w:val="center"/>
          </w:tcPr>
          <w:p w14:paraId="29332DC8">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83FA5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无线手持式话筒</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069EA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247" w:type="pct"/>
            <w:vAlign w:val="center"/>
          </w:tcPr>
          <w:p w14:paraId="15E23D0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3635" w:type="pct"/>
            <w:vAlign w:val="center"/>
          </w:tcPr>
          <w:p w14:paraId="65ACAF5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射频范围：≥650</w:t>
            </w:r>
            <w:r>
              <w:rPr>
                <w:rFonts w:hint="eastAsia" w:ascii="宋体" w:hAnsi="宋体" w:eastAsia="宋体" w:cs="宋体"/>
                <w:color w:val="auto"/>
                <w:sz w:val="24"/>
                <w:szCs w:val="24"/>
                <w:highlight w:val="none"/>
                <w:lang w:val="en-US" w:eastAsia="zh-CN"/>
              </w:rPr>
              <w:t>.</w:t>
            </w:r>
            <w:r>
              <w:rPr>
                <w:rFonts w:hint="eastAsia" w:ascii="宋体" w:hAnsi="宋体" w:eastAsia="宋体" w:cs="宋体"/>
                <w:color w:val="auto"/>
                <w:sz w:val="24"/>
                <w:szCs w:val="24"/>
                <w:highlight w:val="none"/>
              </w:rPr>
              <w:t>00-690</w:t>
            </w:r>
            <w:r>
              <w:rPr>
                <w:rFonts w:hint="eastAsia" w:ascii="宋体" w:hAnsi="宋体" w:eastAsia="宋体" w:cs="宋体"/>
                <w:color w:val="auto"/>
                <w:sz w:val="24"/>
                <w:szCs w:val="24"/>
                <w:highlight w:val="none"/>
                <w:lang w:val="en-US" w:eastAsia="zh-CN"/>
              </w:rPr>
              <w:t>.</w:t>
            </w:r>
            <w:r>
              <w:rPr>
                <w:rFonts w:hint="eastAsia" w:ascii="宋体" w:hAnsi="宋体" w:eastAsia="宋体" w:cs="宋体"/>
                <w:color w:val="auto"/>
                <w:sz w:val="24"/>
                <w:szCs w:val="24"/>
                <w:highlight w:val="none"/>
              </w:rPr>
              <w:t>00MHz</w:t>
            </w:r>
          </w:p>
          <w:p w14:paraId="756C4EE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可用带宽: ≥40MHZ (每信道20KHz )</w:t>
            </w:r>
          </w:p>
          <w:p w14:paraId="7CCBC23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调制方式：FW调频</w:t>
            </w:r>
          </w:p>
          <w:p w14:paraId="04A9880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频率稳定度: ±0.005以内</w:t>
            </w:r>
          </w:p>
          <w:p w14:paraId="7D0D4A4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信道数目：红外线自动对频不少于200信道</w:t>
            </w:r>
          </w:p>
          <w:p w14:paraId="48923B3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使用温度：零下10℃度到500</w:t>
            </w:r>
          </w:p>
          <w:p w14:paraId="78EE0E3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静噪方式：自动噪声检测及数字1D码静噪</w:t>
            </w:r>
          </w:p>
          <w:p w14:paraId="31FEEC7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偏移度: ≥±45KHz</w:t>
            </w:r>
          </w:p>
          <w:p w14:paraId="2368B7F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动</w:t>
            </w:r>
            <w:r>
              <w:rPr>
                <w:rFonts w:hint="eastAsia" w:ascii="宋体" w:hAnsi="宋体" w:eastAsia="宋体" w:cs="宋体"/>
                <w:color w:val="auto"/>
                <w:sz w:val="24"/>
                <w:szCs w:val="24"/>
                <w:highlight w:val="none"/>
                <w:lang w:val="en-US" w:eastAsia="zh-CN"/>
              </w:rPr>
              <w:t>态</w:t>
            </w:r>
            <w:r>
              <w:rPr>
                <w:rFonts w:hint="eastAsia" w:ascii="宋体" w:hAnsi="宋体" w:eastAsia="宋体" w:cs="宋体"/>
                <w:color w:val="auto"/>
                <w:sz w:val="24"/>
                <w:szCs w:val="24"/>
                <w:highlight w:val="none"/>
              </w:rPr>
              <w:t>范围：&gt;100dB</w:t>
            </w:r>
          </w:p>
          <w:p w14:paraId="6F39C4A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音频响应: ≥60Hz-18KHz</w:t>
            </w:r>
          </w:p>
          <w:p w14:paraId="5EA0212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综合信噪比: &gt;105dB</w:t>
            </w:r>
          </w:p>
          <w:p w14:paraId="476C1E8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综合失真：&lt;0.5%</w:t>
            </w:r>
          </w:p>
          <w:p w14:paraId="2F326CD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接收机指标:</w:t>
            </w:r>
          </w:p>
          <w:p w14:paraId="566BCDD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接收方式：二次变频超外差,双调诺接收</w:t>
            </w:r>
          </w:p>
          <w:p w14:paraId="11674D1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中频频率：第一中频:110Hz.第二中频:10. 7MHz天线接口: TNC/50n</w:t>
            </w:r>
          </w:p>
          <w:p w14:paraId="4614BDB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显示方式: LCD</w:t>
            </w:r>
          </w:p>
          <w:p w14:paraId="5834E75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灵敏度: ≥12 dBuv (80dB S/N)</w:t>
            </w:r>
          </w:p>
          <w:p w14:paraId="3D5007D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灵敏度调节范围: ≥12-32dBLV</w:t>
            </w:r>
          </w:p>
          <w:p w14:paraId="41A612B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杂散抑制: ≥280dB</w:t>
            </w:r>
          </w:p>
          <w:p w14:paraId="1BC4729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音频输出：非平衡:±4d (1. 25V)/5KQ</w:t>
            </w:r>
          </w:p>
          <w:p w14:paraId="63E730E2">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平衡: ≥±10dB (1.5v)/6000</w:t>
            </w:r>
          </w:p>
          <w:p w14:paraId="3B04A63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供电电压：≥DC12V</w:t>
            </w:r>
          </w:p>
          <w:p w14:paraId="683C68BA">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供电电流: ≥±400mA</w:t>
            </w:r>
          </w:p>
          <w:p w14:paraId="1A4C6ED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发射机指标;</w:t>
            </w:r>
          </w:p>
          <w:p w14:paraId="7104810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输出功率: ≥3d8m-10dBm (LO/H 1转换)杂散抑制:-60dB</w:t>
            </w:r>
          </w:p>
          <w:p w14:paraId="1DD03E9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电池: 2节"1. 5v5号"电池</w:t>
            </w:r>
          </w:p>
          <w:p w14:paraId="156C194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电流：&lt;100mA (HF)、8оmA (F)</w:t>
            </w:r>
          </w:p>
          <w:p w14:paraId="327D339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使用时间(碱性电池);大功率时大于8小时</w:t>
            </w:r>
          </w:p>
        </w:tc>
      </w:tr>
      <w:tr w14:paraId="3792A59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60D387A0">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13</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6EE32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无线头戴话筒</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F7EF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247" w:type="pct"/>
            <w:vAlign w:val="center"/>
          </w:tcPr>
          <w:p w14:paraId="147202F0">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3635" w:type="pct"/>
            <w:vAlign w:val="center"/>
          </w:tcPr>
          <w:p w14:paraId="3631F74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射频范围：≥650</w:t>
            </w:r>
            <w:r>
              <w:rPr>
                <w:rFonts w:hint="eastAsia" w:ascii="宋体" w:hAnsi="宋体" w:eastAsia="宋体" w:cs="宋体"/>
                <w:color w:val="auto"/>
                <w:sz w:val="24"/>
                <w:szCs w:val="24"/>
                <w:highlight w:val="none"/>
                <w:lang w:val="en-US" w:eastAsia="zh-CN"/>
              </w:rPr>
              <w:t>.</w:t>
            </w:r>
            <w:r>
              <w:rPr>
                <w:rFonts w:hint="eastAsia" w:ascii="宋体" w:hAnsi="宋体" w:eastAsia="宋体" w:cs="宋体"/>
                <w:color w:val="auto"/>
                <w:sz w:val="24"/>
                <w:szCs w:val="24"/>
                <w:highlight w:val="none"/>
              </w:rPr>
              <w:t>00-690</w:t>
            </w:r>
            <w:r>
              <w:rPr>
                <w:rFonts w:hint="eastAsia" w:ascii="宋体" w:hAnsi="宋体" w:eastAsia="宋体" w:cs="宋体"/>
                <w:color w:val="auto"/>
                <w:sz w:val="24"/>
                <w:szCs w:val="24"/>
                <w:highlight w:val="none"/>
                <w:lang w:val="en-US" w:eastAsia="zh-CN"/>
              </w:rPr>
              <w:t>.</w:t>
            </w:r>
            <w:r>
              <w:rPr>
                <w:rFonts w:hint="eastAsia" w:ascii="宋体" w:hAnsi="宋体" w:eastAsia="宋体" w:cs="宋体"/>
                <w:color w:val="auto"/>
                <w:sz w:val="24"/>
                <w:szCs w:val="24"/>
                <w:highlight w:val="none"/>
              </w:rPr>
              <w:t>00MHz</w:t>
            </w:r>
          </w:p>
          <w:p w14:paraId="76190D5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可用带宽: ≥40MHZ (每信道20KHz )</w:t>
            </w:r>
          </w:p>
          <w:p w14:paraId="1D51EC0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调制方式：FW调频</w:t>
            </w:r>
          </w:p>
          <w:p w14:paraId="1EB8762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频率稳定度: ±0.005以内</w:t>
            </w:r>
          </w:p>
          <w:p w14:paraId="6997C17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信道数目：红外线自动对频不少于200信道</w:t>
            </w:r>
          </w:p>
          <w:p w14:paraId="67A7AC1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使用温度：零下10℃度到500</w:t>
            </w:r>
          </w:p>
          <w:p w14:paraId="4020D27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静噪方式：自动噪声检测及数字1D码静噪</w:t>
            </w:r>
          </w:p>
          <w:p w14:paraId="2DD56C61">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偏移度: ≥±45KHz</w:t>
            </w:r>
          </w:p>
          <w:p w14:paraId="51F475E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动</w:t>
            </w:r>
            <w:r>
              <w:rPr>
                <w:rFonts w:hint="eastAsia" w:ascii="宋体" w:hAnsi="宋体" w:eastAsia="宋体" w:cs="宋体"/>
                <w:color w:val="auto"/>
                <w:sz w:val="24"/>
                <w:szCs w:val="24"/>
                <w:highlight w:val="none"/>
                <w:lang w:val="en-US" w:eastAsia="zh-CN"/>
              </w:rPr>
              <w:t>态</w:t>
            </w:r>
            <w:r>
              <w:rPr>
                <w:rFonts w:hint="eastAsia" w:ascii="宋体" w:hAnsi="宋体" w:eastAsia="宋体" w:cs="宋体"/>
                <w:color w:val="auto"/>
                <w:sz w:val="24"/>
                <w:szCs w:val="24"/>
                <w:highlight w:val="none"/>
              </w:rPr>
              <w:t>范围：&gt;100dB</w:t>
            </w:r>
          </w:p>
          <w:p w14:paraId="20954C7D">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音频响应: ≥60Hz-18KHz</w:t>
            </w:r>
          </w:p>
          <w:p w14:paraId="3C029D0B">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综合信噪比: &gt;105dB</w:t>
            </w:r>
          </w:p>
          <w:p w14:paraId="717101A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综合失真：&lt;0.5%</w:t>
            </w:r>
          </w:p>
          <w:p w14:paraId="24A8C6BF">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接收机指标:</w:t>
            </w:r>
          </w:p>
          <w:p w14:paraId="7459DCF3">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接收方式：二次变频超外差,双调诺接收</w:t>
            </w:r>
          </w:p>
          <w:p w14:paraId="3FA343C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中频频率：第一中频:110Hz.第二中频:10. 7MHz天线接口: TNC/50n</w:t>
            </w:r>
          </w:p>
          <w:p w14:paraId="27EA1FE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显示方式: LCD</w:t>
            </w:r>
          </w:p>
          <w:p w14:paraId="53AF88AC">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灵敏度: ≥12 dBuv (80dB S/N)</w:t>
            </w:r>
          </w:p>
          <w:p w14:paraId="78334749">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灵敏度调节范围: ≥12-32dBLV</w:t>
            </w:r>
          </w:p>
          <w:p w14:paraId="50BF7A4E">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杂散抑制: ≥280dB</w:t>
            </w:r>
          </w:p>
          <w:p w14:paraId="480524F6">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音频输出：非平衡:±4d (1. 25V)/5KQ</w:t>
            </w:r>
          </w:p>
          <w:p w14:paraId="2123BBE0">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平衡: ≥±10dB (1.5v)/6000</w:t>
            </w:r>
          </w:p>
          <w:p w14:paraId="249D4CA5">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供电电压：≥DC12V</w:t>
            </w:r>
          </w:p>
          <w:p w14:paraId="30713AF7">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供电电流: ≥±400mA</w:t>
            </w:r>
          </w:p>
          <w:p w14:paraId="63961E4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发射机指标;</w:t>
            </w:r>
          </w:p>
          <w:p w14:paraId="7B85EE54">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输出功率: ≥3d8m-10dBm (LO/H 1转换)杂散抑制:-60dB</w:t>
            </w:r>
          </w:p>
          <w:p w14:paraId="52D2688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电池: 2节"1. 5v5号"电池</w:t>
            </w:r>
          </w:p>
          <w:p w14:paraId="309C85D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电流：&lt;100mA (HF)、8оmA (F)</w:t>
            </w:r>
          </w:p>
          <w:p w14:paraId="1648FF88">
            <w:pPr>
              <w:keepNext w:val="0"/>
              <w:keepLines w:val="0"/>
              <w:pageBreakBefore w:val="0"/>
              <w:widowControl w:val="0"/>
              <w:kinsoku/>
              <w:wordWrap/>
              <w:overflowPunct/>
              <w:topLinePunct w:val="0"/>
              <w:autoSpaceDE/>
              <w:autoSpaceDN/>
              <w:bidi w:val="0"/>
              <w:adjustRightInd/>
              <w:snapToGrid w:val="0"/>
              <w:spacing w:line="36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使用时间(碱性电池);大功率时大于8小时</w:t>
            </w:r>
          </w:p>
        </w:tc>
      </w:tr>
      <w:tr w14:paraId="23CD326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09" w:hRule="atLeast"/>
          <w:jc w:val="center"/>
        </w:trPr>
        <w:tc>
          <w:tcPr>
            <w:tcW w:w="296" w:type="pct"/>
            <w:vAlign w:val="center"/>
          </w:tcPr>
          <w:p w14:paraId="098D29FE">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14</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94E5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无线话筒放大器</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CE27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12028E84">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3635" w:type="pct"/>
            <w:vAlign w:val="center"/>
          </w:tcPr>
          <w:p w14:paraId="19AC0D8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接头类型: BNC, 插孔 </w:t>
            </w:r>
          </w:p>
          <w:p w14:paraId="004C232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阻抗: ≤50Ω </w:t>
            </w:r>
          </w:p>
          <w:p w14:paraId="095828E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电源要求: 来自同轴连接的10至15伏直流偏移,75mA </w:t>
            </w:r>
          </w:p>
          <w:p w14:paraId="488DF54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接收模式(3dB波束宽度): ≥70角度 </w:t>
            </w:r>
          </w:p>
          <w:p w14:paraId="37AD316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三阶过载交截点 (OIP3): &gt;30dBm </w:t>
            </w:r>
          </w:p>
          <w:p w14:paraId="13DCAE3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天线增益 (在轴): 7.5dBi </w:t>
            </w:r>
          </w:p>
          <w:p w14:paraId="7E6FE55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可切换Active: +12 dB, +6 dB，Passive: 0 dB, -6 dB </w:t>
            </w:r>
          </w:p>
          <w:p w14:paraId="2C76476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射频信号过强指示灯阈值: -5 dBm</w:t>
            </w:r>
          </w:p>
        </w:tc>
      </w:tr>
      <w:tr w14:paraId="1471D69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6EB0B516">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15</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2840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电源管理器</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B526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247" w:type="pct"/>
            <w:vAlign w:val="center"/>
          </w:tcPr>
          <w:p w14:paraId="70131FC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75EC3BD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1.供电电源：交流220/50Hz 30A</w:t>
            </w:r>
          </w:p>
          <w:p w14:paraId="115F5D2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2.额定输出电压：交流220V/51 Hz</w:t>
            </w:r>
          </w:p>
          <w:p w14:paraId="6F47381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3.可控制电源不少于8路</w:t>
            </w:r>
          </w:p>
          <w:p w14:paraId="1F12AF3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4.不可控制电源不少于2路，每路动作延时间: 不低于1秒</w:t>
            </w:r>
          </w:p>
          <w:p w14:paraId="08280C3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5.每路输出带数字显示</w:t>
            </w:r>
          </w:p>
          <w:p w14:paraId="6809049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7.不低于6平方电缆</w:t>
            </w:r>
          </w:p>
          <w:p w14:paraId="5FDC3BA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8.单路额定输出电源: ≥30A</w:t>
            </w:r>
          </w:p>
        </w:tc>
      </w:tr>
      <w:tr w14:paraId="4208CB9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3C6B750C">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16</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DFE870">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有源监听音箱</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6D380">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247" w:type="pct"/>
            <w:vAlign w:val="center"/>
          </w:tcPr>
          <w:p w14:paraId="62C3275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055B0E0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音箱结构：不小于5寸复合玻璃纤维低音单元，不小于</w:t>
            </w:r>
            <w:r>
              <w:rPr>
                <w:rStyle w:val="23"/>
                <w:rFonts w:hint="eastAsia" w:ascii="宋体" w:hAnsi="宋体" w:eastAsia="宋体" w:cs="宋体"/>
                <w:snapToGrid w:val="0"/>
                <w:color w:val="000000"/>
                <w:sz w:val="24"/>
                <w:szCs w:val="24"/>
                <w:highlight w:val="none"/>
                <w:lang w:val="en-US" w:eastAsia="zh-CN" w:bidi="ar"/>
              </w:rPr>
              <w:t>1“25mm</w:t>
            </w:r>
            <w:r>
              <w:rPr>
                <w:rFonts w:hint="eastAsia" w:ascii="宋体" w:hAnsi="宋体" w:eastAsia="宋体" w:cs="宋体"/>
                <w:i w:val="0"/>
                <w:iCs w:val="0"/>
                <w:snapToGrid w:val="0"/>
                <w:color w:val="000000"/>
                <w:kern w:val="0"/>
                <w:sz w:val="24"/>
                <w:szCs w:val="24"/>
                <w:highlight w:val="none"/>
                <w:u w:val="none"/>
                <w:lang w:val="en-US" w:eastAsia="zh-CN" w:bidi="ar"/>
              </w:rPr>
              <w:t>软圆顶高音单元</w:t>
            </w:r>
          </w:p>
          <w:p w14:paraId="14D689E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频率响应：≥55Hz-20kHz；</w:t>
            </w:r>
          </w:p>
          <w:p w14:paraId="03A371D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水平/垂直覆盖角度：≥110°/70°</w:t>
            </w:r>
          </w:p>
          <w:p w14:paraId="052BDDB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最大声压级：≥106dB；</w:t>
            </w:r>
          </w:p>
          <w:p w14:paraId="63C972D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总功率：≥55W;低频功率≥35W，高频功率≥20W；A/B类放大；</w:t>
            </w:r>
          </w:p>
        </w:tc>
      </w:tr>
      <w:tr w14:paraId="4EFCA7A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2B5B3AF9">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17</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4689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播放电脑</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0626F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38C0E6B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1684C6D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1、处理器：核数：≥12核,主频：≥2.2GHz 缓存：≥ 18MB缓存</w:t>
            </w:r>
          </w:p>
          <w:p w14:paraId="3A285D4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2、内存：≥16G ，标配双内存插槽</w:t>
            </w:r>
          </w:p>
          <w:p w14:paraId="7BDE2F0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3、硬盘： 512G</w:t>
            </w:r>
          </w:p>
          <w:p w14:paraId="0B48380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4、显示屏：不小于14寸</w:t>
            </w:r>
          </w:p>
          <w:p w14:paraId="6BDA4DC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5、显卡；集成显卡</w:t>
            </w:r>
          </w:p>
          <w:p w14:paraId="39BB61A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6、网卡：802.11 AX无线网卡（支持WIFI6协议，蓝牙5.0协议）</w:t>
            </w:r>
          </w:p>
          <w:p w14:paraId="32B2516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7、键盘：防泼溅键盘</w:t>
            </w:r>
          </w:p>
          <w:p w14:paraId="77A52E0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8、定位设备：多点触控触摸板</w:t>
            </w:r>
          </w:p>
          <w:p w14:paraId="63DF21A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9、摄像头:720P高清摄像头 </w:t>
            </w:r>
          </w:p>
          <w:p w14:paraId="080D450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10、指纹识别器:电源二合一指纹识别器</w:t>
            </w:r>
          </w:p>
          <w:p w14:paraId="7F5C6F7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11、接口:2个USB-C 3.2 G2接口、2个USB-A 3.2 G1接口 、HDMI2.0接口、耳麦二合一接口、RJ45接口</w:t>
            </w:r>
          </w:p>
        </w:tc>
      </w:tr>
      <w:tr w14:paraId="5E15466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62AC9E99">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18</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DD5B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机柜</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D8348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1A1C934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3ADD69B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带玻璃门、风扇网络铁机柜，≥1800×600×600mm</w:t>
            </w:r>
          </w:p>
          <w:p w14:paraId="719E566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容量：≥27U</w:t>
            </w:r>
          </w:p>
          <w:p w14:paraId="24BEAE4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标准：符合ANSI/EIA RS-310-D、DIN4149</w:t>
            </w:r>
          </w:p>
          <w:p w14:paraId="15BDA39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门及门锁：高密度网孔前门及高密度网孔双开</w:t>
            </w:r>
          </w:p>
          <w:p w14:paraId="467EB8A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材料及工艺：全部选用SPCC优质冷轧钢板制作，厚度不低于1.5mm</w:t>
            </w:r>
          </w:p>
        </w:tc>
      </w:tr>
      <w:tr w14:paraId="365C8EA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634CC5A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19</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A36AA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操作台</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8F216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3A9A5BE1">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7851153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优质冷轧钢板，框架整体强度高，箱体配有通风孔，柜体前后门配有专业五金锁</w:t>
            </w:r>
          </w:p>
          <w:p w14:paraId="15FC2F6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木质部分为白色防板木台面；</w:t>
            </w:r>
          </w:p>
          <w:p w14:paraId="04A244D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鼠标走线孔，配备键盘托盘，优质五金；</w:t>
            </w:r>
          </w:p>
          <w:p w14:paraId="2905135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台面深度：≥900mm，长度：≥2400mm，高度：≥750mm，底柜深度：≥640mm。</w:t>
            </w:r>
          </w:p>
        </w:tc>
      </w:tr>
      <w:tr w14:paraId="3EF33ABA">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914" w:hRule="atLeast"/>
          <w:jc w:val="center"/>
        </w:trPr>
        <w:tc>
          <w:tcPr>
            <w:tcW w:w="296" w:type="pct"/>
            <w:vAlign w:val="center"/>
          </w:tcPr>
          <w:p w14:paraId="67FE41D9">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20</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624DA1">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音频线材</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1F0F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7A22D0E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3635" w:type="pct"/>
            <w:vAlign w:val="center"/>
          </w:tcPr>
          <w:p w14:paraId="44F5528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rPr>
            </w:pPr>
            <w:r>
              <w:rPr>
                <w:rFonts w:hint="eastAsia" w:ascii="宋体" w:hAnsi="宋体" w:eastAsia="宋体" w:cs="宋体"/>
                <w:i w:val="0"/>
                <w:iCs w:val="0"/>
                <w:snapToGrid w:val="0"/>
                <w:color w:val="000000"/>
                <w:kern w:val="0"/>
                <w:sz w:val="24"/>
                <w:szCs w:val="24"/>
                <w:highlight w:val="none"/>
                <w:u w:val="none"/>
                <w:lang w:val="en-US" w:eastAsia="zh-CN" w:bidi="ar"/>
              </w:rPr>
              <w:t>国标</w:t>
            </w:r>
          </w:p>
        </w:tc>
      </w:tr>
      <w:tr w14:paraId="49B9FB6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6C0FACF5">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245A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调音台</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9100E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7375CDB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406E457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27" name="Picture_12"/>
                  <wp:cNvGraphicFramePr/>
                  <a:graphic xmlns:a="http://schemas.openxmlformats.org/drawingml/2006/main">
                    <a:graphicData uri="http://schemas.openxmlformats.org/drawingml/2006/picture">
                      <pic:pic xmlns:pic="http://schemas.openxmlformats.org/drawingml/2006/picture">
                        <pic:nvPicPr>
                          <pic:cNvPr id="27" name="Picture_12"/>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28" name="Picture_15"/>
                  <wp:cNvGraphicFramePr/>
                  <a:graphic xmlns:a="http://schemas.openxmlformats.org/drawingml/2006/main">
                    <a:graphicData uri="http://schemas.openxmlformats.org/drawingml/2006/picture">
                      <pic:pic xmlns:pic="http://schemas.openxmlformats.org/drawingml/2006/picture">
                        <pic:nvPicPr>
                          <pic:cNvPr id="28" name="Picture_15"/>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29" name="Picture_15_SpCnt_1"/>
                  <wp:cNvGraphicFramePr/>
                  <a:graphic xmlns:a="http://schemas.openxmlformats.org/drawingml/2006/main">
                    <a:graphicData uri="http://schemas.openxmlformats.org/drawingml/2006/picture">
                      <pic:pic xmlns:pic="http://schemas.openxmlformats.org/drawingml/2006/picture">
                        <pic:nvPicPr>
                          <pic:cNvPr id="29" name="Picture_15_SpCnt_1"/>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30" name="Picture_17"/>
                  <wp:cNvGraphicFramePr/>
                  <a:graphic xmlns:a="http://schemas.openxmlformats.org/drawingml/2006/main">
                    <a:graphicData uri="http://schemas.openxmlformats.org/drawingml/2006/picture">
                      <pic:pic xmlns:pic="http://schemas.openxmlformats.org/drawingml/2006/picture">
                        <pic:nvPicPr>
                          <pic:cNvPr id="30" name="Picture_17"/>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31" name="Picture_15_SpCnt_2"/>
                  <wp:cNvGraphicFramePr/>
                  <a:graphic xmlns:a="http://schemas.openxmlformats.org/drawingml/2006/main">
                    <a:graphicData uri="http://schemas.openxmlformats.org/drawingml/2006/picture">
                      <pic:pic xmlns:pic="http://schemas.openxmlformats.org/drawingml/2006/picture">
                        <pic:nvPicPr>
                          <pic:cNvPr id="31" name="Picture_15_SpCnt_2"/>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32" name="Picture_14"/>
                  <wp:cNvGraphicFramePr/>
                  <a:graphic xmlns:a="http://schemas.openxmlformats.org/drawingml/2006/main">
                    <a:graphicData uri="http://schemas.openxmlformats.org/drawingml/2006/picture">
                      <pic:pic xmlns:pic="http://schemas.openxmlformats.org/drawingml/2006/picture">
                        <pic:nvPicPr>
                          <pic:cNvPr id="32" name="Picture_14"/>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33" name="Picture_12_SpCnt_1"/>
                  <wp:cNvGraphicFramePr/>
                  <a:graphic xmlns:a="http://schemas.openxmlformats.org/drawingml/2006/main">
                    <a:graphicData uri="http://schemas.openxmlformats.org/drawingml/2006/picture">
                      <pic:pic xmlns:pic="http://schemas.openxmlformats.org/drawingml/2006/picture">
                        <pic:nvPicPr>
                          <pic:cNvPr id="33" name="Picture_12_SpCnt_1"/>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0990" cy="300990"/>
                  <wp:effectExtent l="0" t="0" r="0" b="0"/>
                  <wp:wrapNone/>
                  <wp:docPr id="34" name="Picture_18"/>
                  <wp:cNvGraphicFramePr/>
                  <a:graphic xmlns:a="http://schemas.openxmlformats.org/drawingml/2006/main">
                    <a:graphicData uri="http://schemas.openxmlformats.org/drawingml/2006/picture">
                      <pic:pic xmlns:pic="http://schemas.openxmlformats.org/drawingml/2006/picture">
                        <pic:nvPicPr>
                          <pic:cNvPr id="34" name="Picture_18"/>
                          <pic:cNvPicPr/>
                        </pic:nvPicPr>
                        <pic:blipFill>
                          <a:blip r:embed="rId40"/>
                          <a:stretch>
                            <a:fillRect/>
                          </a:stretch>
                        </pic:blipFill>
                        <pic:spPr>
                          <a:xfrm>
                            <a:off x="0" y="0"/>
                            <a:ext cx="30099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35" name="Picture_14_SpCnt_1"/>
                  <wp:cNvGraphicFramePr/>
                  <a:graphic xmlns:a="http://schemas.openxmlformats.org/drawingml/2006/main">
                    <a:graphicData uri="http://schemas.openxmlformats.org/drawingml/2006/picture">
                      <pic:pic xmlns:pic="http://schemas.openxmlformats.org/drawingml/2006/picture">
                        <pic:nvPicPr>
                          <pic:cNvPr id="35" name="Picture_14_SpCnt_1"/>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36" name="Picture_17_SpCnt_1"/>
                  <wp:cNvGraphicFramePr/>
                  <a:graphic xmlns:a="http://schemas.openxmlformats.org/drawingml/2006/main">
                    <a:graphicData uri="http://schemas.openxmlformats.org/drawingml/2006/picture">
                      <pic:pic xmlns:pic="http://schemas.openxmlformats.org/drawingml/2006/picture">
                        <pic:nvPicPr>
                          <pic:cNvPr id="36" name="Picture_17_SpCnt_1"/>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37" name="Picture_12_SpCnt_2"/>
                  <wp:cNvGraphicFramePr/>
                  <a:graphic xmlns:a="http://schemas.openxmlformats.org/drawingml/2006/main">
                    <a:graphicData uri="http://schemas.openxmlformats.org/drawingml/2006/picture">
                      <pic:pic xmlns:pic="http://schemas.openxmlformats.org/drawingml/2006/picture">
                        <pic:nvPicPr>
                          <pic:cNvPr id="37" name="Picture_12_SpCnt_2"/>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38" name="Picture_14_SpCnt_2"/>
                  <wp:cNvGraphicFramePr/>
                  <a:graphic xmlns:a="http://schemas.openxmlformats.org/drawingml/2006/main">
                    <a:graphicData uri="http://schemas.openxmlformats.org/drawingml/2006/picture">
                      <pic:pic xmlns:pic="http://schemas.openxmlformats.org/drawingml/2006/picture">
                        <pic:nvPicPr>
                          <pic:cNvPr id="38" name="Picture_14_SpCnt_2"/>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306070" cy="300990"/>
                  <wp:effectExtent l="0" t="0" r="0" b="0"/>
                  <wp:wrapNone/>
                  <wp:docPr id="39" name="Picture_17_SpCnt_2"/>
                  <wp:cNvGraphicFramePr/>
                  <a:graphic xmlns:a="http://schemas.openxmlformats.org/drawingml/2006/main">
                    <a:graphicData uri="http://schemas.openxmlformats.org/drawingml/2006/picture">
                      <pic:pic xmlns:pic="http://schemas.openxmlformats.org/drawingml/2006/picture">
                        <pic:nvPicPr>
                          <pic:cNvPr id="39" name="Picture_17_SpCnt_2"/>
                          <pic:cNvPicPr/>
                        </pic:nvPicPr>
                        <pic:blipFill>
                          <a:blip r:embed="rId39"/>
                          <a:stretch>
                            <a:fillRect/>
                          </a:stretch>
                        </pic:blipFill>
                        <pic:spPr>
                          <a:xfrm>
                            <a:off x="0" y="0"/>
                            <a:ext cx="306070" cy="300990"/>
                          </a:xfrm>
                          <a:prstGeom prst="rect">
                            <a:avLst/>
                          </a:prstGeom>
                          <a:noFill/>
                          <a:ln>
                            <a:noFill/>
                          </a:ln>
                        </pic:spPr>
                      </pic:pic>
                    </a:graphicData>
                  </a:graphic>
                </wp:anchor>
              </w:drawing>
            </w:r>
            <w:r>
              <w:rPr>
                <w:rFonts w:hint="eastAsia" w:ascii="宋体" w:hAnsi="宋体" w:eastAsia="宋体" w:cs="宋体"/>
                <w:i w:val="0"/>
                <w:iCs w:val="0"/>
                <w:snapToGrid w:val="0"/>
                <w:color w:val="000000"/>
                <w:kern w:val="0"/>
                <w:sz w:val="24"/>
                <w:szCs w:val="24"/>
                <w:highlight w:val="none"/>
                <w:u w:val="none"/>
                <w:lang w:val="en-US" w:eastAsia="zh-CN" w:bidi="ar"/>
              </w:rPr>
              <w:t>不少于32通道数字调音台配有不少于16个混音母线，不少于6个静音编组和不少于8个DCA的编组</w:t>
            </w:r>
          </w:p>
          <w:p w14:paraId="207A8D2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MIDAS设计完全可编程的高保真音质的话筒前置放大器</w:t>
            </w:r>
          </w:p>
          <w:p w14:paraId="628CA87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高功率32比特浮点DSP具有高动态范围，输入/输出无内部过载和接近零延迟</w:t>
            </w:r>
          </w:p>
          <w:p w14:paraId="686346F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自动化电动100毫米推子可即时推动，功能丰富的现场管理和控制的DAW</w:t>
            </w:r>
          </w:p>
          <w:p w14:paraId="5B1B859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不少于32×32通道火线音频接口和USB 2.0用DAW遥控远程控制iPad应用程序远程操控摆脱PC人工执勤</w:t>
            </w:r>
          </w:p>
          <w:p w14:paraId="5FDC1DB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高分辨率≥7英寸彩色TFT屏便于观看的工作流组件和参数</w:t>
            </w:r>
          </w:p>
          <w:p w14:paraId="5D07226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 特别生动的LCD屏可直观的通道区分所有通道和总线上的状态</w:t>
            </w:r>
          </w:p>
          <w:p w14:paraId="4659935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 主输出、不少于6个矩阵总线和所有不少于16个混音总线每个都具有插入接口、不少于6波段参量均衡器和全动态处理</w:t>
            </w:r>
          </w:p>
          <w:p w14:paraId="7292B23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不少于48路数字通道通过AES50端口，特有的网络连接能力具有低误差和延迟</w:t>
            </w:r>
          </w:p>
          <w:p w14:paraId="56C5B96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USB A型连接器提供文件存储和未压缩的立体声录音还有节目预置和系统更新</w:t>
            </w:r>
          </w:p>
          <w:p w14:paraId="125F12D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通道条部分直接访问控制和图形用户界面，直观的工作流程</w:t>
            </w:r>
          </w:p>
          <w:p w14:paraId="4EB7901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个人监测系统加上AES / EBU立体声数字输出和MIDI的UltraNet连接</w:t>
            </w:r>
          </w:p>
          <w:p w14:paraId="5D2A2BB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网络远程控制，通过以太网与屏幕上的软件编辑节目设置</w:t>
            </w:r>
          </w:p>
          <w:p w14:paraId="4BFA986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内置扩展端口音频接口卡或数字化，网络桥梁</w:t>
            </w:r>
          </w:p>
          <w:p w14:paraId="4C4EF85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模拟效果具有8个真实的立体声效果处理器</w:t>
            </w:r>
          </w:p>
          <w:p w14:paraId="4540F58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不少于16个模拟XLR输出，加上不少于6个线路I/O，不少于2个耳机接口和不少于一个集成或外置麦克风对讲节</w:t>
            </w:r>
          </w:p>
        </w:tc>
      </w:tr>
      <w:tr w14:paraId="607431E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43" w:hRule="atLeast"/>
          <w:jc w:val="center"/>
        </w:trPr>
        <w:tc>
          <w:tcPr>
            <w:tcW w:w="5000" w:type="pct"/>
            <w:gridSpan w:val="5"/>
            <w:vAlign w:val="center"/>
          </w:tcPr>
          <w:p w14:paraId="307F1E0C">
            <w:pPr>
              <w:keepNext w:val="0"/>
              <w:keepLines w:val="0"/>
              <w:pageBreakBefore w:val="0"/>
              <w:widowControl/>
              <w:suppressLineNumbers w:val="0"/>
              <w:wordWrap/>
              <w:overflowPunct/>
              <w:topLinePunct w:val="0"/>
              <w:bidi w:val="0"/>
              <w:snapToGrid w:val="0"/>
              <w:spacing w:line="360" w:lineRule="exact"/>
              <w:jc w:val="center"/>
              <w:textAlignment w:val="center"/>
              <w:rPr>
                <w:rFonts w:hint="default" w:ascii="宋体" w:hAnsi="宋体" w:eastAsia="宋体" w:cs="宋体"/>
                <w:i w:val="0"/>
                <w:iCs w:val="0"/>
                <w:snapToGrid w:val="0"/>
                <w:color w:val="000000"/>
                <w:kern w:val="0"/>
                <w:sz w:val="24"/>
                <w:szCs w:val="24"/>
                <w:highlight w:val="none"/>
                <w:u w:val="none"/>
                <w:lang w:val="en-US" w:eastAsia="zh-CN" w:bidi="ar"/>
              </w:rPr>
            </w:pPr>
            <w:r>
              <w:rPr>
                <w:rFonts w:hint="default" w:ascii="宋体" w:hAnsi="宋体" w:eastAsia="宋体" w:cs="宋体"/>
                <w:b/>
                <w:bCs/>
                <w:color w:val="auto"/>
                <w:sz w:val="24"/>
                <w:szCs w:val="24"/>
                <w:highlight w:val="none"/>
                <w:lang w:val="en-US" w:eastAsia="zh-CN"/>
              </w:rPr>
              <w:t>②</w:t>
            </w:r>
            <w:r>
              <w:rPr>
                <w:rFonts w:hint="eastAsia" w:ascii="宋体" w:hAnsi="宋体" w:eastAsia="宋体" w:cs="宋体"/>
                <w:b/>
                <w:bCs/>
                <w:color w:val="auto"/>
                <w:sz w:val="24"/>
                <w:szCs w:val="24"/>
                <w:highlight w:val="none"/>
                <w:lang w:val="en-US" w:eastAsia="zh-CN"/>
              </w:rPr>
              <w:t>多功能厅灯光系统</w:t>
            </w:r>
          </w:p>
        </w:tc>
      </w:tr>
      <w:tr w14:paraId="66AC4E4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49B799BA">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3D721">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380W光束灯</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297CE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12</w:t>
            </w:r>
          </w:p>
        </w:tc>
        <w:tc>
          <w:tcPr>
            <w:tcW w:w="247" w:type="pct"/>
            <w:vAlign w:val="center"/>
          </w:tcPr>
          <w:p w14:paraId="0A7BA9A4">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1845E5A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额定电压：≥AC100V-240V，50/60Hz;</w:t>
            </w:r>
          </w:p>
          <w:p w14:paraId="78A3C4E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额定功率：≥390W</w:t>
            </w:r>
          </w:p>
          <w:p w14:paraId="29B3857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光源规格：≥300W </w:t>
            </w:r>
          </w:p>
          <w:p w14:paraId="4D4442D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流明维持率：≥70% @2000小时</w:t>
            </w:r>
          </w:p>
          <w:p w14:paraId="3E139B8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色    温（CCT）：≥8000K0</w:t>
            </w:r>
          </w:p>
          <w:p w14:paraId="6626FEA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出光角度: ≥4°</w:t>
            </w:r>
          </w:p>
          <w:p w14:paraId="467931F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调    光：机械性调光0~ 100%</w:t>
            </w:r>
          </w:p>
          <w:p w14:paraId="3221B3B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高速频闪：脉冲频闪，同步异步频闪,频闪速度每秒1-20次</w:t>
            </w:r>
          </w:p>
          <w:p w14:paraId="71F987B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颜色系统：不少于1个固定色片盘13种色片+白光,可线性色彩转换及半色彩虹效果</w:t>
            </w:r>
          </w:p>
          <w:p w14:paraId="73B5C07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图案系统：不少于1个固定图案盘有10个图案片+白光;可变速抖动效果</w:t>
            </w:r>
          </w:p>
          <w:p w14:paraId="0851EA7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效果盘：独立七彩效果盘，当棱镜出来，介入效果盘，可产生七彩棱镜效果</w:t>
            </w:r>
          </w:p>
          <w:p w14:paraId="5992DF7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棱镜系统：双棱镜功能，1个独立16棱镜，一个独立24棱镜(8+16双层)，可棱镜叠加功能,支持双向旋转，速度可调</w:t>
            </w:r>
          </w:p>
          <w:p w14:paraId="6430BAD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雾   化：0~100％线性雾化效果</w:t>
            </w:r>
          </w:p>
          <w:p w14:paraId="460DC71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调   焦：采用高精密的光学玻璃镜头， 电子线性0~100％高清调焦</w:t>
            </w:r>
          </w:p>
          <w:p w14:paraId="0B556B1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水平/垂直：三相电机超低音高速运行效果，16bit解析度和精确的分辨率，水平扫描角度≥540°，垂直扫描角度≥270°，8或16Bi精度微调，自动回位纠正功能;</w:t>
            </w:r>
          </w:p>
          <w:p w14:paraId="43397D9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显示界面：宽屏LCD触摸液晶中英文显示界面，可随安装方式不同显示页面方向可调。</w:t>
            </w:r>
          </w:p>
          <w:p w14:paraId="23C7594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系统功能：带RDM控制协议，可实现数据的双向传输，远程监控灯具运行情况</w:t>
            </w:r>
          </w:p>
          <w:p w14:paraId="66D950E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散热设计：采用低压静音风扇风向引流散热系统，有效控制灯具温度</w:t>
            </w:r>
          </w:p>
          <w:p w14:paraId="5F9CC25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控制模式：DMX512、自走、声控、主从机。</w:t>
            </w:r>
          </w:p>
          <w:p w14:paraId="1381EB7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控制通道：不少于2种控制通道模式选择，16/20</w:t>
            </w:r>
          </w:p>
          <w:p w14:paraId="10D72AC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防护等级：IP≥20</w:t>
            </w:r>
          </w:p>
        </w:tc>
      </w:tr>
      <w:tr w14:paraId="17D0161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97" w:hRule="atLeast"/>
          <w:jc w:val="center"/>
        </w:trPr>
        <w:tc>
          <w:tcPr>
            <w:tcW w:w="296" w:type="pct"/>
            <w:vAlign w:val="center"/>
          </w:tcPr>
          <w:p w14:paraId="590A3A24">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68333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18颗全彩帕灯</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F8AD4">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60</w:t>
            </w:r>
          </w:p>
        </w:tc>
        <w:tc>
          <w:tcPr>
            <w:tcW w:w="247" w:type="pct"/>
            <w:vAlign w:val="center"/>
          </w:tcPr>
          <w:p w14:paraId="20A6122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4B90035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输入电压：≥AC110/220V 50/60Hz </w:t>
            </w:r>
          </w:p>
          <w:p w14:paraId="6CD9010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额定功率：≥200W </w:t>
            </w:r>
          </w:p>
          <w:p w14:paraId="616E42F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光源：≥LED10W*18颗（四合一灯珠）</w:t>
            </w:r>
          </w:p>
          <w:p w14:paraId="1248C46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流明维持率：≥70% @20000小时</w:t>
            </w:r>
          </w:p>
          <w:p w14:paraId="0C369DC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发光角度：≥40°</w:t>
            </w:r>
          </w:p>
          <w:p w14:paraId="0288B6C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调光：0-100%电子线性调节 </w:t>
            </w:r>
          </w:p>
          <w:p w14:paraId="7928A25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频闪：≥0-20Hz   </w:t>
            </w:r>
          </w:p>
          <w:p w14:paraId="2D06F92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颜色：RGBWA、混色不少于1670万种颜色变化   </w:t>
            </w:r>
          </w:p>
          <w:p w14:paraId="083BD38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控制模式：DMX512、主从、自走、声控</w:t>
            </w:r>
          </w:p>
          <w:p w14:paraId="0E67D69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控制通道：≥8通道</w:t>
            </w:r>
          </w:p>
          <w:p w14:paraId="6325D2E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电源接口：手拉手线，输入/输出</w:t>
            </w:r>
          </w:p>
          <w:p w14:paraId="3ED65B9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信号接口：手拉手线，输入/输出</w:t>
            </w:r>
          </w:p>
          <w:p w14:paraId="064BA3E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防护等级：防水</w:t>
            </w:r>
          </w:p>
          <w:p w14:paraId="3428D5B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显示方式：LED数码显示屏</w:t>
            </w:r>
          </w:p>
        </w:tc>
      </w:tr>
      <w:tr w14:paraId="24BFF48C">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37" w:hRule="atLeast"/>
          <w:jc w:val="center"/>
        </w:trPr>
        <w:tc>
          <w:tcPr>
            <w:tcW w:w="296" w:type="pct"/>
            <w:vAlign w:val="center"/>
          </w:tcPr>
          <w:p w14:paraId="6FC2160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2473C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LED影视面光灯</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209A9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14</w:t>
            </w:r>
          </w:p>
        </w:tc>
        <w:tc>
          <w:tcPr>
            <w:tcW w:w="247" w:type="pct"/>
            <w:vAlign w:val="center"/>
          </w:tcPr>
          <w:p w14:paraId="0F461A4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290C224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输入电压：≥AC100-240V, 50/60Hz</w:t>
            </w:r>
          </w:p>
          <w:p w14:paraId="6ECB1C2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额定功率：≥200W</w:t>
            </w:r>
          </w:p>
          <w:p w14:paraId="1808719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光源型号：≥LED200W</w:t>
            </w:r>
          </w:p>
          <w:p w14:paraId="66EFAC7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流明维持率：≥70% @20000小时</w:t>
            </w:r>
          </w:p>
          <w:p w14:paraId="76D4290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色 温：≥3200-5600k</w:t>
            </w:r>
          </w:p>
          <w:p w14:paraId="3B4DF7F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发光角度：≥60°</w:t>
            </w:r>
          </w:p>
          <w:p w14:paraId="35A0A39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调光：0-100%电子线性调节 </w:t>
            </w:r>
          </w:p>
          <w:p w14:paraId="5E7D4DF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频闪：≥0-20Hz </w:t>
            </w:r>
          </w:p>
          <w:p w14:paraId="7476013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控制模式: DMX512、自走、主从机</w:t>
            </w:r>
          </w:p>
          <w:p w14:paraId="6D2F0DD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控制通道：≥6通道</w:t>
            </w:r>
          </w:p>
          <w:p w14:paraId="0AFC28E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显示方式：LED数码显示屏</w:t>
            </w:r>
          </w:p>
        </w:tc>
      </w:tr>
      <w:tr w14:paraId="1D39BB7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376892EC">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BEEC4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LED三基色柔光灯</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D1A15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18</w:t>
            </w:r>
          </w:p>
        </w:tc>
        <w:tc>
          <w:tcPr>
            <w:tcW w:w="247" w:type="pct"/>
            <w:vAlign w:val="center"/>
          </w:tcPr>
          <w:p w14:paraId="6A2BE34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71AE200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额定电压：≥AC100V-240V 50/60Hz;</w:t>
            </w:r>
          </w:p>
          <w:p w14:paraId="65537A1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额定功率：≥216W</w:t>
            </w:r>
          </w:p>
          <w:p w14:paraId="3F1D5D2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光源规格：≥432颗0.5W 5730LED贴片灯珠（即5.7mm*3.0mm）暖白/正白/双色温可选，</w:t>
            </w:r>
          </w:p>
          <w:p w14:paraId="2F270AD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显色指数（CRI）＞90 ＜95</w:t>
            </w:r>
          </w:p>
          <w:p w14:paraId="7E0B9B3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色    温（CCT）：3200k-5600K(色温可调）可选</w:t>
            </w:r>
          </w:p>
          <w:p w14:paraId="7759B30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光束角度：≥120°</w:t>
            </w:r>
          </w:p>
          <w:p w14:paraId="2FB0DF6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调    光：≥0~100%线性电子调光，易于色温调节.</w:t>
            </w:r>
          </w:p>
          <w:p w14:paraId="4CFCCBC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控制面板: LED数码显示屏</w:t>
            </w:r>
          </w:p>
          <w:p w14:paraId="1499212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散热设计：采用型材类散热器，具有散热性能好，无噪音，节能效果好等特点</w:t>
            </w:r>
          </w:p>
          <w:p w14:paraId="38EEF2B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控制模式: DMX512、自走、主从机。</w:t>
            </w:r>
          </w:p>
          <w:p w14:paraId="48B8143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控制通道：≥1种通道模式，3CH(单色)/4CH(双色)</w:t>
            </w:r>
          </w:p>
          <w:p w14:paraId="48BA908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防护等级: IP≥20</w:t>
            </w:r>
          </w:p>
        </w:tc>
      </w:tr>
      <w:tr w14:paraId="7B77FBD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14" w:hRule="atLeast"/>
          <w:jc w:val="center"/>
        </w:trPr>
        <w:tc>
          <w:tcPr>
            <w:tcW w:w="296" w:type="pct"/>
            <w:vAlign w:val="center"/>
          </w:tcPr>
          <w:p w14:paraId="38CD2D6B">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5</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3A7F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24路电源直通箱</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A919A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28C6C17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28DE02B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80A可控硅，抗负载短路可达200次以上，隔离电压达7500V。</w:t>
            </w:r>
          </w:p>
          <w:p w14:paraId="0FB7E48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CPU数字直接触发</w:t>
            </w:r>
          </w:p>
          <w:p w14:paraId="5AFAA47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具备各种工作状态显示及自检功能，分数字、模拟、数/模三种型号，其中，数/模型可接受数字信号及模拟信号控制。</w:t>
            </w:r>
          </w:p>
          <w:p w14:paraId="7FD1CF9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输出回路：≥24路（4KW/路） </w:t>
            </w:r>
          </w:p>
          <w:p w14:paraId="3570AF5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技术参数 </w:t>
            </w:r>
          </w:p>
          <w:p w14:paraId="09AD8CF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输入供电：三组五线制，单相操作电压220V±10%AC，50±1HZ</w:t>
            </w:r>
          </w:p>
          <w:p w14:paraId="366C07D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控制信号：数字DMX-512（1990）；模拟0—10V。</w:t>
            </w:r>
          </w:p>
          <w:p w14:paraId="0DDB160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环境温度：≥-10℃~+35℃ 通风性好。</w:t>
            </w:r>
          </w:p>
          <w:p w14:paraId="7840271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相对湿度：≥20％～90％，无烟尘。                                                            </w:t>
            </w:r>
          </w:p>
          <w:p w14:paraId="4C30716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 供电：三相五线制AC380V±10％，频率50Hz±5％</w:t>
            </w:r>
          </w:p>
          <w:p w14:paraId="6408CAA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 每相输入额定电流：≥400A</w:t>
            </w:r>
          </w:p>
          <w:p w14:paraId="6010CDE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 信号接口：数字DMX-512(1990)信号</w:t>
            </w:r>
          </w:p>
          <w:p w14:paraId="1D8E6CC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(4) 额定功率：≥24路X4KW </w:t>
            </w:r>
          </w:p>
        </w:tc>
      </w:tr>
      <w:tr w14:paraId="21CCBAB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7B0C92A5">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6</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936E0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灯光控制台</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10E44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620B49C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08304C5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双核处理器，不低于60G固态硬盘，不低于2G内存</w:t>
            </w:r>
          </w:p>
          <w:p w14:paraId="59E336B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支持中文菜单显示</w:t>
            </w:r>
          </w:p>
          <w:p w14:paraId="3A20DB3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内置一个不低于15.4寸触摸屏。并可扩展一个触摸屏</w:t>
            </w:r>
          </w:p>
          <w:p w14:paraId="064BB2A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不少于4/8个DMX输出端口，不少于2048个DMX通道</w:t>
            </w:r>
          </w:p>
          <w:p w14:paraId="69247B3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支持Artnet,并可扩展至不少于12个DMX输出口，不少于6144个通道</w:t>
            </w:r>
          </w:p>
          <w:p w14:paraId="0291A8C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不少于10个宏按键，可编辑任何程序</w:t>
            </w:r>
          </w:p>
          <w:p w14:paraId="7C854E4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不少于20个重放推杆，支持不少于1000个虚拟重放</w:t>
            </w:r>
          </w:p>
          <w:p w14:paraId="3BF2543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支持涂鸦式手写命名功能</w:t>
            </w:r>
          </w:p>
          <w:p w14:paraId="22CE877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支持CITP协议，可预览服务器或数字灯的内置素材</w:t>
            </w:r>
          </w:p>
          <w:p w14:paraId="4070EF6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内置Visualiser可视化舞台模拟软件，支持视频</w:t>
            </w:r>
          </w:p>
          <w:p w14:paraId="74B7A78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提供MIDI时间码控制</w:t>
            </w:r>
          </w:p>
          <w:p w14:paraId="0FDE10D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内置像素映射及内置图形发生器</w:t>
            </w:r>
          </w:p>
          <w:p w14:paraId="396367F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内置UPS电源,断电可供电不低于15分钟,防止突然断电系统损坏或丢失程序</w:t>
            </w:r>
          </w:p>
        </w:tc>
      </w:tr>
      <w:tr w14:paraId="7CE2159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073394BB">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7</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54D76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信号放大器</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95B65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5</w:t>
            </w:r>
          </w:p>
        </w:tc>
        <w:tc>
          <w:tcPr>
            <w:tcW w:w="247" w:type="pct"/>
            <w:vAlign w:val="center"/>
          </w:tcPr>
          <w:p w14:paraId="6244A26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5C0B225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单相AC220V±10%，频率50HZ±5%.</w:t>
            </w:r>
          </w:p>
          <w:p w14:paraId="65F6AC5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路信号输入，不少于8路经独立电气隔离的信号分配输出。</w:t>
            </w:r>
          </w:p>
          <w:p w14:paraId="53847D5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数字信号：DMX512，接口类型：RS-485以及采用RS-485接口传输的各种数字信号。</w:t>
            </w:r>
          </w:p>
          <w:p w14:paraId="5C12995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信号连接插座：三芯音频阳座阴座。</w:t>
            </w:r>
          </w:p>
        </w:tc>
      </w:tr>
      <w:tr w14:paraId="1AFFA48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307" w:hRule="atLeast"/>
          <w:jc w:val="center"/>
        </w:trPr>
        <w:tc>
          <w:tcPr>
            <w:tcW w:w="296" w:type="pct"/>
            <w:vAlign w:val="center"/>
          </w:tcPr>
          <w:p w14:paraId="465E691E">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8</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259635">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灯光架</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87D0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6</w:t>
            </w:r>
          </w:p>
        </w:tc>
        <w:tc>
          <w:tcPr>
            <w:tcW w:w="247" w:type="pct"/>
            <w:vAlign w:val="center"/>
          </w:tcPr>
          <w:p w14:paraId="77AB8274">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道</w:t>
            </w:r>
          </w:p>
        </w:tc>
        <w:tc>
          <w:tcPr>
            <w:tcW w:w="3635" w:type="pct"/>
            <w:vAlign w:val="center"/>
          </w:tcPr>
          <w:p w14:paraId="327D03A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现场制作，制作完毕后、打磨除锈、刷防锈漆、刷黑色面漆两遍。效率指标符合标准、成套配置，满足设计及规范要求、安全措施</w:t>
            </w:r>
          </w:p>
        </w:tc>
      </w:tr>
      <w:tr w14:paraId="6EF3606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704" w:hRule="atLeast"/>
          <w:jc w:val="center"/>
        </w:trPr>
        <w:tc>
          <w:tcPr>
            <w:tcW w:w="296" w:type="pct"/>
            <w:vAlign w:val="center"/>
          </w:tcPr>
          <w:p w14:paraId="2749052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9</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4135F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灯钩</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AA90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150</w:t>
            </w:r>
          </w:p>
        </w:tc>
        <w:tc>
          <w:tcPr>
            <w:tcW w:w="247" w:type="pct"/>
            <w:vAlign w:val="center"/>
          </w:tcPr>
          <w:p w14:paraId="329185B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3635" w:type="pct"/>
            <w:vAlign w:val="center"/>
          </w:tcPr>
          <w:p w14:paraId="43AED7B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铸铝，承重不低于50KG</w:t>
            </w:r>
          </w:p>
        </w:tc>
      </w:tr>
      <w:tr w14:paraId="5EA3F22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980" w:hRule="atLeast"/>
          <w:jc w:val="center"/>
        </w:trPr>
        <w:tc>
          <w:tcPr>
            <w:tcW w:w="296" w:type="pct"/>
            <w:vAlign w:val="center"/>
          </w:tcPr>
          <w:p w14:paraId="3461DB7B">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10</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59084">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保险绳</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E9231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120</w:t>
            </w:r>
          </w:p>
        </w:tc>
        <w:tc>
          <w:tcPr>
            <w:tcW w:w="247" w:type="pct"/>
            <w:vAlign w:val="center"/>
          </w:tcPr>
          <w:p w14:paraId="4573292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3635" w:type="pct"/>
            <w:vAlign w:val="center"/>
          </w:tcPr>
          <w:p w14:paraId="2A37E77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大型灯具保险绳 专业灯光钢丝飞行扣式</w:t>
            </w:r>
          </w:p>
          <w:p w14:paraId="34E0C13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钢绳直径不低于0.5CM，首尾皆带有U形锁扣，称重不低于80KG</w:t>
            </w:r>
          </w:p>
        </w:tc>
      </w:tr>
      <w:tr w14:paraId="71D90E4C">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780" w:hRule="atLeast"/>
          <w:jc w:val="center"/>
        </w:trPr>
        <w:tc>
          <w:tcPr>
            <w:tcW w:w="296" w:type="pct"/>
            <w:vAlign w:val="center"/>
          </w:tcPr>
          <w:p w14:paraId="13C28569">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E3CD0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信号线</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CABE7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1000</w:t>
            </w:r>
          </w:p>
        </w:tc>
        <w:tc>
          <w:tcPr>
            <w:tcW w:w="247" w:type="pct"/>
            <w:vAlign w:val="center"/>
          </w:tcPr>
          <w:p w14:paraId="17DE7805">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米</w:t>
            </w:r>
          </w:p>
        </w:tc>
        <w:tc>
          <w:tcPr>
            <w:tcW w:w="3635" w:type="pct"/>
            <w:vAlign w:val="center"/>
          </w:tcPr>
          <w:p w14:paraId="0AA5D22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国标定制</w:t>
            </w:r>
          </w:p>
        </w:tc>
      </w:tr>
      <w:tr w14:paraId="6491D25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33403A49">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BD4EB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灯光线缆</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9C871">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1000</w:t>
            </w:r>
          </w:p>
        </w:tc>
        <w:tc>
          <w:tcPr>
            <w:tcW w:w="247" w:type="pct"/>
            <w:vAlign w:val="center"/>
          </w:tcPr>
          <w:p w14:paraId="17E9DF8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米</w:t>
            </w:r>
          </w:p>
        </w:tc>
        <w:tc>
          <w:tcPr>
            <w:tcW w:w="3635" w:type="pct"/>
            <w:vAlign w:val="center"/>
          </w:tcPr>
          <w:p w14:paraId="30CDA21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国标3*4</w:t>
            </w:r>
          </w:p>
        </w:tc>
      </w:tr>
      <w:tr w14:paraId="41C3C70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5000" w:type="pct"/>
            <w:gridSpan w:val="5"/>
            <w:vAlign w:val="center"/>
          </w:tcPr>
          <w:p w14:paraId="28BC3C90">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default" w:ascii="Calibri" w:hAnsi="Calibri" w:eastAsia="宋体" w:cs="Calibri"/>
                <w:b/>
                <w:bCs/>
                <w:color w:val="auto"/>
                <w:sz w:val="24"/>
                <w:szCs w:val="24"/>
                <w:highlight w:val="none"/>
                <w:lang w:val="en-US" w:eastAsia="zh-CN"/>
              </w:rPr>
              <w:t>③</w:t>
            </w:r>
            <w:r>
              <w:rPr>
                <w:rFonts w:hint="eastAsia" w:ascii="宋体" w:hAnsi="宋体" w:eastAsia="宋体" w:cs="宋体"/>
                <w:b/>
                <w:bCs/>
                <w:color w:val="auto"/>
                <w:sz w:val="24"/>
                <w:szCs w:val="24"/>
                <w:highlight w:val="none"/>
                <w:lang w:val="en-US" w:eastAsia="zh-CN"/>
              </w:rPr>
              <w:t>多功能厅LED显示屏</w:t>
            </w:r>
          </w:p>
        </w:tc>
      </w:tr>
      <w:tr w14:paraId="7F19CDD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62A5376F">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AC0C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室内全彩 LED显示屏</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0E1F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32.97</w:t>
            </w:r>
          </w:p>
        </w:tc>
        <w:tc>
          <w:tcPr>
            <w:tcW w:w="247" w:type="pct"/>
            <w:vAlign w:val="center"/>
          </w:tcPr>
          <w:p w14:paraId="1139524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2744F3B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屏幕尺寸：7.36米宽，4.48米高</w:t>
            </w:r>
          </w:p>
          <w:p w14:paraId="49C4D50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1.点间距离： ≤2.5mm</w:t>
            </w:r>
          </w:p>
          <w:p w14:paraId="35D58C7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2.物理密度 ： ≥160000/ ㎡</w:t>
            </w:r>
          </w:p>
          <w:p w14:paraId="2A09CC0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 xml:space="preserve">3.发光点颜色：1R1G1B  </w:t>
            </w:r>
          </w:p>
          <w:p w14:paraId="1208DB0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4.封装尺寸 : SMD2121</w:t>
            </w:r>
          </w:p>
          <w:p w14:paraId="40F58EA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5.驱动方式：恒流驱动</w:t>
            </w:r>
          </w:p>
          <w:p w14:paraId="0F2B61B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6.模组尺寸：(W)320mm×(H)160mm</w:t>
            </w:r>
          </w:p>
          <w:p w14:paraId="400F369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7.模组平整度：≤0.1mm</w:t>
            </w:r>
          </w:p>
          <w:p w14:paraId="273F34F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8.像素中心距相对偏差：≤2%</w:t>
            </w:r>
          </w:p>
          <w:p w14:paraId="48A1D51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9.亮度：≥1000cd/㎡可调</w:t>
            </w:r>
          </w:p>
          <w:p w14:paraId="59B5E7B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10.水平视角：≥170°</w:t>
            </w:r>
          </w:p>
          <w:p w14:paraId="5C6E772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11.垂直视角：≥170°</w:t>
            </w:r>
          </w:p>
          <w:p w14:paraId="298619F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12.色温：2000-18000</w:t>
            </w:r>
          </w:p>
          <w:p w14:paraId="641028C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13.DCI-P3色域覆盖率：≥95%</w:t>
            </w:r>
          </w:p>
          <w:p w14:paraId="4A0B485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14.最高对比度：≥8000:1</w:t>
            </w:r>
          </w:p>
          <w:p w14:paraId="3364FB0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15.亮度均匀性：≥97%</w:t>
            </w:r>
          </w:p>
          <w:p w14:paraId="33D418E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16.色度均匀度：±0.003CxCy之内</w:t>
            </w:r>
          </w:p>
          <w:p w14:paraId="747F209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17.换帧频率：≥60Hz，刷新频率：3840Hz</w:t>
            </w:r>
          </w:p>
          <w:p w14:paraId="3F576E3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18.像素失控点：≤1/100000，无连续失控点</w:t>
            </w:r>
          </w:p>
          <w:p w14:paraId="616791E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19.抗电强度满足安全防范报警设备的电源插头或电源引入端与外壳裸漏金属部件之间的绝缘电阻，经过相对湿热度为</w:t>
            </w:r>
            <w:r>
              <w:rPr>
                <w:rFonts w:hint="eastAsia" w:ascii="宋体" w:hAnsi="宋体" w:eastAsia="宋体" w:cs="宋体"/>
                <w:color w:val="auto"/>
                <w:sz w:val="24"/>
                <w:szCs w:val="24"/>
                <w:highlight w:val="none"/>
                <w:lang w:val="en-US" w:eastAsia="zh-CN"/>
              </w:rPr>
              <w:t>91</w:t>
            </w:r>
            <w:r>
              <w:rPr>
                <w:rFonts w:hint="eastAsia" w:ascii="宋体" w:hAnsi="宋体" w:eastAsia="宋体" w:cs="宋体"/>
                <w:color w:val="auto"/>
                <w:sz w:val="24"/>
                <w:szCs w:val="24"/>
                <w:highlight w:val="none"/>
                <w:lang w:val="en-US"/>
              </w:rPr>
              <w:t>％－</w:t>
            </w:r>
            <w:r>
              <w:rPr>
                <w:rFonts w:hint="eastAsia" w:ascii="宋体" w:hAnsi="宋体" w:eastAsia="宋体" w:cs="宋体"/>
                <w:color w:val="auto"/>
                <w:sz w:val="24"/>
                <w:szCs w:val="24"/>
                <w:highlight w:val="none"/>
                <w:lang w:val="en-US" w:eastAsia="zh-CN"/>
              </w:rPr>
              <w:t>95</w:t>
            </w:r>
            <w:r>
              <w:rPr>
                <w:rFonts w:hint="eastAsia" w:ascii="宋体" w:hAnsi="宋体" w:eastAsia="宋体" w:cs="宋体"/>
                <w:color w:val="auto"/>
                <w:sz w:val="24"/>
                <w:szCs w:val="24"/>
                <w:highlight w:val="none"/>
                <w:lang w:val="en-US"/>
              </w:rPr>
              <w:t>％、温度为</w:t>
            </w:r>
            <w:r>
              <w:rPr>
                <w:rFonts w:hint="eastAsia" w:ascii="宋体" w:hAnsi="宋体" w:eastAsia="宋体" w:cs="宋体"/>
                <w:color w:val="auto"/>
                <w:sz w:val="24"/>
                <w:szCs w:val="24"/>
                <w:highlight w:val="none"/>
                <w:lang w:val="en-US" w:eastAsia="zh-CN"/>
              </w:rPr>
              <w:t>40</w:t>
            </w:r>
            <w:r>
              <w:rPr>
                <w:rFonts w:hint="eastAsia" w:ascii="宋体" w:hAnsi="宋体" w:eastAsia="宋体" w:cs="宋体"/>
                <w:color w:val="auto"/>
                <w:sz w:val="24"/>
                <w:szCs w:val="24"/>
                <w:highlight w:val="none"/>
                <w:lang w:val="en-US"/>
              </w:rPr>
              <w:t>°C、</w:t>
            </w:r>
            <w:r>
              <w:rPr>
                <w:rFonts w:hint="eastAsia" w:ascii="宋体" w:hAnsi="宋体" w:eastAsia="宋体" w:cs="宋体"/>
                <w:color w:val="auto"/>
                <w:sz w:val="24"/>
                <w:szCs w:val="24"/>
                <w:highlight w:val="none"/>
                <w:lang w:val="en-US" w:eastAsia="zh-CN"/>
              </w:rPr>
              <w:t>48h</w:t>
            </w:r>
            <w:r>
              <w:rPr>
                <w:rFonts w:hint="eastAsia" w:ascii="宋体" w:hAnsi="宋体" w:eastAsia="宋体" w:cs="宋体"/>
                <w:color w:val="auto"/>
                <w:sz w:val="24"/>
                <w:szCs w:val="24"/>
                <w:highlight w:val="none"/>
                <w:lang w:val="en-US"/>
              </w:rPr>
              <w:t>的受潮预处理后，加强绝缘的设备不小于</w:t>
            </w:r>
            <w:r>
              <w:rPr>
                <w:rFonts w:hint="eastAsia" w:ascii="宋体" w:hAnsi="宋体" w:eastAsia="宋体" w:cs="宋体"/>
                <w:color w:val="auto"/>
                <w:sz w:val="24"/>
                <w:szCs w:val="24"/>
                <w:highlight w:val="none"/>
                <w:lang w:val="en-US" w:eastAsia="zh-CN"/>
              </w:rPr>
              <w:t>5</w:t>
            </w:r>
            <w:r>
              <w:rPr>
                <w:rFonts w:hint="eastAsia" w:ascii="宋体" w:hAnsi="宋体" w:eastAsia="宋体" w:cs="宋体"/>
                <w:color w:val="auto"/>
                <w:sz w:val="24"/>
                <w:szCs w:val="24"/>
                <w:highlight w:val="none"/>
                <w:lang w:val="en-US"/>
              </w:rPr>
              <w:t>MΩ，基本绝缘的设备不小于</w:t>
            </w: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lang w:val="en-US"/>
              </w:rPr>
              <w:t>MΩ，Ⅲ类设备不小于</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lang w:val="en-US"/>
              </w:rPr>
              <w:t>MΩ。工作电压超过</w:t>
            </w:r>
            <w:r>
              <w:rPr>
                <w:rFonts w:hint="eastAsia" w:ascii="宋体" w:hAnsi="宋体" w:eastAsia="宋体" w:cs="宋体"/>
                <w:color w:val="auto"/>
                <w:sz w:val="24"/>
                <w:szCs w:val="24"/>
                <w:highlight w:val="none"/>
                <w:lang w:val="en-US" w:eastAsia="zh-CN"/>
              </w:rPr>
              <w:t>500</w:t>
            </w:r>
            <w:r>
              <w:rPr>
                <w:rFonts w:hint="eastAsia" w:ascii="宋体" w:hAnsi="宋体" w:eastAsia="宋体" w:cs="宋体"/>
                <w:color w:val="auto"/>
                <w:sz w:val="24"/>
                <w:szCs w:val="24"/>
                <w:highlight w:val="none"/>
                <w:lang w:val="en-US"/>
              </w:rPr>
              <w:t>V的设备，上述绝缘电阻的阻值数应乘以一个系数，该系数等于工作电压除以</w:t>
            </w:r>
            <w:r>
              <w:rPr>
                <w:rFonts w:hint="eastAsia" w:ascii="宋体" w:hAnsi="宋体" w:eastAsia="宋体" w:cs="宋体"/>
                <w:color w:val="auto"/>
                <w:sz w:val="24"/>
                <w:szCs w:val="24"/>
                <w:highlight w:val="none"/>
                <w:lang w:val="en-US" w:eastAsia="zh-CN"/>
              </w:rPr>
              <w:t>500</w:t>
            </w:r>
            <w:r>
              <w:rPr>
                <w:rFonts w:hint="eastAsia" w:ascii="宋体" w:hAnsi="宋体" w:eastAsia="宋体" w:cs="宋体"/>
                <w:color w:val="auto"/>
                <w:sz w:val="24"/>
                <w:szCs w:val="24"/>
                <w:highlight w:val="none"/>
                <w:lang w:val="en-US"/>
              </w:rPr>
              <w:t>V。</w:t>
            </w:r>
          </w:p>
          <w:p w14:paraId="25401AF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20.LED显示屏工作室的漏电电流符合GB</w:t>
            </w:r>
            <w:r>
              <w:rPr>
                <w:rFonts w:hint="eastAsia" w:ascii="宋体" w:hAnsi="宋体" w:eastAsia="宋体" w:cs="宋体"/>
                <w:color w:val="auto"/>
                <w:sz w:val="24"/>
                <w:szCs w:val="24"/>
                <w:highlight w:val="none"/>
                <w:lang w:val="en-US" w:eastAsia="zh-CN"/>
              </w:rPr>
              <w:t>16796</w:t>
            </w:r>
            <w:r>
              <w:rPr>
                <w:rFonts w:hint="eastAsia" w:ascii="宋体" w:hAnsi="宋体" w:eastAsia="宋体" w:cs="宋体"/>
                <w:color w:val="auto"/>
                <w:sz w:val="24"/>
                <w:szCs w:val="24"/>
                <w:highlight w:val="none"/>
                <w:lang w:val="en-US"/>
              </w:rPr>
              <w:t>－</w:t>
            </w:r>
            <w:r>
              <w:rPr>
                <w:rFonts w:hint="eastAsia" w:ascii="宋体" w:hAnsi="宋体" w:eastAsia="宋体" w:cs="宋体"/>
                <w:color w:val="auto"/>
                <w:sz w:val="24"/>
                <w:szCs w:val="24"/>
                <w:highlight w:val="none"/>
                <w:lang w:val="en-US" w:eastAsia="zh-CN"/>
              </w:rPr>
              <w:t>2009</w:t>
            </w:r>
            <w:r>
              <w:rPr>
                <w:rFonts w:hint="eastAsia" w:ascii="宋体" w:hAnsi="宋体" w:eastAsia="宋体" w:cs="宋体"/>
                <w:color w:val="auto"/>
                <w:sz w:val="24"/>
                <w:szCs w:val="24"/>
                <w:highlight w:val="none"/>
                <w:lang w:val="en-US"/>
              </w:rPr>
              <w:t>的要求。</w:t>
            </w:r>
          </w:p>
          <w:p w14:paraId="21CF43C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eastAsia="zh-CN"/>
              </w:rPr>
              <w:t>21.</w:t>
            </w:r>
            <w:r>
              <w:rPr>
                <w:rFonts w:hint="eastAsia" w:ascii="宋体" w:hAnsi="宋体" w:eastAsia="宋体" w:cs="宋体"/>
                <w:color w:val="auto"/>
                <w:sz w:val="24"/>
                <w:szCs w:val="24"/>
                <w:highlight w:val="none"/>
                <w:lang w:val="en-US"/>
              </w:rPr>
              <w:t>LED显示屏图像质量的主观评价整体</w:t>
            </w:r>
            <w:r>
              <w:rPr>
                <w:rFonts w:hint="eastAsia" w:ascii="宋体" w:hAnsi="宋体" w:eastAsia="宋体" w:cs="宋体"/>
                <w:color w:val="auto"/>
                <w:sz w:val="24"/>
                <w:szCs w:val="24"/>
                <w:highlight w:val="none"/>
                <w:lang w:val="en-US" w:eastAsia="zh-CN"/>
              </w:rPr>
              <w:t>符</w:t>
            </w:r>
            <w:r>
              <w:rPr>
                <w:rFonts w:hint="eastAsia" w:ascii="宋体" w:hAnsi="宋体" w:eastAsia="宋体" w:cs="宋体"/>
                <w:color w:val="auto"/>
                <w:sz w:val="24"/>
                <w:szCs w:val="24"/>
                <w:highlight w:val="none"/>
                <w:lang w:val="en-US"/>
              </w:rPr>
              <w:t>合【优】优级要求</w:t>
            </w:r>
          </w:p>
          <w:p w14:paraId="7AA8A4F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eastAsia="zh-CN"/>
              </w:rPr>
              <w:t>22.</w:t>
            </w:r>
            <w:r>
              <w:rPr>
                <w:rFonts w:hint="eastAsia" w:ascii="宋体" w:hAnsi="宋体" w:eastAsia="宋体" w:cs="宋体"/>
                <w:color w:val="auto"/>
                <w:sz w:val="24"/>
                <w:szCs w:val="24"/>
                <w:highlight w:val="none"/>
                <w:lang w:val="en-US"/>
              </w:rPr>
              <w:t xml:space="preserve">产品视觉舒适度（VICO指数）范围在0-1级，对人眼基本无疲劳感，指标符合GB4943.1-2011/ISA9008-2014/CSA035.2-2017                       </w:t>
            </w:r>
          </w:p>
          <w:p w14:paraId="2C03383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eastAsia="zh-CN"/>
              </w:rPr>
              <w:t>23.</w:t>
            </w:r>
            <w:r>
              <w:rPr>
                <w:rFonts w:hint="eastAsia" w:ascii="宋体" w:hAnsi="宋体" w:eastAsia="宋体" w:cs="宋体"/>
                <w:color w:val="auto"/>
                <w:sz w:val="24"/>
                <w:szCs w:val="24"/>
                <w:highlight w:val="none"/>
                <w:lang w:val="en-US"/>
              </w:rPr>
              <w:t>PCB采用4层线路板设计，采用玻璃化温度Ｔg≥150℃的</w:t>
            </w:r>
            <w:r>
              <w:rPr>
                <w:rFonts w:hint="eastAsia" w:ascii="宋体" w:hAnsi="宋体" w:eastAsia="宋体" w:cs="宋体"/>
                <w:color w:val="auto"/>
                <w:sz w:val="24"/>
                <w:szCs w:val="24"/>
                <w:highlight w:val="none"/>
                <w:lang w:val="en-US" w:eastAsia="zh-CN"/>
              </w:rPr>
              <w:t>FR4</w:t>
            </w:r>
            <w:r>
              <w:rPr>
                <w:rFonts w:hint="eastAsia" w:ascii="宋体" w:hAnsi="宋体" w:eastAsia="宋体" w:cs="宋体"/>
                <w:color w:val="auto"/>
                <w:sz w:val="24"/>
                <w:szCs w:val="24"/>
                <w:highlight w:val="none"/>
                <w:lang w:val="en-US"/>
              </w:rPr>
              <w:t>覆铜板，铜厚为1盎司，表面沉金工艺，</w:t>
            </w:r>
            <w:r>
              <w:rPr>
                <w:rFonts w:hint="eastAsia" w:ascii="宋体" w:hAnsi="宋体" w:eastAsia="宋体" w:cs="宋体"/>
                <w:color w:val="auto"/>
                <w:sz w:val="24"/>
                <w:szCs w:val="24"/>
                <w:highlight w:val="none"/>
                <w:lang w:val="en-US" w:eastAsia="zh-CN"/>
              </w:rPr>
              <w:t>PCB</w:t>
            </w:r>
            <w:r>
              <w:rPr>
                <w:rFonts w:hint="eastAsia" w:ascii="宋体" w:hAnsi="宋体" w:eastAsia="宋体" w:cs="宋体"/>
                <w:color w:val="auto"/>
                <w:sz w:val="24"/>
                <w:szCs w:val="24"/>
                <w:highlight w:val="none"/>
                <w:lang w:val="en-US"/>
              </w:rPr>
              <w:t>地分离，</w:t>
            </w:r>
            <w:r>
              <w:rPr>
                <w:rFonts w:hint="eastAsia" w:ascii="宋体" w:hAnsi="宋体" w:eastAsia="宋体" w:cs="宋体"/>
                <w:color w:val="auto"/>
                <w:sz w:val="24"/>
                <w:szCs w:val="24"/>
                <w:highlight w:val="none"/>
                <w:lang w:val="en-US" w:eastAsia="zh-CN"/>
              </w:rPr>
              <w:t>PCB</w:t>
            </w:r>
            <w:r>
              <w:rPr>
                <w:rFonts w:hint="eastAsia" w:ascii="宋体" w:hAnsi="宋体" w:eastAsia="宋体" w:cs="宋体"/>
                <w:color w:val="auto"/>
                <w:sz w:val="24"/>
                <w:szCs w:val="24"/>
                <w:highlight w:val="none"/>
                <w:lang w:val="en-US"/>
              </w:rPr>
              <w:t>抗干扰设计，</w:t>
            </w:r>
            <w:r>
              <w:rPr>
                <w:rFonts w:hint="eastAsia" w:ascii="宋体" w:hAnsi="宋体" w:eastAsia="宋体" w:cs="宋体"/>
                <w:color w:val="auto"/>
                <w:sz w:val="24"/>
                <w:szCs w:val="24"/>
                <w:highlight w:val="none"/>
                <w:lang w:val="en-US" w:eastAsia="zh-CN"/>
              </w:rPr>
              <w:t>PCB</w:t>
            </w:r>
            <w:r>
              <w:rPr>
                <w:rFonts w:hint="eastAsia" w:ascii="宋体" w:hAnsi="宋体" w:eastAsia="宋体" w:cs="宋体"/>
                <w:color w:val="auto"/>
                <w:sz w:val="24"/>
                <w:szCs w:val="24"/>
                <w:highlight w:val="none"/>
                <w:lang w:val="en-US"/>
              </w:rPr>
              <w:t>采用三防漆表面处理技术，</w:t>
            </w:r>
            <w:r>
              <w:rPr>
                <w:rFonts w:hint="eastAsia" w:ascii="宋体" w:hAnsi="宋体" w:eastAsia="宋体" w:cs="宋体"/>
                <w:color w:val="auto"/>
                <w:sz w:val="24"/>
                <w:szCs w:val="24"/>
                <w:highlight w:val="none"/>
                <w:lang w:val="en-US" w:eastAsia="zh-CN"/>
              </w:rPr>
              <w:t>PCB</w:t>
            </w:r>
            <w:r>
              <w:rPr>
                <w:rFonts w:hint="eastAsia" w:ascii="宋体" w:hAnsi="宋体" w:eastAsia="宋体" w:cs="宋体"/>
                <w:color w:val="auto"/>
                <w:sz w:val="24"/>
                <w:szCs w:val="24"/>
                <w:highlight w:val="none"/>
                <w:lang w:val="en-US"/>
              </w:rPr>
              <w:t>防火阻燃等级为：UL94 V-0</w:t>
            </w:r>
          </w:p>
          <w:p w14:paraId="4E3D85A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eastAsia="zh-CN"/>
              </w:rPr>
              <w:t>24.</w:t>
            </w:r>
            <w:r>
              <w:rPr>
                <w:rFonts w:hint="eastAsia" w:ascii="宋体" w:hAnsi="宋体" w:eastAsia="宋体" w:cs="宋体"/>
                <w:color w:val="auto"/>
                <w:sz w:val="24"/>
                <w:szCs w:val="24"/>
                <w:highlight w:val="none"/>
                <w:lang w:val="en-US"/>
              </w:rPr>
              <w:t>LED显示屏具有平均无故障时间≥60000H；</w:t>
            </w:r>
          </w:p>
          <w:p w14:paraId="4BA3409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eastAsia="zh-CN"/>
              </w:rPr>
              <w:t>25.</w:t>
            </w:r>
            <w:r>
              <w:rPr>
                <w:rFonts w:hint="eastAsia" w:ascii="宋体" w:hAnsi="宋体" w:eastAsia="宋体" w:cs="宋体"/>
                <w:color w:val="auto"/>
                <w:sz w:val="24"/>
                <w:szCs w:val="24"/>
                <w:highlight w:val="none"/>
                <w:lang w:val="en-US"/>
              </w:rPr>
              <w:t>接地电阻不大于0.1Ω，电源端子与外壳裸露金属部件之间的绝缘电阻在正常大气条件下≥100ＭΩ，湿热条件下≥</w:t>
            </w: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lang w:val="en-US"/>
              </w:rPr>
              <w:t xml:space="preserve">ＭΩ，安全特性符合 GB4943.1. IEC 60950-R EN60950-1 要求。 </w:t>
            </w:r>
          </w:p>
        </w:tc>
      </w:tr>
      <w:tr w14:paraId="5DD7770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5FC3EF63">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AA9E8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接收卡</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8BB1A4">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56</w:t>
            </w:r>
          </w:p>
        </w:tc>
        <w:tc>
          <w:tcPr>
            <w:tcW w:w="247" w:type="pct"/>
            <w:vAlign w:val="center"/>
          </w:tcPr>
          <w:p w14:paraId="5EAE6D8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张</w:t>
            </w:r>
          </w:p>
        </w:tc>
        <w:tc>
          <w:tcPr>
            <w:tcW w:w="3635" w:type="pct"/>
            <w:vAlign w:val="center"/>
          </w:tcPr>
          <w:p w14:paraId="0367862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支持带载≥512×512像素。</w:t>
            </w:r>
          </w:p>
          <w:p w14:paraId="57E9CCA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自带不少于16个75HUB接口  16P排针。</w:t>
            </w:r>
          </w:p>
          <w:p w14:paraId="6A0C076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最大支持不少于32组RGB并行数据输出或者64组串行数据。</w:t>
            </w:r>
          </w:p>
          <w:p w14:paraId="4826EFE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最大支持不少于32扫。</w:t>
            </w:r>
          </w:p>
          <w:p w14:paraId="14E3314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支持3D功能，最大带载不少于512×512像素（PWMIC）。</w:t>
            </w:r>
          </w:p>
          <w:p w14:paraId="1225539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支持一键应用灯板Flash校正数据。</w:t>
            </w:r>
          </w:p>
          <w:p w14:paraId="41F1391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支持灯板Flash存储信息管理。</w:t>
            </w:r>
          </w:p>
          <w:p w14:paraId="0F572D9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支持mapping功能。</w:t>
            </w:r>
          </w:p>
          <w:p w14:paraId="7B2A996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支持逐点亮色度校正。</w:t>
            </w:r>
          </w:p>
          <w:p w14:paraId="7C9680B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支持快速修缝。</w:t>
            </w:r>
          </w:p>
          <w:p w14:paraId="378B45E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支持预存画面；</w:t>
            </w:r>
          </w:p>
          <w:p w14:paraId="5E1E097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支持自身电压、温度监测，无需其他外设。</w:t>
            </w:r>
          </w:p>
          <w:p w14:paraId="0A5C4BD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支持网线通讯状态监测。</w:t>
            </w:r>
          </w:p>
          <w:p w14:paraId="433F590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支持双电源备份状态检测。</w:t>
            </w:r>
          </w:p>
          <w:p w14:paraId="0343537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支持环路备份。</w:t>
            </w:r>
          </w:p>
          <w:p w14:paraId="1CA45BE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画面90度 倍数旋转（0°/90°/180°/270°）</w:t>
            </w:r>
          </w:p>
          <w:p w14:paraId="04F19BD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支持双程序备份。</w:t>
            </w:r>
          </w:p>
          <w:p w14:paraId="60A2320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支持配置参数备份与回读。</w:t>
            </w:r>
          </w:p>
          <w:p w14:paraId="354BA5B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支持5Pin箱体液晶。</w:t>
            </w:r>
          </w:p>
          <w:p w14:paraId="48AD9F0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val="en-US"/>
              </w:rPr>
              <w:t>支持误码率检测。</w:t>
            </w:r>
          </w:p>
        </w:tc>
      </w:tr>
      <w:tr w14:paraId="432AF72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79FD6A53">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A172F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驱动电源</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3D081">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212</w:t>
            </w:r>
          </w:p>
        </w:tc>
        <w:tc>
          <w:tcPr>
            <w:tcW w:w="247" w:type="pct"/>
            <w:vAlign w:val="center"/>
          </w:tcPr>
          <w:p w14:paraId="6C043DE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318B116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AC输入：176-264V；DC输出：5V40A</w:t>
            </w:r>
          </w:p>
        </w:tc>
      </w:tr>
      <w:tr w14:paraId="7B45EC0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0A722A0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 xml:space="preserve">4 </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8C21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视频处理器</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A6B14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112AAD7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6527CDC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1.为方便安装，设备应符合标准机架式结构。</w:t>
            </w:r>
          </w:p>
          <w:p w14:paraId="1AA8128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2.支持以下输出信号接口：</w:t>
            </w:r>
          </w:p>
          <w:p w14:paraId="720374D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LAN(RJ45)×12（带网口连接状态指示），支持上下、左右任意拼接。</w:t>
            </w:r>
          </w:p>
          <w:p w14:paraId="45D88E4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3.设备液晶屏需显示网络通讯状态、工作状态心跳等。</w:t>
            </w:r>
          </w:p>
          <w:p w14:paraId="33E7CEE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4.支持至少4路数字信号输入，且需具有常用HDMI、DP、VGA常用信号源输入接口。</w:t>
            </w:r>
          </w:p>
          <w:p w14:paraId="64BD36B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5.支持至少两路4K输入分辨率接口。（12口以下的支持点对点）</w:t>
            </w:r>
          </w:p>
          <w:p w14:paraId="0E480B4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6.为达到音视频同步切换效果，视频处理器应同时具备常用信号源HDMI、DP、VGA音频输入接口，达到音视频同步切换效果。</w:t>
            </w:r>
          </w:p>
          <w:p w14:paraId="12976C9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7.为方便对接音响设备，处理器需自带Audio（PJ35）音频输出。（不得使用多功能卡）</w:t>
            </w:r>
          </w:p>
          <w:p w14:paraId="109D2D6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8.为避免因网线故障引起的显示屏显示异常，设备需支持备份功能。</w:t>
            </w:r>
          </w:p>
          <w:p w14:paraId="3F12226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9.支持画面任意漫游。</w:t>
            </w:r>
          </w:p>
          <w:p w14:paraId="5BA0A39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10.为方便调试使用，处理器需支持面板、PC二种调试方式查看设备版本号、场景设置、输入设置。</w:t>
            </w:r>
          </w:p>
          <w:p w14:paraId="7DDA4DD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11.为提高设备分辨率兼容性，设备需支持EDID配置管理。</w:t>
            </w:r>
          </w:p>
          <w:p w14:paraId="61FFEE9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12.为解决输入信号（如VGA信号及非标准视频监控设备的输出信号）产生的黑边问题，保证满屏显示，设备需具备对任意信号源做任意裁剪/去黑边。</w:t>
            </w:r>
          </w:p>
          <w:p w14:paraId="593D2C6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13.为解决画面尺寸缩小限制，保留图像细节，减轻画面放大多倍后产生的失焦现象，设备需支持Super Resolution放大技术及视频补偿处理算法功能。</w:t>
            </w:r>
          </w:p>
          <w:p w14:paraId="696D692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14.为解决模拟信号在传输过程中容易产生的黑边、偏移的问题，设备需支持VGA校正功能。</w:t>
            </w:r>
          </w:p>
          <w:p w14:paraId="37D597B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15.为避免过电压、过电流的冲击，保护输入输出I/O接口，设备需具备通道保护功能，通道间相互独立且彼此互补。</w:t>
            </w:r>
          </w:p>
          <w:p w14:paraId="5D51A4C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16.为保证显示屏的画质一致性，处理器需支持逐点校正功能。</w:t>
            </w:r>
          </w:p>
          <w:p w14:paraId="344B83D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17.为方便使用，设备需支持场景预设、保存、调用功能。</w:t>
            </w:r>
          </w:p>
          <w:p w14:paraId="0750764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18.为方便使用中快速切换场景，设备需支持多画面场景下，快捷切换任意画面信道的功能。</w:t>
            </w:r>
          </w:p>
          <w:p w14:paraId="21DDA2B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19.支持LED屏幕测试，黑屏、蓝屏、红屏等任意显示切换。</w:t>
            </w:r>
          </w:p>
          <w:p w14:paraId="0ABB024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20.支持亮度调节。 </w:t>
            </w:r>
          </w:p>
          <w:p w14:paraId="1B08F96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21.支持色温调节。</w:t>
            </w:r>
          </w:p>
          <w:p w14:paraId="64FC4EA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22.支持切换特效：信号源通道与通道之间均支持淡入淡出/直切的切换特效。</w:t>
            </w:r>
          </w:p>
          <w:p w14:paraId="09AEA90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23.支持画面冻结。</w:t>
            </w:r>
          </w:p>
          <w:p w14:paraId="4384BB3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24.为方便后期使用，随时随地查看设备状态，设备需支持远程查看运行状态功能。</w:t>
            </w:r>
          </w:p>
          <w:p w14:paraId="2B71CD1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25.设备需具备网线检测功能，通过指示灯状态判断网线通断问题。</w:t>
            </w:r>
          </w:p>
          <w:p w14:paraId="24726B5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26.为方便调试和使用，处理器旋钮需具备自动精准对位功能。</w:t>
            </w:r>
          </w:p>
          <w:p w14:paraId="714FE6E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27.支持编辑定时任务，支持定时切换通道、场景。</w:t>
            </w:r>
          </w:p>
          <w:p w14:paraId="672B15C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28.为防止误操作，导致显示屏参数紊乱，需具备菜单锁功能，锁定后不能进行参数更改，但不影响信道正常切换。</w:t>
            </w:r>
          </w:p>
          <w:p w14:paraId="3C1AC0C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29.为防止误操作，需支持全键锁锁定功能。</w:t>
            </w:r>
          </w:p>
          <w:p w14:paraId="399F019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30.为保证系统稳定，操作简单方便，以及售后服务统一可靠，控制系统（视频控制器）必须具备优秀的前端视频处理功能，不再另行配置其他品牌或同一品牌下其他型号的视频处理器。控制系统（含视频控制器、独立主控、同步接收卡）及播控系统（含播控软件及服务器）采用同一生产厂家同一品牌产品。</w:t>
            </w:r>
          </w:p>
          <w:p w14:paraId="3A7F72B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31.为方便设备维护与后续功能升级，设备前面板需预留USB Type-B接口。</w:t>
            </w:r>
          </w:p>
          <w:p w14:paraId="49C533E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32.双USB2.0高速通讯接口（USB Type-A、USB Type-B），用于电脑调试和主控之间任意级联调试。</w:t>
            </w:r>
          </w:p>
          <w:p w14:paraId="5059DCA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33.为方便设备安装使用，设备需支持任意单网口输出，任意漫游显示。</w:t>
            </w:r>
          </w:p>
          <w:p w14:paraId="077BF26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34.为方便多设备信号不同信号源输入，设备需支持1路HDMI2.0、2路HDMI1.4、1路DP1.2和1路VGA输入。</w:t>
            </w:r>
          </w:p>
          <w:p w14:paraId="7050325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35.为保证图像不变形与超高清晰度，设备需支持单机双4K@60HZ拼接输入，所有网口带载范围内任意点对点显示。</w:t>
            </w:r>
          </w:p>
          <w:p w14:paraId="4F0A514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36.为保障信息安全，设备内部高速网络芯片必须国产。</w:t>
            </w:r>
          </w:p>
          <w:p w14:paraId="1AF61F7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37.为方便设备控制管理，设备需支持中控协议。</w:t>
            </w:r>
          </w:p>
          <w:p w14:paraId="2FCFF00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38.为提高信号的兼容性，设备需支持HDCP2.0\1.4。</w:t>
            </w:r>
          </w:p>
          <w:p w14:paraId="5D48ADA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39.为保障更大屏幕点对点显示，设备需支持多机融合拼接。</w:t>
            </w:r>
          </w:p>
        </w:tc>
      </w:tr>
      <w:tr w14:paraId="2089482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6ADE0EE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 xml:space="preserve"> 5    </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CADB3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线材</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02D0E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32.97</w:t>
            </w:r>
          </w:p>
        </w:tc>
        <w:tc>
          <w:tcPr>
            <w:tcW w:w="247" w:type="pct"/>
            <w:vAlign w:val="center"/>
          </w:tcPr>
          <w:p w14:paraId="59C6964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w:t>
            </w:r>
          </w:p>
        </w:tc>
        <w:tc>
          <w:tcPr>
            <w:tcW w:w="3635" w:type="pct"/>
            <w:vAlign w:val="center"/>
          </w:tcPr>
          <w:p w14:paraId="27F16E4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LED屏体使用的电源线、网线和高清视频线等</w:t>
            </w:r>
          </w:p>
        </w:tc>
      </w:tr>
      <w:tr w14:paraId="4B7D633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5DFA6FB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 xml:space="preserve"> 6</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957220">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配电柜</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BE1B1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0FD3E5E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台</w:t>
            </w:r>
          </w:p>
        </w:tc>
        <w:tc>
          <w:tcPr>
            <w:tcW w:w="3635" w:type="pct"/>
            <w:vAlign w:val="center"/>
          </w:tcPr>
          <w:p w14:paraId="3C3D7C0D">
            <w:pPr>
              <w:keepNext w:val="0"/>
              <w:keepLines w:val="0"/>
              <w:pageBreakBefore w:val="0"/>
              <w:widowControl/>
              <w:suppressLineNumbers w:val="0"/>
              <w:wordWrap/>
              <w:overflowPunct/>
              <w:topLinePunct w:val="0"/>
              <w:bidi w:val="0"/>
              <w:snapToGrid w:val="0"/>
              <w:spacing w:line="360" w:lineRule="exact"/>
              <w:jc w:val="left"/>
              <w:textAlignment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总功率不小于24KW</w:t>
            </w:r>
          </w:p>
        </w:tc>
      </w:tr>
      <w:tr w14:paraId="1D91584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763B0ECA">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 xml:space="preserve">  7  </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15280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结构</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0812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32.97</w:t>
            </w:r>
          </w:p>
        </w:tc>
        <w:tc>
          <w:tcPr>
            <w:tcW w:w="247" w:type="pct"/>
            <w:vAlign w:val="center"/>
          </w:tcPr>
          <w:p w14:paraId="48669560">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50494AC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显示屏专用支架结构，人工焊接，高平整（10.98m*4.58m）</w:t>
            </w:r>
          </w:p>
        </w:tc>
      </w:tr>
      <w:tr w14:paraId="57EA2F0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4200BB00">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 xml:space="preserve">        8           </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2F258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包边</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AE8DC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32.97</w:t>
            </w:r>
          </w:p>
        </w:tc>
        <w:tc>
          <w:tcPr>
            <w:tcW w:w="247" w:type="pct"/>
            <w:vAlign w:val="center"/>
          </w:tcPr>
          <w:p w14:paraId="537D6E7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01465CE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黑色拉丝抗指纹不锈钢，宽度定制</w:t>
            </w:r>
          </w:p>
        </w:tc>
      </w:tr>
      <w:tr w14:paraId="38D3C88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5000" w:type="pct"/>
            <w:gridSpan w:val="5"/>
            <w:vAlign w:val="center"/>
          </w:tcPr>
          <w:p w14:paraId="7187C34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④多功能厅声学装修</w:t>
            </w:r>
          </w:p>
        </w:tc>
      </w:tr>
      <w:tr w14:paraId="45031FEA">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11" w:hRule="atLeast"/>
          <w:jc w:val="center"/>
        </w:trPr>
        <w:tc>
          <w:tcPr>
            <w:tcW w:w="296" w:type="pct"/>
            <w:vAlign w:val="center"/>
          </w:tcPr>
          <w:p w14:paraId="0C443EB6">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9750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施工保护</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31861">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45D0AED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3635" w:type="pct"/>
            <w:vAlign w:val="center"/>
          </w:tcPr>
          <w:p w14:paraId="3B571E6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1.工程部位：室外</w:t>
            </w:r>
          </w:p>
          <w:p w14:paraId="2A695F8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2.做法：</w:t>
            </w:r>
          </w:p>
          <w:p w14:paraId="09DF304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施工区域临时围挡和地面保护</w:t>
            </w:r>
          </w:p>
        </w:tc>
      </w:tr>
      <w:tr w14:paraId="46FA401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425" w:hRule="atLeast"/>
          <w:jc w:val="center"/>
        </w:trPr>
        <w:tc>
          <w:tcPr>
            <w:tcW w:w="296" w:type="pct"/>
            <w:vAlign w:val="center"/>
          </w:tcPr>
          <w:p w14:paraId="035AB6A4">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AE51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墙面造型基层</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6EC3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235</w:t>
            </w:r>
          </w:p>
        </w:tc>
        <w:tc>
          <w:tcPr>
            <w:tcW w:w="247" w:type="pct"/>
            <w:vAlign w:val="center"/>
          </w:tcPr>
          <w:p w14:paraId="2F053AE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20DF9BF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1.工程部位：墙面</w:t>
            </w:r>
          </w:p>
          <w:p w14:paraId="7F40D84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2.做法：局部基层木工和石膏板打底</w:t>
            </w:r>
          </w:p>
        </w:tc>
      </w:tr>
      <w:tr w14:paraId="37373D66">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66A7FB2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4443E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墙面弧形造型基层</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28653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96</w:t>
            </w:r>
          </w:p>
        </w:tc>
        <w:tc>
          <w:tcPr>
            <w:tcW w:w="247" w:type="pct"/>
            <w:vAlign w:val="center"/>
          </w:tcPr>
          <w:p w14:paraId="2935EE0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68527D8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1.工程部位：墙面</w:t>
            </w:r>
          </w:p>
          <w:p w14:paraId="3541B8D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2.做法：局部基层木工和石膏板打底</w:t>
            </w:r>
          </w:p>
        </w:tc>
      </w:tr>
      <w:tr w14:paraId="075D0386">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3CC1D7CF">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p w14:paraId="41A188E5">
            <w:pPr>
              <w:pStyle w:val="13"/>
              <w:keepNext w:val="0"/>
              <w:keepLines w:val="0"/>
              <w:pageBreakBefore w:val="0"/>
              <w:widowControl w:val="0"/>
              <w:wordWrap/>
              <w:overflowPunct/>
              <w:topLinePunct w:val="0"/>
              <w:bidi w:val="0"/>
              <w:snapToGrid w:val="0"/>
              <w:spacing w:line="360" w:lineRule="exact"/>
              <w:jc w:val="both"/>
              <w:rPr>
                <w:rFonts w:hint="eastAsia" w:ascii="宋体" w:hAnsi="宋体" w:eastAsia="宋体" w:cs="宋体"/>
                <w:sz w:val="24"/>
                <w:szCs w:val="24"/>
                <w:highlight w:val="none"/>
              </w:rPr>
            </w:pP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44942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大屏处造型基层</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F2CD4">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35</w:t>
            </w:r>
          </w:p>
        </w:tc>
        <w:tc>
          <w:tcPr>
            <w:tcW w:w="247" w:type="pct"/>
            <w:vAlign w:val="center"/>
          </w:tcPr>
          <w:p w14:paraId="77DCBAB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4D754BE0">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1.工程部位：墙面</w:t>
            </w:r>
          </w:p>
          <w:p w14:paraId="2532B24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2.做法：局部基层木工或石膏板打底</w:t>
            </w:r>
          </w:p>
        </w:tc>
      </w:tr>
      <w:tr w14:paraId="7EBF140A">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14A7518C">
            <w:pPr>
              <w:pStyle w:val="13"/>
              <w:keepNext w:val="0"/>
              <w:keepLines w:val="0"/>
              <w:pageBreakBefore w:val="0"/>
              <w:widowControl w:val="0"/>
              <w:wordWrap/>
              <w:overflowPunct/>
              <w:topLinePunct w:val="0"/>
              <w:bidi w:val="0"/>
              <w:snapToGrid w:val="0"/>
              <w:spacing w:line="360" w:lineRule="exact"/>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 xml:space="preserve">5   </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B5CA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墙面装饰板拆除</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D7E795">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51493C7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3635" w:type="pct"/>
            <w:vAlign w:val="center"/>
          </w:tcPr>
          <w:p w14:paraId="6A623B3E">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1.工程部位：墙面</w:t>
            </w:r>
          </w:p>
          <w:p w14:paraId="6054050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2.做法：拆除墙板后垃圾外运</w:t>
            </w:r>
          </w:p>
        </w:tc>
      </w:tr>
      <w:tr w14:paraId="4C2E68B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016C2E3B">
            <w:pPr>
              <w:pStyle w:val="13"/>
              <w:keepNext w:val="0"/>
              <w:keepLines w:val="0"/>
              <w:pageBreakBefore w:val="0"/>
              <w:widowControl w:val="0"/>
              <w:wordWrap/>
              <w:overflowPunct/>
              <w:topLinePunct w:val="0"/>
              <w:bidi w:val="0"/>
              <w:snapToGrid w:val="0"/>
              <w:spacing w:line="360" w:lineRule="exact"/>
              <w:jc w:val="both"/>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6</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E6DB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舞台木工基层</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1AE9C5">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60</w:t>
            </w:r>
          </w:p>
        </w:tc>
        <w:tc>
          <w:tcPr>
            <w:tcW w:w="247" w:type="pct"/>
            <w:vAlign w:val="center"/>
          </w:tcPr>
          <w:p w14:paraId="0E67C42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1F9E2B5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1.工程部位：地面舞台</w:t>
            </w:r>
          </w:p>
          <w:p w14:paraId="74B40E4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2.做法：木工板做井字格结构，欧松板饰面。</w:t>
            </w:r>
          </w:p>
        </w:tc>
      </w:tr>
      <w:tr w14:paraId="5099B8A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0D34002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7</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8B9320">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舞台塑胶地板</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506C3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110</w:t>
            </w:r>
          </w:p>
        </w:tc>
        <w:tc>
          <w:tcPr>
            <w:tcW w:w="247" w:type="pct"/>
            <w:vAlign w:val="center"/>
          </w:tcPr>
          <w:p w14:paraId="58D5AB2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3EF0BAE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1.工程部位：地面舞台</w:t>
            </w:r>
          </w:p>
          <w:p w14:paraId="1294CD0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2.做法：塑胶地板饰面。</w:t>
            </w:r>
          </w:p>
        </w:tc>
      </w:tr>
      <w:tr w14:paraId="31936EA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0654891A">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8</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8DCC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墙面聚酯纤维吸音板拼色造型</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8AE1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175</w:t>
            </w:r>
          </w:p>
        </w:tc>
        <w:tc>
          <w:tcPr>
            <w:tcW w:w="247" w:type="pct"/>
            <w:vAlign w:val="center"/>
          </w:tcPr>
          <w:p w14:paraId="6BAF899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415D3BED">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1.工程部位：墙面</w:t>
            </w:r>
          </w:p>
          <w:p w14:paraId="5A40143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2.做法：根据甲方要求设计安装，颜色选样</w:t>
            </w:r>
          </w:p>
        </w:tc>
      </w:tr>
      <w:tr w14:paraId="2BF4605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3523DB09">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9</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6F08FC">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墙面木质吸音板</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81D2B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106</w:t>
            </w:r>
          </w:p>
        </w:tc>
        <w:tc>
          <w:tcPr>
            <w:tcW w:w="247" w:type="pct"/>
            <w:vAlign w:val="center"/>
          </w:tcPr>
          <w:p w14:paraId="2CBAEEA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1F0F418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1.工程部位：墙面</w:t>
            </w:r>
          </w:p>
          <w:p w14:paraId="603EDDE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2.做法：根据甲方要求设计安装，颜色选样</w:t>
            </w:r>
          </w:p>
        </w:tc>
      </w:tr>
      <w:tr w14:paraId="53D3D9D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2E1B7325">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10</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1D80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柱子墙面吸音板</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36B2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86</w:t>
            </w:r>
          </w:p>
        </w:tc>
        <w:tc>
          <w:tcPr>
            <w:tcW w:w="247" w:type="pct"/>
            <w:vAlign w:val="center"/>
          </w:tcPr>
          <w:p w14:paraId="3B11E5A5">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6A32E23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1.工程部位：墙面</w:t>
            </w:r>
          </w:p>
          <w:p w14:paraId="155BD12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2.做法：根据甲方要求设计安装，颜色选样</w:t>
            </w:r>
          </w:p>
        </w:tc>
      </w:tr>
      <w:tr w14:paraId="0A6CC55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52947218">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F0D6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原顶面喷漆处理</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FEBB4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245</w:t>
            </w:r>
          </w:p>
        </w:tc>
        <w:tc>
          <w:tcPr>
            <w:tcW w:w="247" w:type="pct"/>
            <w:vAlign w:val="center"/>
          </w:tcPr>
          <w:p w14:paraId="398A384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653CCBC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1.工程部位：顶面</w:t>
            </w:r>
          </w:p>
          <w:p w14:paraId="5448F31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2.做法：颜色深灰色</w:t>
            </w:r>
          </w:p>
        </w:tc>
      </w:tr>
      <w:tr w14:paraId="24D6333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44BAF000">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232CE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电路改造</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5FC8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245</w:t>
            </w:r>
          </w:p>
        </w:tc>
        <w:tc>
          <w:tcPr>
            <w:tcW w:w="247" w:type="pct"/>
            <w:vAlign w:val="center"/>
          </w:tcPr>
          <w:p w14:paraId="5D53B81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平方米</w:t>
            </w:r>
          </w:p>
        </w:tc>
        <w:tc>
          <w:tcPr>
            <w:tcW w:w="3635" w:type="pct"/>
            <w:vAlign w:val="center"/>
          </w:tcPr>
          <w:p w14:paraId="3A3BF13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1.工程部位：全屋</w:t>
            </w:r>
          </w:p>
          <w:p w14:paraId="43F81DD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2.做法：大屏及设备布线</w:t>
            </w:r>
          </w:p>
        </w:tc>
      </w:tr>
      <w:tr w14:paraId="34F3282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71FA8AEF">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13</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7B6AF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弱电布线</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A699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3CE8041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3635" w:type="pct"/>
            <w:vAlign w:val="center"/>
          </w:tcPr>
          <w:p w14:paraId="34B6497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1.工程部位：全屋</w:t>
            </w:r>
          </w:p>
          <w:p w14:paraId="3FCCA01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2.做法：大屏及设备布线</w:t>
            </w:r>
          </w:p>
        </w:tc>
      </w:tr>
      <w:tr w14:paraId="07866B06">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622226DD">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14</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8332B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开关、插座、灯具</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8FC9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7370139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3635" w:type="pct"/>
            <w:vAlign w:val="center"/>
          </w:tcPr>
          <w:p w14:paraId="118B606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1.工程部位： </w:t>
            </w:r>
          </w:p>
          <w:p w14:paraId="024025E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2.做法：按产品要求接线、安装调试。</w:t>
            </w:r>
          </w:p>
        </w:tc>
      </w:tr>
      <w:tr w14:paraId="2D77485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11B5901B">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15</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6A1532">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垃圾外运及保洁</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2CB21">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2AB9805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3635" w:type="pct"/>
            <w:vAlign w:val="center"/>
          </w:tcPr>
          <w:p w14:paraId="28F0101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1.工程部位：全屋</w:t>
            </w:r>
          </w:p>
          <w:p w14:paraId="62D0BEF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2.做法：分批装车外运，完工保洁</w:t>
            </w:r>
          </w:p>
        </w:tc>
      </w:tr>
      <w:tr w14:paraId="48F004E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68A824BD">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16</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67542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会议桌</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8A5E89">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6125C51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张</w:t>
            </w:r>
          </w:p>
        </w:tc>
        <w:tc>
          <w:tcPr>
            <w:tcW w:w="3635" w:type="pct"/>
            <w:vAlign w:val="center"/>
          </w:tcPr>
          <w:p w14:paraId="3F28C3F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尺寸：≥7000mm*1800mm*760mm</w:t>
            </w:r>
          </w:p>
          <w:p w14:paraId="34A351D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1、饰面：基材采用国家E1级环保型高密度优质高纤板贴胡桃木木皮，厚度≥0.6mm。</w:t>
            </w:r>
          </w:p>
          <w:p w14:paraId="4FD9D77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2、基材： E1级密度板甲醛释放量≤4.0mg/L。油漆：采用环保型油漆，符合国家E1级环保标准，工艺要求：所用木材经三道烘干处理，经防虫、防腐处理，性能稳定不易变形。从底漆至面漆需经过“五底三面”八道反复油漆工序，保证油漆表面光亮平整，无颗粒、气泡、渣点，颜色均匀。且木纹纹理自然，颜色线条拼合细密，无异味。</w:t>
            </w:r>
          </w:p>
        </w:tc>
      </w:tr>
      <w:tr w14:paraId="591BBEC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13482986">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17</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E7E7A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主席台桌</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6988F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247" w:type="pct"/>
            <w:vAlign w:val="center"/>
          </w:tcPr>
          <w:p w14:paraId="751FC00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张</w:t>
            </w:r>
          </w:p>
        </w:tc>
        <w:tc>
          <w:tcPr>
            <w:tcW w:w="3635" w:type="pct"/>
            <w:vAlign w:val="center"/>
          </w:tcPr>
          <w:p w14:paraId="177F7C2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尺寸：≥1400mm*720mm*760mm</w:t>
            </w:r>
          </w:p>
          <w:p w14:paraId="308B7CE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1、饰面：基材采用国家E1级环保型高密度优质高纤板贴胡桃木木皮，厚度≥0.6mm。</w:t>
            </w:r>
          </w:p>
          <w:p w14:paraId="5487D84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2、基材： E1级密度板甲醛释放≤4.0mg/L。油漆：采用环保型油漆，符合国家E1级环保标准，工艺要求：所用木材经三道烘干处理，经防虫、防腐处理，性能稳定不易变形。从底漆至面漆需经过“五底三面”八道反复油漆工序，保证油漆表面光亮平整，无颗粒、气泡、渣点，颜色均匀。且木纹纹理自然，颜色线条拼合细密，无异味。</w:t>
            </w:r>
          </w:p>
        </w:tc>
      </w:tr>
      <w:tr w14:paraId="342A575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6B58135D">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18</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3401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主席台桌</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A082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6E5B353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张</w:t>
            </w:r>
          </w:p>
        </w:tc>
        <w:tc>
          <w:tcPr>
            <w:tcW w:w="3635" w:type="pct"/>
            <w:vAlign w:val="center"/>
          </w:tcPr>
          <w:p w14:paraId="081DB48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尺寸：≥2100mm*720mm*760mm</w:t>
            </w:r>
          </w:p>
          <w:p w14:paraId="1D68CD9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1、饰面：基材采用国家E1级环保型高密度优质高纤板贴胡桃木木皮，厚度≥0.6mm。</w:t>
            </w:r>
          </w:p>
          <w:p w14:paraId="6698132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2、基材： E1级密度板甲醛释放≤4.0mg/L。油漆：采用环保型油漆，符合国家E1级环保标准，工艺要求：所用木材经三道烘干处理，经防虫、防腐处理，性能稳定不易变形。从底漆至面漆需经过“五底三面”八道反复油漆工序，保证油漆表面光亮平整，无颗粒、气泡、渣点，颜色均匀。且木纹纹理自然，颜色线条拼合细密，无异味。</w:t>
            </w:r>
          </w:p>
        </w:tc>
      </w:tr>
      <w:tr w14:paraId="36431BE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15D3A5D0">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 xml:space="preserve"> 19</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95A336">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主席台椅</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44766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7</w:t>
            </w:r>
          </w:p>
        </w:tc>
        <w:tc>
          <w:tcPr>
            <w:tcW w:w="247" w:type="pct"/>
            <w:vAlign w:val="center"/>
          </w:tcPr>
          <w:p w14:paraId="26167D6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把</w:t>
            </w:r>
          </w:p>
        </w:tc>
        <w:tc>
          <w:tcPr>
            <w:tcW w:w="3635" w:type="pct"/>
            <w:vAlign w:val="center"/>
          </w:tcPr>
          <w:p w14:paraId="04BDF6C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面料：采用优质A级环保西皮，皮的厚度≥1.0mm，韧性好，纹路细致均匀，色泽均匀不花，不裂面；圆润厚实，弹性好，表面涂有防止老化变形保护膜，涂饰革涂饰均匀，涂层粘着牢固，不掉浆，不裂浆，游离甲醛含量≤75 mg/kg。</w:t>
            </w:r>
          </w:p>
          <w:p w14:paraId="6191768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2、海绵：采用高密度成型PU阻燃泡棉厚度是≥5cm，耐久不变形，回弹力强，五年以上使用不变形；</w:t>
            </w:r>
          </w:p>
          <w:p w14:paraId="65BAA5E7">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3、椅板：采用多层实木板是≥12mm，符合国家E1级标准,经防潮、防虫、防腐处理，抗弯力强，不易变形，木材甲醛释放量≤1.5mg/L，</w:t>
            </w:r>
          </w:p>
          <w:p w14:paraId="2A41922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4、扶手：采用硬木扶手，表面喷家具专用环保油漆。</w:t>
            </w:r>
          </w:p>
          <w:p w14:paraId="4EAF66CF">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5、脚架：实木脚架耐磨性符合标准，并有五金件加固（隐形加固）。</w:t>
            </w:r>
          </w:p>
          <w:p w14:paraId="5522239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6、工艺说明：座背垫依据人体工学原理设计，坐感舒适。</w:t>
            </w:r>
          </w:p>
        </w:tc>
      </w:tr>
      <w:tr w14:paraId="3300CD4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2ADBE399">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2 0</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36B83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接待沙发</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C70ADB">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247" w:type="pct"/>
            <w:vAlign w:val="center"/>
          </w:tcPr>
          <w:p w14:paraId="4C48803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3635" w:type="pct"/>
            <w:vAlign w:val="center"/>
          </w:tcPr>
          <w:p w14:paraId="6C8D96F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1、面料：采用优质面料。</w:t>
            </w:r>
          </w:p>
          <w:p w14:paraId="3DA0FB21">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 xml:space="preserve">2、海绵：采用高密度成型PU阻燃泡棉厚度是≥50mm，耐久不变形，回弹力强，五年以上使用不变形；海绵：采用高密度成型PU阻燃泡棉靠背厚度是≥50mm，座包采用40－45高密度80mm厚，耐久不变形，回弹力强，五年以上使用不变形；     </w:t>
            </w:r>
          </w:p>
        </w:tc>
      </w:tr>
      <w:tr w14:paraId="5DE1F78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2F256130">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21</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1D9035">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茶几</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CEE1B7">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247" w:type="pct"/>
            <w:vAlign w:val="center"/>
          </w:tcPr>
          <w:p w14:paraId="5614191E">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3635" w:type="pct"/>
            <w:vAlign w:val="center"/>
          </w:tcPr>
          <w:p w14:paraId="3875B046">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尺寸：≥400mm*600mm*450mm</w:t>
            </w:r>
          </w:p>
          <w:p w14:paraId="70D349A5">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1、饰面：基材采用国家E1级环保型高密度优质中纤板贴胡桃木木皮，厚度≥0.6mm。</w:t>
            </w:r>
          </w:p>
          <w:p w14:paraId="7E82C47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2、基材： E1级密度板甲醛释放量≤4.0mg/L。油漆：采用环保型油漆，符合国家E1级环保标准，工艺要求：所用木材经三道烘干处理，经防虫、防腐处理，性能稳定不易变形。从底漆至面漆需经过“五底三面”八道油漆工序，保证油漆表面光亮平整，无颗粒、气泡、渣点，颜色均匀。且木纹纹理自然，颜色线条拼合细密，无异味</w:t>
            </w:r>
          </w:p>
        </w:tc>
      </w:tr>
      <w:tr w14:paraId="7C68846C">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29CEE077">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22</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79EF6A">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会议椅</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97544">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30</w:t>
            </w:r>
          </w:p>
        </w:tc>
        <w:tc>
          <w:tcPr>
            <w:tcW w:w="247" w:type="pct"/>
            <w:vAlign w:val="center"/>
          </w:tcPr>
          <w:p w14:paraId="6CA532E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把</w:t>
            </w:r>
          </w:p>
        </w:tc>
        <w:tc>
          <w:tcPr>
            <w:tcW w:w="3635" w:type="pct"/>
            <w:vAlign w:val="center"/>
          </w:tcPr>
          <w:p w14:paraId="4CC6DE44">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面料：采用优质A级环保西皮，皮的厚度是≥1.0mm，韧性好，纹路细致均匀，色泽均匀不花，不裂面；圆润厚实，弹性好，表面涂有防止老化变形保护膜，涂饰革涂饰均匀，涂层粘着牢固，不掉浆，不裂浆，游离甲醛含量≤75mg/kg。</w:t>
            </w:r>
          </w:p>
          <w:p w14:paraId="3DD5334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海绵：采用高密度成型PU阻燃泡棉厚度是≥5cm，耐久不变形，回弹力强，五年以上使用不变形；椅板：采用多层实木板是≥12mm，符合国家E1级标准,经防潮、防虫、防腐处理，抗弯力强，不易变形，木材甲醛释放量≤1.5mg/L，</w:t>
            </w:r>
          </w:p>
          <w:p w14:paraId="3AB5F37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3、扶手：采用硬木扶手，表面喷家具专用环保油漆。</w:t>
            </w:r>
          </w:p>
          <w:p w14:paraId="5EBC1159">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4、脚架：实木脚架耐磨性符合标准，并有五金件加固（隐形加固）。</w:t>
            </w:r>
          </w:p>
          <w:p w14:paraId="605F4A33">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5、工艺说明：座背垫依据人体工学原理设计，坐感舒适。</w:t>
            </w:r>
          </w:p>
        </w:tc>
      </w:tr>
      <w:tr w14:paraId="1457815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158875CE">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23</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AE7E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写字板折叠椅</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564FDD">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100</w:t>
            </w:r>
          </w:p>
        </w:tc>
        <w:tc>
          <w:tcPr>
            <w:tcW w:w="247" w:type="pct"/>
            <w:vAlign w:val="center"/>
          </w:tcPr>
          <w:p w14:paraId="5EFEF858">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把</w:t>
            </w:r>
          </w:p>
        </w:tc>
        <w:tc>
          <w:tcPr>
            <w:tcW w:w="3635" w:type="pct"/>
            <w:vAlign w:val="center"/>
          </w:tcPr>
          <w:p w14:paraId="7F6FC4FB">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尺寸：≥650mm*580mm*860mm</w:t>
            </w:r>
          </w:p>
          <w:p w14:paraId="49F9F8EC">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1、采用优质PU板材高温热压成型椅板，板材承受压力达≥200KG；扶手上扣皮；</w:t>
            </w:r>
          </w:p>
          <w:p w14:paraId="10775A52">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2、椅架：专用扶手，铝合金与喷涂钢管组合脚架，带活动写字板；带连接件，可固定成排或单个使用</w:t>
            </w:r>
          </w:p>
          <w:p w14:paraId="56EAF748">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3.环保标准：防腐，防虫化学处理；保证甲醛释放量符合国家标准有关规格＜1.5mg/L</w:t>
            </w:r>
          </w:p>
        </w:tc>
      </w:tr>
      <w:tr w14:paraId="3A2CD47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664" w:hRule="atLeast"/>
          <w:jc w:val="center"/>
        </w:trPr>
        <w:tc>
          <w:tcPr>
            <w:tcW w:w="296" w:type="pct"/>
            <w:vAlign w:val="center"/>
          </w:tcPr>
          <w:p w14:paraId="60939A1B">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24</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ED98EF">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演讲台</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4FBA3">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247" w:type="pct"/>
            <w:vAlign w:val="center"/>
          </w:tcPr>
          <w:p w14:paraId="716DCF31">
            <w:pPr>
              <w:keepNext w:val="0"/>
              <w:keepLines w:val="0"/>
              <w:pageBreakBefore w:val="0"/>
              <w:widowControl/>
              <w:suppressLineNumbers w:val="0"/>
              <w:wordWrap/>
              <w:overflowPunct/>
              <w:topLinePunct w:val="0"/>
              <w:bidi w:val="0"/>
              <w:snapToGrid w:val="0"/>
              <w:spacing w:line="360" w:lineRule="exact"/>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3635" w:type="pct"/>
            <w:vAlign w:val="center"/>
          </w:tcPr>
          <w:p w14:paraId="1B28D27A">
            <w:pPr>
              <w:keepNext w:val="0"/>
              <w:keepLines w:val="0"/>
              <w:pageBreakBefore w:val="0"/>
              <w:widowControl/>
              <w:suppressLineNumbers w:val="0"/>
              <w:wordWrap/>
              <w:overflowPunct/>
              <w:topLinePunct w:val="0"/>
              <w:bidi w:val="0"/>
              <w:snapToGrid w:val="0"/>
              <w:spacing w:line="360" w:lineRule="exact"/>
              <w:jc w:val="left"/>
              <w:textAlignment w:val="center"/>
              <w:rPr>
                <w:rFonts w:hint="eastAsia" w:ascii="宋体" w:hAnsi="宋体" w:eastAsia="宋体" w:cs="宋体"/>
                <w:color w:val="auto"/>
                <w:sz w:val="24"/>
                <w:szCs w:val="24"/>
                <w:highlight w:val="none"/>
                <w:lang w:val="en-US"/>
              </w:rPr>
            </w:pPr>
            <w:r>
              <w:rPr>
                <w:rFonts w:hint="eastAsia" w:ascii="宋体" w:hAnsi="宋体" w:eastAsia="宋体" w:cs="宋体"/>
                <w:i w:val="0"/>
                <w:iCs w:val="0"/>
                <w:snapToGrid w:val="0"/>
                <w:color w:val="000000"/>
                <w:kern w:val="0"/>
                <w:sz w:val="24"/>
                <w:szCs w:val="24"/>
                <w:highlight w:val="none"/>
                <w:u w:val="none"/>
                <w:lang w:val="en-US" w:eastAsia="zh-CN" w:bidi="ar"/>
              </w:rPr>
              <w:t>常规</w:t>
            </w:r>
          </w:p>
        </w:tc>
      </w:tr>
    </w:tbl>
    <w:p w14:paraId="4FC98017">
      <w:pPr>
        <w:keepNext w:val="0"/>
        <w:keepLines w:val="0"/>
        <w:pageBreakBefore w:val="0"/>
        <w:widowControl/>
        <w:suppressLineNumbers w:val="0"/>
        <w:kinsoku w:val="0"/>
        <w:wordWrap/>
        <w:overflowPunct/>
        <w:topLinePunct w:val="0"/>
        <w:autoSpaceDE w:val="0"/>
        <w:autoSpaceDN w:val="0"/>
        <w:bidi w:val="0"/>
        <w:adjustRightInd w:val="0"/>
        <w:snapToGrid w:val="0"/>
        <w:ind w:firstLine="482" w:firstLineChars="200"/>
        <w:jc w:val="left"/>
        <w:textAlignment w:val="baseline"/>
        <w:rPr>
          <w:rFonts w:hint="eastAsia" w:ascii="宋体" w:hAnsi="宋体" w:eastAsia="宋体" w:cs="宋体"/>
          <w:b/>
          <w:bCs/>
          <w:snapToGrid w:val="0"/>
          <w:color w:val="000000"/>
          <w:kern w:val="0"/>
          <w:sz w:val="24"/>
          <w:szCs w:val="24"/>
          <w:highlight w:val="none"/>
          <w:lang w:val="en-US" w:eastAsia="zh-CN" w:bidi="ar"/>
        </w:rPr>
      </w:pPr>
    </w:p>
    <w:tbl>
      <w:tblPr>
        <w:tblStyle w:val="1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7"/>
        <w:gridCol w:w="740"/>
        <w:gridCol w:w="513"/>
        <w:gridCol w:w="550"/>
        <w:gridCol w:w="4216"/>
        <w:gridCol w:w="2659"/>
      </w:tblGrid>
      <w:tr w14:paraId="15F97C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15" w:type="dxa"/>
            <w:gridSpan w:val="6"/>
            <w:vAlign w:val="center"/>
          </w:tcPr>
          <w:p w14:paraId="05F3FF62">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四、</w:t>
            </w:r>
            <w:r>
              <w:rPr>
                <w:rFonts w:hint="eastAsia" w:ascii="宋体" w:hAnsi="宋体" w:eastAsia="宋体" w:cs="宋体"/>
                <w:b/>
                <w:bCs/>
                <w:color w:val="auto"/>
                <w:sz w:val="24"/>
                <w:szCs w:val="24"/>
                <w:highlight w:val="none"/>
              </w:rPr>
              <w:t>户外游戏区设施设备</w:t>
            </w:r>
          </w:p>
        </w:tc>
      </w:tr>
      <w:tr w14:paraId="2E8B28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vAlign w:val="center"/>
          </w:tcPr>
          <w:p w14:paraId="4D76B229">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b/>
                <w:bCs/>
                <w:sz w:val="28"/>
                <w:szCs w:val="28"/>
                <w:highlight w:val="none"/>
                <w:vertAlign w:val="baseline"/>
                <w:lang w:val="en-US" w:eastAsia="zh-CN"/>
              </w:rPr>
            </w:pPr>
            <w:r>
              <w:rPr>
                <w:rFonts w:hint="eastAsia" w:ascii="宋体" w:hAnsi="宋体" w:eastAsia="宋体" w:cs="宋体"/>
                <w:color w:val="auto"/>
                <w:sz w:val="24"/>
                <w:szCs w:val="24"/>
                <w:highlight w:val="none"/>
              </w:rPr>
              <w:t>序号</w:t>
            </w:r>
          </w:p>
        </w:tc>
        <w:tc>
          <w:tcPr>
            <w:tcW w:w="740" w:type="dxa"/>
            <w:vAlign w:val="center"/>
          </w:tcPr>
          <w:p w14:paraId="3C02496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标的</w:t>
            </w:r>
          </w:p>
          <w:p w14:paraId="42A3DF59">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b/>
                <w:bCs/>
                <w:sz w:val="28"/>
                <w:szCs w:val="28"/>
                <w:highlight w:val="none"/>
                <w:vertAlign w:val="baseline"/>
                <w:lang w:val="en-US" w:eastAsia="zh-CN"/>
              </w:rPr>
            </w:pPr>
            <w:r>
              <w:rPr>
                <w:rFonts w:hint="eastAsia" w:ascii="宋体" w:hAnsi="宋体" w:eastAsia="宋体" w:cs="宋体"/>
                <w:color w:val="auto"/>
                <w:sz w:val="24"/>
                <w:szCs w:val="24"/>
                <w:highlight w:val="none"/>
              </w:rPr>
              <w:t>名称</w:t>
            </w:r>
          </w:p>
        </w:tc>
        <w:tc>
          <w:tcPr>
            <w:tcW w:w="513" w:type="dxa"/>
            <w:vAlign w:val="center"/>
          </w:tcPr>
          <w:p w14:paraId="347513F1">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b/>
                <w:bCs/>
                <w:sz w:val="28"/>
                <w:szCs w:val="28"/>
                <w:highlight w:val="none"/>
                <w:vertAlign w:val="baseline"/>
                <w:lang w:val="en-US" w:eastAsia="zh-CN"/>
              </w:rPr>
            </w:pPr>
            <w:r>
              <w:rPr>
                <w:rFonts w:hint="eastAsia" w:ascii="宋体" w:hAnsi="宋体" w:eastAsia="宋体" w:cs="宋体"/>
                <w:color w:val="auto"/>
                <w:sz w:val="24"/>
                <w:szCs w:val="24"/>
                <w:highlight w:val="none"/>
              </w:rPr>
              <w:t>数量</w:t>
            </w:r>
          </w:p>
        </w:tc>
        <w:tc>
          <w:tcPr>
            <w:tcW w:w="550" w:type="dxa"/>
            <w:vAlign w:val="center"/>
          </w:tcPr>
          <w:p w14:paraId="753F309C">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b/>
                <w:bCs/>
                <w:sz w:val="28"/>
                <w:szCs w:val="28"/>
                <w:highlight w:val="none"/>
                <w:vertAlign w:val="baseline"/>
                <w:lang w:val="en-US" w:eastAsia="zh-CN"/>
              </w:rPr>
            </w:pPr>
            <w:r>
              <w:rPr>
                <w:rFonts w:hint="eastAsia" w:ascii="宋体" w:hAnsi="宋体" w:eastAsia="宋体" w:cs="宋体"/>
                <w:color w:val="auto"/>
                <w:sz w:val="24"/>
                <w:szCs w:val="24"/>
                <w:highlight w:val="none"/>
                <w:lang w:val="en-US" w:eastAsia="zh-CN"/>
              </w:rPr>
              <w:t>单位</w:t>
            </w:r>
          </w:p>
        </w:tc>
        <w:tc>
          <w:tcPr>
            <w:tcW w:w="4216" w:type="dxa"/>
            <w:vAlign w:val="center"/>
          </w:tcPr>
          <w:p w14:paraId="418D05A6">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eastAsia" w:ascii="宋体" w:hAnsi="宋体" w:eastAsia="宋体" w:cs="宋体"/>
                <w:b/>
                <w:bCs/>
                <w:sz w:val="28"/>
                <w:szCs w:val="28"/>
                <w:highlight w:val="none"/>
                <w:vertAlign w:val="baseline"/>
                <w:lang w:val="en-US" w:eastAsia="zh-CN"/>
              </w:rPr>
            </w:pPr>
            <w:r>
              <w:rPr>
                <w:rFonts w:hint="eastAsia" w:ascii="宋体" w:hAnsi="宋体" w:eastAsia="宋体" w:cs="宋体"/>
                <w:color w:val="auto"/>
                <w:sz w:val="24"/>
                <w:szCs w:val="24"/>
                <w:highlight w:val="none"/>
              </w:rPr>
              <w:t>技术参数</w:t>
            </w:r>
          </w:p>
        </w:tc>
        <w:tc>
          <w:tcPr>
            <w:tcW w:w="2659" w:type="dxa"/>
            <w:vAlign w:val="center"/>
          </w:tcPr>
          <w:p w14:paraId="088784C6">
            <w:pPr>
              <w:keepNext w:val="0"/>
              <w:keepLines w:val="0"/>
              <w:pageBreakBefore w:val="0"/>
              <w:widowControl w:val="0"/>
              <w:kinsoku/>
              <w:wordWrap/>
              <w:overflowPunct/>
              <w:topLinePunct w:val="0"/>
              <w:autoSpaceDE/>
              <w:autoSpaceDN/>
              <w:bidi w:val="0"/>
              <w:adjustRightInd/>
              <w:snapToGrid w:val="0"/>
              <w:spacing w:line="360" w:lineRule="exact"/>
              <w:ind w:left="0" w:leftChars="0"/>
              <w:jc w:val="center"/>
              <w:rPr>
                <w:rFonts w:hint="default"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t>参考图片</w:t>
            </w:r>
          </w:p>
        </w:tc>
      </w:tr>
      <w:tr w14:paraId="4ECE9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shd w:val="clear" w:color="auto" w:fill="auto"/>
            <w:vAlign w:val="center"/>
          </w:tcPr>
          <w:p w14:paraId="42572023">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1</w:t>
            </w:r>
          </w:p>
        </w:tc>
        <w:tc>
          <w:tcPr>
            <w:tcW w:w="740" w:type="dxa"/>
            <w:shd w:val="clear" w:color="auto" w:fill="auto"/>
            <w:vAlign w:val="center"/>
          </w:tcPr>
          <w:p w14:paraId="334A6DAB">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大型体能循环</w:t>
            </w:r>
          </w:p>
        </w:tc>
        <w:tc>
          <w:tcPr>
            <w:tcW w:w="513" w:type="dxa"/>
            <w:shd w:val="clear" w:color="auto" w:fill="auto"/>
            <w:vAlign w:val="center"/>
          </w:tcPr>
          <w:p w14:paraId="57CCB632">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1</w:t>
            </w:r>
          </w:p>
        </w:tc>
        <w:tc>
          <w:tcPr>
            <w:tcW w:w="550" w:type="dxa"/>
            <w:shd w:val="clear" w:color="auto" w:fill="auto"/>
            <w:vAlign w:val="center"/>
          </w:tcPr>
          <w:p w14:paraId="5C029E9E">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套</w:t>
            </w:r>
          </w:p>
        </w:tc>
        <w:tc>
          <w:tcPr>
            <w:tcW w:w="4216" w:type="dxa"/>
            <w:shd w:val="clear" w:color="auto" w:fill="auto"/>
            <w:vAlign w:val="center"/>
          </w:tcPr>
          <w:p w14:paraId="60EEEF61">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1.规格：40000mm*4000mm*5500mm钢架结合松木及体能玩具</w:t>
            </w:r>
          </w:p>
          <w:p w14:paraId="734301F5">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2.材质：钢架结合松木及塑形；</w:t>
            </w:r>
          </w:p>
          <w:p w14:paraId="4B81BB7B">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(1)80mm*80mm*2mm厚镀锌方钢基础、下方预埋地面（软质地面），刷防锈</w:t>
            </w:r>
            <w:r>
              <w:rPr>
                <w:rFonts w:hint="eastAsia" w:ascii="宋体" w:hAnsi="宋体" w:eastAsia="宋体" w:cs="宋体"/>
                <w:color w:val="auto"/>
                <w:sz w:val="24"/>
                <w:szCs w:val="24"/>
                <w:highlight w:val="none"/>
                <w:lang w:eastAsia="zh-CN"/>
              </w:rPr>
              <w:t>漆</w:t>
            </w:r>
          </w:p>
          <w:p w14:paraId="693CEADD">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(2)25mm*25mm*1.2mm镀锌方钢做四周安全扶手，高度1300mm,间距为90mm。</w:t>
            </w:r>
          </w:p>
          <w:p w14:paraId="4502E252">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(3)攀爬或滑梯上下口位置在750mm部分加横撑防护。</w:t>
            </w:r>
          </w:p>
          <w:p w14:paraId="212312E7">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(4)原木打磨、无菱角、表面光滑、上桐油色浆两遍以上工艺。</w:t>
            </w:r>
          </w:p>
          <w:p w14:paraId="3520AAB9">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 防水防潮防晒，外表面和内表面以及儿童手指可触及的隐蔽处，均不得有锐利的棱角、毛刺以及小五金部件露出的锐利尖锐, 所有接触人体的边棱均应倒圆角</w:t>
            </w:r>
          </w:p>
          <w:p w14:paraId="1F8FB897">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4、配置信息：</w:t>
            </w:r>
          </w:p>
          <w:p w14:paraId="7FD8E519">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造型体能转台：木屋造型平台*4（直径2000mm整体高度3500mm的带2000mm高墙板木屋*2，直径2200mm整体高度3500mm的不带墙板木屋*2）</w:t>
            </w:r>
          </w:p>
          <w:p w14:paraId="182982B8">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普通造型转台*2(直径2400mm整体高度1300mm不带墙板不带帽顶木屋*2）</w:t>
            </w:r>
          </w:p>
          <w:p w14:paraId="47BF87A2">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以上平台工艺材质：80mm*80mm*2mm镀锌方钢主框架及支撑（或直径108-219mm镀锌圆钢主支撑）40mm*60mm*1.5mm连接支撑。40mm*60mm*1.5mm镀锌方钢扶手，25mm*25mm*1.2mm镀锌护栏，护栏高度1300mm、间距不大于90mm。20mm厚松木底板.户外防腐耐候木蜡油；斜坡攀爬：绳网攀爬（绳网间距150mm*150mm，使用直径16mm灰色太空绳，整体宽度为1000mm）</w:t>
            </w:r>
          </w:p>
          <w:p w14:paraId="6B8F2D60">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松木楼梯（踏步面宽度250mm高度150mm，整体宽度1000mm，80mm*80mm*2mm镀锌方钢主框架及支撑，40mm*60mm*1.5mm镀锌方钢扶手，25mm*25mm*1.2mm镀锌护栏，护栏高度1300mm、间距不大于90mm，20mm厚松木底板.户外防腐耐候木蜡油。）</w:t>
            </w:r>
          </w:p>
          <w:p w14:paraId="3515191F">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拱笼攀爬（直径800mm，12mm灰色太空绳，直径40mm*1.2mm镀锌圆管，）</w:t>
            </w:r>
          </w:p>
          <w:p w14:paraId="051EFD47">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S型滑梯(成品塑料滑梯2400mm高）</w:t>
            </w:r>
          </w:p>
          <w:p w14:paraId="7EDF071E">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弧形拱笼钻桶（直径800mm，12mm粗灰色太空绳，40mm*1.2mm镀锌圆管，造型为四分之一园）</w:t>
            </w:r>
          </w:p>
          <w:p w14:paraId="2F899959">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平行荡桥：木板荡桥（数量：8，镀锌锁链，25mm厚松木板，木板规格：240mm*600mm矩形造型）、轮胎网镶嵌（数量：5，成品废旧轮胎喷彩色汽车漆，中空部分穿插16mm灰色太空绳）</w:t>
            </w:r>
          </w:p>
          <w:p w14:paraId="6ED23DD3">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梅花桩荡桥（数量：8，直径150mm圆木*150mm高，镀锌锁链）</w:t>
            </w:r>
          </w:p>
          <w:p w14:paraId="7C570476">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玻璃栈道（8mm+8mm钢化加胶玻璃6㎡）</w:t>
            </w:r>
          </w:p>
          <w:p w14:paraId="5EDE8175">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悬垂游戏设施：松木板秋千*3，太空绳攀爬绳*3。</w:t>
            </w:r>
          </w:p>
        </w:tc>
        <w:tc>
          <w:tcPr>
            <w:tcW w:w="2659" w:type="dxa"/>
          </w:tcPr>
          <w:p w14:paraId="5F899B0B">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drawing>
                <wp:anchor distT="0" distB="0" distL="114300" distR="114300" simplePos="0" relativeHeight="251666432" behindDoc="1" locked="0" layoutInCell="1" allowOverlap="1">
                  <wp:simplePos x="0" y="0"/>
                  <wp:positionH relativeFrom="column">
                    <wp:posOffset>3810</wp:posOffset>
                  </wp:positionH>
                  <wp:positionV relativeFrom="paragraph">
                    <wp:posOffset>3394075</wp:posOffset>
                  </wp:positionV>
                  <wp:extent cx="1550035" cy="1341755"/>
                  <wp:effectExtent l="0" t="0" r="12065" b="48895"/>
                  <wp:wrapTight wrapText="bothSides">
                    <wp:wrapPolygon>
                      <wp:start x="0" y="0"/>
                      <wp:lineTo x="0" y="21160"/>
                      <wp:lineTo x="21237" y="21160"/>
                      <wp:lineTo x="21237" y="0"/>
                      <wp:lineTo x="0" y="0"/>
                    </wp:wrapPolygon>
                  </wp:wrapTight>
                  <wp:docPr id="2" name="图片 2" descr="2d914fcf07775a544a553c5f2179b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d914fcf07775a544a553c5f2179bc1"/>
                          <pic:cNvPicPr>
                            <a:picLocks noChangeAspect="1"/>
                          </pic:cNvPicPr>
                        </pic:nvPicPr>
                        <pic:blipFill>
                          <a:blip r:embed="rId41"/>
                          <a:stretch>
                            <a:fillRect/>
                          </a:stretch>
                        </pic:blipFill>
                        <pic:spPr>
                          <a:xfrm>
                            <a:off x="0" y="0"/>
                            <a:ext cx="1550035" cy="1341755"/>
                          </a:xfrm>
                          <a:prstGeom prst="rect">
                            <a:avLst/>
                          </a:prstGeom>
                        </pic:spPr>
                      </pic:pic>
                    </a:graphicData>
                  </a:graphic>
                </wp:anchor>
              </w:drawing>
            </w:r>
          </w:p>
        </w:tc>
      </w:tr>
      <w:tr w14:paraId="571B81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shd w:val="clear" w:color="auto" w:fill="auto"/>
            <w:vAlign w:val="center"/>
          </w:tcPr>
          <w:p w14:paraId="23DD3E49">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2</w:t>
            </w:r>
          </w:p>
        </w:tc>
        <w:tc>
          <w:tcPr>
            <w:tcW w:w="740" w:type="dxa"/>
            <w:shd w:val="clear" w:color="auto" w:fill="auto"/>
            <w:vAlign w:val="center"/>
          </w:tcPr>
          <w:p w14:paraId="72FA7F92">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eastAsia="zh-CN"/>
              </w:rPr>
              <w:t>水系互动设施</w:t>
            </w:r>
          </w:p>
        </w:tc>
        <w:tc>
          <w:tcPr>
            <w:tcW w:w="513" w:type="dxa"/>
            <w:shd w:val="clear" w:color="auto" w:fill="auto"/>
            <w:vAlign w:val="center"/>
          </w:tcPr>
          <w:p w14:paraId="2273DD64">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1</w:t>
            </w:r>
          </w:p>
        </w:tc>
        <w:tc>
          <w:tcPr>
            <w:tcW w:w="550" w:type="dxa"/>
            <w:shd w:val="clear" w:color="auto" w:fill="auto"/>
            <w:vAlign w:val="center"/>
          </w:tcPr>
          <w:p w14:paraId="4E797E9B">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项</w:t>
            </w:r>
          </w:p>
        </w:tc>
        <w:tc>
          <w:tcPr>
            <w:tcW w:w="4216" w:type="dxa"/>
            <w:shd w:val="clear" w:color="auto" w:fill="auto"/>
            <w:vAlign w:val="center"/>
          </w:tcPr>
          <w:p w14:paraId="5A26F525">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1.规格：假山(高度2500mm、长3000mm、宽1800mm)</w:t>
            </w:r>
          </w:p>
          <w:p w14:paraId="5ABA307B">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2.材质：钢架结构、φ6mm钢筋编网、水泥塑型、艺术上色  </w:t>
            </w:r>
          </w:p>
          <w:p w14:paraId="05304084">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3.形式：假山石侧壁砌筑流水景观                                                         </w:t>
            </w:r>
          </w:p>
          <w:p w14:paraId="567DB826">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4.内容：循环水系统*1（32mm pvc给水管；50mm upvc排水管；370w、16000mm扬程、不锈钢潜水泵*1）、手摇水车*1（松木材质；圆形水车面，水车面直径800mm；半手工）、脚踏水车*1（松木材质；圆形水车面，水车面直径800mm；半手工）、流水假山*1（长2200mm*15mmm宽*2000mm钢筋编网水泥塑形假山）、木桥（1900mm长*800mm宽*1200mm高松木桥）*3、茅草亭（成品竹子材质，直径2000mm*高度2400mm，不含墙面门窗，立面由六个直径100mm的金属材质的圆管支撑）*1、汀步石（花岗岩石材，厚度50mm，直径为300mm的圆形造型）*6</w:t>
            </w:r>
          </w:p>
        </w:tc>
        <w:tc>
          <w:tcPr>
            <w:tcW w:w="2659" w:type="dxa"/>
          </w:tcPr>
          <w:p w14:paraId="087BC2AE">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drawing>
                <wp:anchor distT="0" distB="0" distL="114300" distR="114300" simplePos="0" relativeHeight="251667456" behindDoc="1" locked="0" layoutInCell="1" allowOverlap="1">
                  <wp:simplePos x="0" y="0"/>
                  <wp:positionH relativeFrom="column">
                    <wp:posOffset>-44450</wp:posOffset>
                  </wp:positionH>
                  <wp:positionV relativeFrom="paragraph">
                    <wp:posOffset>837565</wp:posOffset>
                  </wp:positionV>
                  <wp:extent cx="1550035" cy="1117600"/>
                  <wp:effectExtent l="0" t="0" r="12065" b="6350"/>
                  <wp:wrapTight wrapText="bothSides">
                    <wp:wrapPolygon>
                      <wp:start x="0" y="0"/>
                      <wp:lineTo x="0" y="21355"/>
                      <wp:lineTo x="21237" y="21355"/>
                      <wp:lineTo x="21237" y="0"/>
                      <wp:lineTo x="0" y="0"/>
                    </wp:wrapPolygon>
                  </wp:wrapTight>
                  <wp:docPr id="16" name="图片 16" descr="1731478696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31478696668"/>
                          <pic:cNvPicPr>
                            <a:picLocks noChangeAspect="1"/>
                          </pic:cNvPicPr>
                        </pic:nvPicPr>
                        <pic:blipFill>
                          <a:blip r:embed="rId42"/>
                          <a:stretch>
                            <a:fillRect/>
                          </a:stretch>
                        </pic:blipFill>
                        <pic:spPr>
                          <a:xfrm>
                            <a:off x="0" y="0"/>
                            <a:ext cx="1550035" cy="1117600"/>
                          </a:xfrm>
                          <a:prstGeom prst="rect">
                            <a:avLst/>
                          </a:prstGeom>
                        </pic:spPr>
                      </pic:pic>
                    </a:graphicData>
                  </a:graphic>
                </wp:anchor>
              </w:drawing>
            </w:r>
          </w:p>
        </w:tc>
      </w:tr>
      <w:tr w14:paraId="36BFAB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shd w:val="clear" w:color="auto" w:fill="auto"/>
            <w:vAlign w:val="center"/>
          </w:tcPr>
          <w:p w14:paraId="06048479">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3</w:t>
            </w:r>
          </w:p>
        </w:tc>
        <w:tc>
          <w:tcPr>
            <w:tcW w:w="740" w:type="dxa"/>
            <w:shd w:val="clear" w:color="auto" w:fill="auto"/>
            <w:vAlign w:val="center"/>
          </w:tcPr>
          <w:p w14:paraId="2D9D25B9">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干沙池游戏设施</w:t>
            </w:r>
          </w:p>
        </w:tc>
        <w:tc>
          <w:tcPr>
            <w:tcW w:w="513" w:type="dxa"/>
            <w:shd w:val="clear" w:color="auto" w:fill="auto"/>
            <w:vAlign w:val="center"/>
          </w:tcPr>
          <w:p w14:paraId="78E8CCD5">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1</w:t>
            </w:r>
          </w:p>
        </w:tc>
        <w:tc>
          <w:tcPr>
            <w:tcW w:w="550" w:type="dxa"/>
            <w:shd w:val="clear" w:color="auto" w:fill="auto"/>
            <w:vAlign w:val="center"/>
          </w:tcPr>
          <w:p w14:paraId="67B8CC60">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项</w:t>
            </w:r>
          </w:p>
        </w:tc>
        <w:tc>
          <w:tcPr>
            <w:tcW w:w="4216" w:type="dxa"/>
            <w:shd w:val="clear" w:color="auto" w:fill="auto"/>
            <w:vAlign w:val="center"/>
          </w:tcPr>
          <w:p w14:paraId="16D92A10">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1.规格：10000mm*10000mm(所在区域空间规格）</w:t>
            </w:r>
          </w:p>
          <w:p w14:paraId="51AA1CAF">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2.配置信息：玩具储物柜：1000mm长*700mm高*300mm深松木储物柜*3；1000mm长*1500mm高*300m深松木储物柜*3</w:t>
            </w:r>
          </w:p>
          <w:p w14:paraId="09C4A751">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塑形洗手池（直径250mm*800mm高钢筋编网水泥塑形树桩洗手池）*3</w:t>
            </w:r>
          </w:p>
          <w:p w14:paraId="1A844AA3">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茅草亭（直径2400m*高2800m）*1</w:t>
            </w:r>
          </w:p>
          <w:p w14:paraId="19584A45">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不含门窗，中心由直径150mm圆木支撑，清沙台（5㎡松木栈道：40mm*40mm松木龙骨基础，高度300mm，面层铺设25mm厚松木地面）*1。</w:t>
            </w:r>
          </w:p>
        </w:tc>
        <w:tc>
          <w:tcPr>
            <w:tcW w:w="2659" w:type="dxa"/>
          </w:tcPr>
          <w:p w14:paraId="68F700CC">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drawing>
                <wp:anchor distT="0" distB="0" distL="114300" distR="114300" simplePos="0" relativeHeight="251668480" behindDoc="1" locked="0" layoutInCell="1" allowOverlap="1">
                  <wp:simplePos x="0" y="0"/>
                  <wp:positionH relativeFrom="column">
                    <wp:posOffset>-8255</wp:posOffset>
                  </wp:positionH>
                  <wp:positionV relativeFrom="paragraph">
                    <wp:posOffset>716915</wp:posOffset>
                  </wp:positionV>
                  <wp:extent cx="1550670" cy="1344295"/>
                  <wp:effectExtent l="0" t="0" r="11430" b="0"/>
                  <wp:wrapTight wrapText="bothSides">
                    <wp:wrapPolygon>
                      <wp:start x="0" y="0"/>
                      <wp:lineTo x="0" y="21427"/>
                      <wp:lineTo x="21229" y="21427"/>
                      <wp:lineTo x="21229" y="0"/>
                      <wp:lineTo x="0" y="0"/>
                    </wp:wrapPolygon>
                  </wp:wrapTight>
                  <wp:docPr id="53" name="图片 53" descr="304a8a28b1333a3d93e2ab37f6c3b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304a8a28b1333a3d93e2ab37f6c3b81"/>
                          <pic:cNvPicPr>
                            <a:picLocks noChangeAspect="1"/>
                          </pic:cNvPicPr>
                        </pic:nvPicPr>
                        <pic:blipFill>
                          <a:blip r:embed="rId43"/>
                          <a:stretch>
                            <a:fillRect/>
                          </a:stretch>
                        </pic:blipFill>
                        <pic:spPr>
                          <a:xfrm>
                            <a:off x="0" y="0"/>
                            <a:ext cx="1550670" cy="1344295"/>
                          </a:xfrm>
                          <a:prstGeom prst="rect">
                            <a:avLst/>
                          </a:prstGeom>
                        </pic:spPr>
                      </pic:pic>
                    </a:graphicData>
                  </a:graphic>
                </wp:anchor>
              </w:drawing>
            </w:r>
          </w:p>
        </w:tc>
      </w:tr>
      <w:tr w14:paraId="7F8A5B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shd w:val="clear" w:color="auto" w:fill="auto"/>
            <w:vAlign w:val="center"/>
          </w:tcPr>
          <w:p w14:paraId="265E4981">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4</w:t>
            </w:r>
          </w:p>
        </w:tc>
        <w:tc>
          <w:tcPr>
            <w:tcW w:w="740" w:type="dxa"/>
            <w:shd w:val="clear" w:color="auto" w:fill="auto"/>
            <w:vAlign w:val="center"/>
          </w:tcPr>
          <w:p w14:paraId="3E14BC79">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湿沙池游戏设施</w:t>
            </w:r>
          </w:p>
        </w:tc>
        <w:tc>
          <w:tcPr>
            <w:tcW w:w="513" w:type="dxa"/>
            <w:shd w:val="clear" w:color="auto" w:fill="auto"/>
            <w:vAlign w:val="center"/>
          </w:tcPr>
          <w:p w14:paraId="6E85674D">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550" w:type="dxa"/>
            <w:shd w:val="clear" w:color="auto" w:fill="auto"/>
            <w:vAlign w:val="center"/>
          </w:tcPr>
          <w:p w14:paraId="1B919DE7">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4216" w:type="dxa"/>
            <w:shd w:val="clear" w:color="auto" w:fill="auto"/>
            <w:vAlign w:val="center"/>
          </w:tcPr>
          <w:p w14:paraId="69754844">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1.规格：10000mm*6600mm(所在区域空间规格）</w:t>
            </w:r>
          </w:p>
          <w:p w14:paraId="1EAE22FC">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2.配置信息：压水器（成品铸铁压水器）*1</w:t>
            </w:r>
          </w:p>
          <w:p w14:paraId="5EC86CC1">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塑形梅花桩坐凳（直径300mm*300mm高,钢筋[6mm]编网,水泥塑形[30mm厚]树桩造型坐凳）*14</w:t>
            </w:r>
          </w:p>
          <w:p w14:paraId="06A24866">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洗手洗脚池（灰砖砌筑勾白缝，长3500mm*600mm宽*800mm高）*1</w:t>
            </w:r>
          </w:p>
          <w:p w14:paraId="2D53A5E1">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艺术塑形操作台（450mm宽*13000mm*450mm高钢筋编网水泥塑形树桩操作台）</w:t>
            </w:r>
          </w:p>
          <w:p w14:paraId="57752A1F">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清砂台（1.5㎡松木栈道：40mm*40mm松木龙骨基础，高度300mm，面层铺设20mm厚松木地面）*1。</w:t>
            </w:r>
          </w:p>
        </w:tc>
        <w:tc>
          <w:tcPr>
            <w:tcW w:w="2659" w:type="dxa"/>
          </w:tcPr>
          <w:p w14:paraId="2E6BAA5B">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drawing>
                <wp:anchor distT="0" distB="0" distL="114300" distR="114300" simplePos="0" relativeHeight="251669504" behindDoc="1" locked="0" layoutInCell="1" allowOverlap="1">
                  <wp:simplePos x="0" y="0"/>
                  <wp:positionH relativeFrom="column">
                    <wp:posOffset>-8255</wp:posOffset>
                  </wp:positionH>
                  <wp:positionV relativeFrom="paragraph">
                    <wp:posOffset>897890</wp:posOffset>
                  </wp:positionV>
                  <wp:extent cx="1550670" cy="1247775"/>
                  <wp:effectExtent l="0" t="0" r="11430" b="0"/>
                  <wp:wrapTight wrapText="bothSides">
                    <wp:wrapPolygon>
                      <wp:start x="0" y="0"/>
                      <wp:lineTo x="0" y="21435"/>
                      <wp:lineTo x="21229" y="21435"/>
                      <wp:lineTo x="21229" y="0"/>
                      <wp:lineTo x="0" y="0"/>
                    </wp:wrapPolygon>
                  </wp:wrapTight>
                  <wp:docPr id="54" name="图片 54" descr="5a62a1e299163f4ec25095fe0307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5a62a1e299163f4ec25095fe0307880"/>
                          <pic:cNvPicPr>
                            <a:picLocks noChangeAspect="1"/>
                          </pic:cNvPicPr>
                        </pic:nvPicPr>
                        <pic:blipFill>
                          <a:blip r:embed="rId44"/>
                          <a:stretch>
                            <a:fillRect/>
                          </a:stretch>
                        </pic:blipFill>
                        <pic:spPr>
                          <a:xfrm>
                            <a:off x="0" y="0"/>
                            <a:ext cx="1550670" cy="1247775"/>
                          </a:xfrm>
                          <a:prstGeom prst="rect">
                            <a:avLst/>
                          </a:prstGeom>
                        </pic:spPr>
                      </pic:pic>
                    </a:graphicData>
                  </a:graphic>
                </wp:anchor>
              </w:drawing>
            </w:r>
          </w:p>
        </w:tc>
      </w:tr>
      <w:tr w14:paraId="0D7ED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shd w:val="clear" w:color="auto" w:fill="auto"/>
            <w:vAlign w:val="center"/>
          </w:tcPr>
          <w:p w14:paraId="58C63D2C">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5</w:t>
            </w:r>
          </w:p>
        </w:tc>
        <w:tc>
          <w:tcPr>
            <w:tcW w:w="740" w:type="dxa"/>
            <w:shd w:val="clear" w:color="auto" w:fill="auto"/>
            <w:vAlign w:val="center"/>
          </w:tcPr>
          <w:p w14:paraId="42256C75">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微地形游戏设施</w:t>
            </w:r>
          </w:p>
        </w:tc>
        <w:tc>
          <w:tcPr>
            <w:tcW w:w="513" w:type="dxa"/>
            <w:shd w:val="clear" w:color="auto" w:fill="auto"/>
            <w:vAlign w:val="center"/>
          </w:tcPr>
          <w:p w14:paraId="0C7C1970">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550" w:type="dxa"/>
            <w:shd w:val="clear" w:color="auto" w:fill="auto"/>
            <w:vAlign w:val="center"/>
          </w:tcPr>
          <w:p w14:paraId="48234A8D">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4216" w:type="dxa"/>
            <w:shd w:val="clear" w:color="auto" w:fill="auto"/>
            <w:vAlign w:val="center"/>
          </w:tcPr>
          <w:p w14:paraId="7413D502">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1.规格：20000mm*10000mm(所在区域空间规格）</w:t>
            </w:r>
          </w:p>
          <w:p w14:paraId="5A97F7EC">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2.材质：修整塑形，轮胎，磨盘，圆木，石阶。</w:t>
            </w:r>
          </w:p>
          <w:p w14:paraId="1C2F382D">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3.工艺：微地形起坡平整，无安全隐患。原木打磨、无菱角、表面光滑、上桐油色浆两遍以上工艺。</w:t>
            </w:r>
          </w:p>
          <w:p w14:paraId="55B77F12">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4.配套信息：艺术造型隧道口（灰砖砌筑，高度1200mm*宽度1300mm*厚度240mm）*2</w:t>
            </w:r>
          </w:p>
          <w:p w14:paraId="331A8FF9">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绳网攀爬（绳网间距150mm*150mm，使用直径16mm灰色太空绳，整体宽度为1000mm*1600mm）</w:t>
            </w:r>
          </w:p>
          <w:p w14:paraId="7803856D">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磨盘路径（直径600mm，80mm厚）*8</w:t>
            </w:r>
          </w:p>
          <w:p w14:paraId="13ED7A64">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轮胎路径*8（成品废旧轮胎喷彩色汽车漆，内空填充种植土）</w:t>
            </w:r>
          </w:p>
          <w:p w14:paraId="6AE40FF2">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石头路径（直径150mm左右，厚度120mm左右）*10</w:t>
            </w:r>
          </w:p>
          <w:p w14:paraId="2DE6E869">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梅花桩路径（直径120mm*高度200mm）*20</w:t>
            </w:r>
          </w:p>
          <w:p w14:paraId="448CB859">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集结口护栏（长度：7000mm，25mm*25mm*1.2mm镀锌护栏，40mm*60mm*1.5mm横向，整体高度1300mm，满焊打磨平整，锌黄底漆一遍，丙烯酸聚氨酯面漆两编）</w:t>
            </w:r>
          </w:p>
          <w:p w14:paraId="493E1156">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滑索：15000mm长成品滑索（前后两端为80mm*80mm*2mm方钢框架，框架由直径16mm太空绳链接）*1</w:t>
            </w:r>
          </w:p>
          <w:p w14:paraId="3533E8B2">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轮胎迷宫（直径80mm高度2000mm的圆木25根预埋进地面，成品废旧轮胎喷彩色汽车漆固定与圆木形成台阶式攀爬路径*24）</w:t>
            </w:r>
          </w:p>
          <w:p w14:paraId="684DDF89">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纤维草坪（面积：20㎡，13800针*20mm高）。</w:t>
            </w:r>
          </w:p>
        </w:tc>
        <w:tc>
          <w:tcPr>
            <w:tcW w:w="2659" w:type="dxa"/>
          </w:tcPr>
          <w:p w14:paraId="6C9B8548">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drawing>
                <wp:anchor distT="0" distB="0" distL="114300" distR="114300" simplePos="0" relativeHeight="251670528" behindDoc="1" locked="0" layoutInCell="1" allowOverlap="1">
                  <wp:simplePos x="0" y="0"/>
                  <wp:positionH relativeFrom="column">
                    <wp:posOffset>15875</wp:posOffset>
                  </wp:positionH>
                  <wp:positionV relativeFrom="paragraph">
                    <wp:posOffset>2863850</wp:posOffset>
                  </wp:positionV>
                  <wp:extent cx="1550035" cy="1107440"/>
                  <wp:effectExtent l="0" t="0" r="12065" b="16510"/>
                  <wp:wrapTight wrapText="bothSides">
                    <wp:wrapPolygon>
                      <wp:start x="0" y="0"/>
                      <wp:lineTo x="0" y="21179"/>
                      <wp:lineTo x="21237" y="21179"/>
                      <wp:lineTo x="21237" y="0"/>
                      <wp:lineTo x="0" y="0"/>
                    </wp:wrapPolygon>
                  </wp:wrapTight>
                  <wp:docPr id="55" name="图片 55" descr="16288568b4532efd795c527bb572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16288568b4532efd795c527bb572747"/>
                          <pic:cNvPicPr>
                            <a:picLocks noChangeAspect="1"/>
                          </pic:cNvPicPr>
                        </pic:nvPicPr>
                        <pic:blipFill>
                          <a:blip r:embed="rId45"/>
                          <a:stretch>
                            <a:fillRect/>
                          </a:stretch>
                        </pic:blipFill>
                        <pic:spPr>
                          <a:xfrm>
                            <a:off x="0" y="0"/>
                            <a:ext cx="1550035" cy="1107440"/>
                          </a:xfrm>
                          <a:prstGeom prst="rect">
                            <a:avLst/>
                          </a:prstGeom>
                        </pic:spPr>
                      </pic:pic>
                    </a:graphicData>
                  </a:graphic>
                </wp:anchor>
              </w:drawing>
            </w:r>
          </w:p>
        </w:tc>
      </w:tr>
      <w:tr w14:paraId="2E0FD1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shd w:val="clear" w:color="auto" w:fill="auto"/>
            <w:vAlign w:val="center"/>
          </w:tcPr>
          <w:p w14:paraId="7A5A8B4A">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6</w:t>
            </w:r>
          </w:p>
        </w:tc>
        <w:tc>
          <w:tcPr>
            <w:tcW w:w="740" w:type="dxa"/>
            <w:shd w:val="clear" w:color="auto" w:fill="auto"/>
            <w:vAlign w:val="center"/>
          </w:tcPr>
          <w:p w14:paraId="1EAD0842">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趣味认知战壕区游戏设施</w:t>
            </w:r>
          </w:p>
        </w:tc>
        <w:tc>
          <w:tcPr>
            <w:tcW w:w="513" w:type="dxa"/>
            <w:shd w:val="clear" w:color="auto" w:fill="auto"/>
            <w:vAlign w:val="center"/>
          </w:tcPr>
          <w:p w14:paraId="49F4B10C">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550" w:type="dxa"/>
            <w:shd w:val="clear" w:color="auto" w:fill="auto"/>
            <w:vAlign w:val="center"/>
          </w:tcPr>
          <w:p w14:paraId="250186D7">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4216" w:type="dxa"/>
            <w:shd w:val="clear" w:color="auto" w:fill="auto"/>
            <w:vAlign w:val="center"/>
          </w:tcPr>
          <w:p w14:paraId="4821C79D">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1.规格：17000mm*6000mm(所在区域空间规格）</w:t>
            </w:r>
          </w:p>
          <w:p w14:paraId="7C4E9C64">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2.材质： 多材质触摸墙零星镶嵌（马赛克、鹅卵石，圆木切片墙、磨盘*2</w:t>
            </w:r>
          </w:p>
          <w:p w14:paraId="758B9076">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马车轮*2等不少于十六种材质，整体材质触摸面积不小于10㎡）；</w:t>
            </w:r>
          </w:p>
          <w:p w14:paraId="73A2C775">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梯子（松木），原木打磨、无菱角、表面光滑、上桐油色浆两遍以上工艺。                              </w:t>
            </w:r>
          </w:p>
          <w:p w14:paraId="1ADEF199">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3. 外表面和内表面以及儿童手指可触及的隐蔽处，均不得有锐利的棱角、毛刺以及小五金部件露出的锐利尖锐, 所有接触人体的边棱均应倒圆角。                         </w:t>
            </w:r>
          </w:p>
          <w:p w14:paraId="3083DAB2">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4、配套信息：木梯（1800mm长*500mm宽，松木材质），多材质认知（各类材料镶嵌入立面灰砖墙面，16种不同材质镶嵌）。</w:t>
            </w:r>
          </w:p>
        </w:tc>
        <w:tc>
          <w:tcPr>
            <w:tcW w:w="2659" w:type="dxa"/>
          </w:tcPr>
          <w:p w14:paraId="0CE98864">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drawing>
                <wp:anchor distT="0" distB="0" distL="114300" distR="114300" simplePos="0" relativeHeight="251671552" behindDoc="1" locked="0" layoutInCell="1" allowOverlap="1">
                  <wp:simplePos x="0" y="0"/>
                  <wp:positionH relativeFrom="column">
                    <wp:posOffset>27940</wp:posOffset>
                  </wp:positionH>
                  <wp:positionV relativeFrom="paragraph">
                    <wp:posOffset>1621790</wp:posOffset>
                  </wp:positionV>
                  <wp:extent cx="1550670" cy="1051560"/>
                  <wp:effectExtent l="0" t="0" r="11430" b="15240"/>
                  <wp:wrapTight wrapText="bothSides">
                    <wp:wrapPolygon>
                      <wp:start x="0" y="0"/>
                      <wp:lineTo x="0" y="21130"/>
                      <wp:lineTo x="21229" y="21130"/>
                      <wp:lineTo x="21229" y="0"/>
                      <wp:lineTo x="0" y="0"/>
                    </wp:wrapPolygon>
                  </wp:wrapTight>
                  <wp:docPr id="56" name="图片 56" descr="3278ae2ecb8b78de1df4b3611c005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3278ae2ecb8b78de1df4b3611c0056f"/>
                          <pic:cNvPicPr>
                            <a:picLocks noChangeAspect="1"/>
                          </pic:cNvPicPr>
                        </pic:nvPicPr>
                        <pic:blipFill>
                          <a:blip r:embed="rId46"/>
                          <a:stretch>
                            <a:fillRect/>
                          </a:stretch>
                        </pic:blipFill>
                        <pic:spPr>
                          <a:xfrm>
                            <a:off x="0" y="0"/>
                            <a:ext cx="1550670" cy="1051560"/>
                          </a:xfrm>
                          <a:prstGeom prst="rect">
                            <a:avLst/>
                          </a:prstGeom>
                        </pic:spPr>
                      </pic:pic>
                    </a:graphicData>
                  </a:graphic>
                </wp:anchor>
              </w:drawing>
            </w:r>
          </w:p>
        </w:tc>
      </w:tr>
      <w:tr w14:paraId="4A0320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shd w:val="clear" w:color="auto" w:fill="auto"/>
            <w:vAlign w:val="center"/>
          </w:tcPr>
          <w:p w14:paraId="290C2F8B">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7</w:t>
            </w:r>
          </w:p>
        </w:tc>
        <w:tc>
          <w:tcPr>
            <w:tcW w:w="740" w:type="dxa"/>
            <w:shd w:val="clear" w:color="auto" w:fill="auto"/>
            <w:vAlign w:val="center"/>
          </w:tcPr>
          <w:p w14:paraId="796DB0FD">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竹工坊游戏设施</w:t>
            </w:r>
          </w:p>
        </w:tc>
        <w:tc>
          <w:tcPr>
            <w:tcW w:w="513" w:type="dxa"/>
            <w:shd w:val="clear" w:color="auto" w:fill="auto"/>
            <w:vAlign w:val="center"/>
          </w:tcPr>
          <w:p w14:paraId="60385949">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550" w:type="dxa"/>
            <w:shd w:val="clear" w:color="auto" w:fill="auto"/>
            <w:vAlign w:val="center"/>
          </w:tcPr>
          <w:p w14:paraId="4021D60D">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4216" w:type="dxa"/>
            <w:shd w:val="clear" w:color="auto" w:fill="auto"/>
            <w:vAlign w:val="center"/>
          </w:tcPr>
          <w:p w14:paraId="1F273E6D">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1.规格：17000mm*1400mm*240mm(所在区域空间规格）</w:t>
            </w:r>
          </w:p>
          <w:p w14:paraId="2D140B67">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2.材质：青砖</w:t>
            </w:r>
            <w:r>
              <w:rPr>
                <w:rFonts w:hint="eastAsia" w:ascii="宋体" w:hAnsi="宋体" w:eastAsia="宋体" w:cs="宋体"/>
                <w:color w:val="auto"/>
                <w:sz w:val="24"/>
                <w:szCs w:val="24"/>
                <w:highlight w:val="none"/>
                <w:lang w:val="en-US" w:eastAsia="zh-CN"/>
              </w:rPr>
              <w:t xml:space="preserve"> </w:t>
            </w:r>
            <w:r>
              <w:rPr>
                <w:rFonts w:hint="eastAsia" w:ascii="宋体" w:hAnsi="宋体" w:eastAsia="宋体" w:cs="宋体"/>
                <w:color w:val="auto"/>
                <w:sz w:val="24"/>
                <w:szCs w:val="24"/>
                <w:highlight w:val="none"/>
              </w:rPr>
              <w:t>原木打磨、无硬菱角、表面光滑</w:t>
            </w:r>
          </w:p>
          <w:p w14:paraId="482C7C38">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 防水防潮防晒，外表面和内表面以及儿童手指可触及的隐蔽处，均不得有锐利的棱角、毛刺以及小五金部件露出的锐利尖锐, 所有接触人体的边棱均应倒圆角</w:t>
            </w:r>
          </w:p>
          <w:p w14:paraId="4F500E4D">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4、配套信息：青砖艺术墙（17000mm长*1400mm高，灰砖砌筑勾白缝）</w:t>
            </w:r>
          </w:p>
          <w:p w14:paraId="6F9E9F4C">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天然大理石 石桌石凳（成品石桌石凳，凳子直径300mm高度300mm，桌子直径800mm高度500mm）。</w:t>
            </w:r>
          </w:p>
        </w:tc>
        <w:tc>
          <w:tcPr>
            <w:tcW w:w="2659" w:type="dxa"/>
          </w:tcPr>
          <w:p w14:paraId="17205A4E">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drawing>
                <wp:anchor distT="0" distB="0" distL="114300" distR="114300" simplePos="0" relativeHeight="251672576" behindDoc="1" locked="0" layoutInCell="1" allowOverlap="1">
                  <wp:simplePos x="0" y="0"/>
                  <wp:positionH relativeFrom="column">
                    <wp:posOffset>27940</wp:posOffset>
                  </wp:positionH>
                  <wp:positionV relativeFrom="paragraph">
                    <wp:posOffset>1115060</wp:posOffset>
                  </wp:positionV>
                  <wp:extent cx="1550035" cy="1062990"/>
                  <wp:effectExtent l="0" t="0" r="12065" b="3810"/>
                  <wp:wrapTight wrapText="bothSides">
                    <wp:wrapPolygon>
                      <wp:start x="0" y="0"/>
                      <wp:lineTo x="0" y="21290"/>
                      <wp:lineTo x="21237" y="21290"/>
                      <wp:lineTo x="21237" y="0"/>
                      <wp:lineTo x="0" y="0"/>
                    </wp:wrapPolygon>
                  </wp:wrapTight>
                  <wp:docPr id="57" name="图片 57" descr="78acd70166acaff21fbc84ef09bc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78acd70166acaff21fbc84ef09bc131"/>
                          <pic:cNvPicPr>
                            <a:picLocks noChangeAspect="1"/>
                          </pic:cNvPicPr>
                        </pic:nvPicPr>
                        <pic:blipFill>
                          <a:blip r:embed="rId47"/>
                          <a:stretch>
                            <a:fillRect/>
                          </a:stretch>
                        </pic:blipFill>
                        <pic:spPr>
                          <a:xfrm>
                            <a:off x="0" y="0"/>
                            <a:ext cx="1550035" cy="1062990"/>
                          </a:xfrm>
                          <a:prstGeom prst="rect">
                            <a:avLst/>
                          </a:prstGeom>
                        </pic:spPr>
                      </pic:pic>
                    </a:graphicData>
                  </a:graphic>
                </wp:anchor>
              </w:drawing>
            </w:r>
          </w:p>
        </w:tc>
      </w:tr>
      <w:tr w14:paraId="3013A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shd w:val="clear" w:color="auto" w:fill="auto"/>
            <w:vAlign w:val="center"/>
          </w:tcPr>
          <w:p w14:paraId="7D38B936">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8</w:t>
            </w:r>
          </w:p>
        </w:tc>
        <w:tc>
          <w:tcPr>
            <w:tcW w:w="740" w:type="dxa"/>
            <w:shd w:val="clear" w:color="auto" w:fill="auto"/>
            <w:vAlign w:val="center"/>
          </w:tcPr>
          <w:p w14:paraId="03B23BD1">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食育体验游戏设施</w:t>
            </w:r>
          </w:p>
        </w:tc>
        <w:tc>
          <w:tcPr>
            <w:tcW w:w="513" w:type="dxa"/>
            <w:shd w:val="clear" w:color="auto" w:fill="auto"/>
            <w:vAlign w:val="center"/>
          </w:tcPr>
          <w:p w14:paraId="195FB85A">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550" w:type="dxa"/>
            <w:shd w:val="clear" w:color="auto" w:fill="auto"/>
            <w:vAlign w:val="center"/>
          </w:tcPr>
          <w:p w14:paraId="5F90791D">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4216" w:type="dxa"/>
            <w:shd w:val="clear" w:color="auto" w:fill="auto"/>
            <w:vAlign w:val="center"/>
          </w:tcPr>
          <w:p w14:paraId="541C25CA">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1.规格：灶台3000mm、茅草亭6㎡</w:t>
            </w:r>
          </w:p>
          <w:p w14:paraId="7D6F9466">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2.材质：松木、青砖、茅草</w:t>
            </w:r>
          </w:p>
          <w:p w14:paraId="391E719D">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原木打磨、无菱角、表面光滑、上桐油色浆两遍以上工艺。</w:t>
            </w:r>
          </w:p>
          <w:p w14:paraId="48319FD8">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 防水防潮防晒，外表面和内表面以及儿童手指可触及的隐蔽处，均不得有锐利的棱角、毛刺以及小五金部件露出的锐利尖锐, 所有接触人体的边棱均应倒圆角</w:t>
            </w:r>
          </w:p>
          <w:p w14:paraId="19D129B8">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4、配套信息：灶台（灰砖砌筑勾白缝，800mm宽*500mm高*3000mm长，顶面贴灰色瓷砖）、茅草屋（3000mm长*2000mm宽*2400mm高)；</w:t>
            </w:r>
          </w:p>
          <w:p w14:paraId="1BA18A8A">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人字形屋顶造型，40mm*60mm松木龙骨框架，龙骨间距800mm*800mm，顶部基础封20mm厚松木板，面层铺设仿真茅草）。</w:t>
            </w:r>
          </w:p>
        </w:tc>
        <w:tc>
          <w:tcPr>
            <w:tcW w:w="2659" w:type="dxa"/>
          </w:tcPr>
          <w:p w14:paraId="380E1559">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drawing>
                <wp:anchor distT="0" distB="0" distL="114300" distR="114300" simplePos="0" relativeHeight="251673600" behindDoc="1" locked="0" layoutInCell="1" allowOverlap="1">
                  <wp:simplePos x="0" y="0"/>
                  <wp:positionH relativeFrom="column">
                    <wp:posOffset>-8255</wp:posOffset>
                  </wp:positionH>
                  <wp:positionV relativeFrom="paragraph">
                    <wp:posOffset>1500505</wp:posOffset>
                  </wp:positionV>
                  <wp:extent cx="1551305" cy="1105535"/>
                  <wp:effectExtent l="0" t="0" r="10795" b="18415"/>
                  <wp:wrapTight wrapText="bothSides">
                    <wp:wrapPolygon>
                      <wp:start x="0" y="0"/>
                      <wp:lineTo x="0" y="21215"/>
                      <wp:lineTo x="21220" y="21215"/>
                      <wp:lineTo x="21220" y="0"/>
                      <wp:lineTo x="0" y="0"/>
                    </wp:wrapPolygon>
                  </wp:wrapTight>
                  <wp:docPr id="58" name="图片 58" descr="527b832eb143c86564217b8c4bff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527b832eb143c86564217b8c4bff598"/>
                          <pic:cNvPicPr>
                            <a:picLocks noChangeAspect="1"/>
                          </pic:cNvPicPr>
                        </pic:nvPicPr>
                        <pic:blipFill>
                          <a:blip r:embed="rId48"/>
                          <a:stretch>
                            <a:fillRect/>
                          </a:stretch>
                        </pic:blipFill>
                        <pic:spPr>
                          <a:xfrm>
                            <a:off x="0" y="0"/>
                            <a:ext cx="1551305" cy="1105535"/>
                          </a:xfrm>
                          <a:prstGeom prst="rect">
                            <a:avLst/>
                          </a:prstGeom>
                        </pic:spPr>
                      </pic:pic>
                    </a:graphicData>
                  </a:graphic>
                </wp:anchor>
              </w:drawing>
            </w:r>
          </w:p>
        </w:tc>
      </w:tr>
      <w:tr w14:paraId="1223F8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shd w:val="clear" w:color="auto" w:fill="auto"/>
            <w:vAlign w:val="center"/>
          </w:tcPr>
          <w:p w14:paraId="5678A3BE">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9</w:t>
            </w:r>
          </w:p>
        </w:tc>
        <w:tc>
          <w:tcPr>
            <w:tcW w:w="740" w:type="dxa"/>
            <w:shd w:val="clear" w:color="auto" w:fill="auto"/>
            <w:vAlign w:val="center"/>
          </w:tcPr>
          <w:p w14:paraId="2D290612">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感统路径</w:t>
            </w:r>
          </w:p>
        </w:tc>
        <w:tc>
          <w:tcPr>
            <w:tcW w:w="513" w:type="dxa"/>
            <w:shd w:val="clear" w:color="auto" w:fill="auto"/>
            <w:vAlign w:val="center"/>
          </w:tcPr>
          <w:p w14:paraId="0150B601">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550" w:type="dxa"/>
            <w:shd w:val="clear" w:color="auto" w:fill="auto"/>
            <w:vAlign w:val="center"/>
          </w:tcPr>
          <w:p w14:paraId="38773ACB">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4216" w:type="dxa"/>
            <w:shd w:val="clear" w:color="auto" w:fill="auto"/>
            <w:vAlign w:val="center"/>
          </w:tcPr>
          <w:p w14:paraId="0ACE94FC">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配套信息：真草坪（百慕大）  400㎡</w:t>
            </w:r>
          </w:p>
          <w:p w14:paraId="05253244">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青石板（300mm*600mm*25mm）*40块</w:t>
            </w:r>
          </w:p>
          <w:p w14:paraId="0C9F35EE">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圆石板（直径300mm*25mm）*40块</w:t>
            </w:r>
          </w:p>
          <w:p w14:paraId="390AFBEC">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卵石切片路径（250mm*550mm*25mm）*20块</w:t>
            </w:r>
          </w:p>
          <w:p w14:paraId="5DB366AA">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鹅卵石拼花路径 （路径宽度 25㎡，基础垫层：60mm厚垫层镶嵌直径30-50mm黑白鹅卵石）</w:t>
            </w:r>
          </w:p>
          <w:p w14:paraId="286D0959">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混凝土地面（c25商品混凝土 80mm）*36㎡</w:t>
            </w:r>
          </w:p>
          <w:p w14:paraId="7C762015">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异形木栈道（路径宽度800mm，面层20mm厚松木铺设，基础为40mm*40mm木方龙骨，龙骨间距 500mm）*40㎡</w:t>
            </w:r>
          </w:p>
          <w:p w14:paraId="6E5E0AC8">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12生肖水洗石镶嵌轮胎认知地面*12个 。</w:t>
            </w:r>
          </w:p>
        </w:tc>
        <w:tc>
          <w:tcPr>
            <w:tcW w:w="2659" w:type="dxa"/>
          </w:tcPr>
          <w:p w14:paraId="4F0F5FB5">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drawing>
                <wp:anchor distT="0" distB="0" distL="114300" distR="114300" simplePos="0" relativeHeight="251674624" behindDoc="1" locked="0" layoutInCell="1" allowOverlap="1">
                  <wp:simplePos x="0" y="0"/>
                  <wp:positionH relativeFrom="column">
                    <wp:posOffset>3810</wp:posOffset>
                  </wp:positionH>
                  <wp:positionV relativeFrom="paragraph">
                    <wp:posOffset>1584960</wp:posOffset>
                  </wp:positionV>
                  <wp:extent cx="1550670" cy="1048385"/>
                  <wp:effectExtent l="0" t="0" r="11430" b="18415"/>
                  <wp:wrapTight wrapText="bothSides">
                    <wp:wrapPolygon>
                      <wp:start x="0" y="0"/>
                      <wp:lineTo x="0" y="21194"/>
                      <wp:lineTo x="21229" y="21194"/>
                      <wp:lineTo x="21229" y="0"/>
                      <wp:lineTo x="0" y="0"/>
                    </wp:wrapPolygon>
                  </wp:wrapTight>
                  <wp:docPr id="59" name="图片 59" descr="27e093e1338d7c64082a1e9e453ff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27e093e1338d7c64082a1e9e453ff30"/>
                          <pic:cNvPicPr>
                            <a:picLocks noChangeAspect="1"/>
                          </pic:cNvPicPr>
                        </pic:nvPicPr>
                        <pic:blipFill>
                          <a:blip r:embed="rId49"/>
                          <a:stretch>
                            <a:fillRect/>
                          </a:stretch>
                        </pic:blipFill>
                        <pic:spPr>
                          <a:xfrm>
                            <a:off x="0" y="0"/>
                            <a:ext cx="1550670" cy="1048385"/>
                          </a:xfrm>
                          <a:prstGeom prst="rect">
                            <a:avLst/>
                          </a:prstGeom>
                        </pic:spPr>
                      </pic:pic>
                    </a:graphicData>
                  </a:graphic>
                </wp:anchor>
              </w:drawing>
            </w:r>
          </w:p>
        </w:tc>
      </w:tr>
      <w:tr w14:paraId="0B487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7" w:type="dxa"/>
            <w:shd w:val="clear" w:color="auto" w:fill="auto"/>
            <w:vAlign w:val="center"/>
          </w:tcPr>
          <w:p w14:paraId="1FA5887F">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rPr>
              <w:t>10</w:t>
            </w:r>
          </w:p>
        </w:tc>
        <w:tc>
          <w:tcPr>
            <w:tcW w:w="740" w:type="dxa"/>
            <w:shd w:val="clear" w:color="auto" w:fill="auto"/>
            <w:vAlign w:val="center"/>
          </w:tcPr>
          <w:p w14:paraId="2A548DC8">
            <w:pPr>
              <w:keepNext w:val="0"/>
              <w:keepLines w:val="0"/>
              <w:pageBreakBefore w:val="0"/>
              <w:widowControl w:val="0"/>
              <w:kinsoku/>
              <w:wordWrap/>
              <w:overflowPunct/>
              <w:topLinePunct w:val="0"/>
              <w:autoSpaceDE/>
              <w:autoSpaceDN/>
              <w:bidi w:val="0"/>
              <w:adjustRightInd/>
              <w:snapToGrid w:val="0"/>
              <w:spacing w:line="380" w:lineRule="exact"/>
              <w:ind w:left="0" w:leftChars="0"/>
              <w:jc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风向标导向牌</w:t>
            </w:r>
          </w:p>
        </w:tc>
        <w:tc>
          <w:tcPr>
            <w:tcW w:w="513" w:type="dxa"/>
            <w:shd w:val="clear" w:color="auto" w:fill="auto"/>
            <w:vAlign w:val="center"/>
          </w:tcPr>
          <w:p w14:paraId="4E1B401D">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550" w:type="dxa"/>
            <w:shd w:val="clear" w:color="auto" w:fill="auto"/>
            <w:vAlign w:val="center"/>
          </w:tcPr>
          <w:p w14:paraId="48760228">
            <w:pPr>
              <w:keepNext w:val="0"/>
              <w:keepLines w:val="0"/>
              <w:pageBreakBefore w:val="0"/>
              <w:widowControl/>
              <w:suppressLineNumbers w:val="0"/>
              <w:kinsoku/>
              <w:wordWrap/>
              <w:overflowPunct/>
              <w:topLinePunct w:val="0"/>
              <w:bidi w:val="0"/>
              <w:adjustRightInd/>
              <w:snapToGrid w:val="0"/>
              <w:spacing w:line="380" w:lineRule="exact"/>
              <w:jc w:val="center"/>
              <w:textAlignment w:val="center"/>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i w:val="0"/>
                <w:iCs w:val="0"/>
                <w:snapToGrid w:val="0"/>
                <w:color w:val="000000"/>
                <w:kern w:val="0"/>
                <w:sz w:val="24"/>
                <w:szCs w:val="24"/>
                <w:highlight w:val="none"/>
                <w:u w:val="none"/>
                <w:lang w:val="en-US" w:eastAsia="zh-CN" w:bidi="ar"/>
              </w:rPr>
              <w:t>项</w:t>
            </w:r>
          </w:p>
        </w:tc>
        <w:tc>
          <w:tcPr>
            <w:tcW w:w="4216" w:type="dxa"/>
            <w:shd w:val="clear" w:color="auto" w:fill="auto"/>
            <w:vAlign w:val="center"/>
          </w:tcPr>
          <w:p w14:paraId="3C0444E5">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1.规格：高1900mm</w:t>
            </w:r>
          </w:p>
          <w:p w14:paraId="48CDA934">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2.外表面和内表面以及儿童手指可触及的隐蔽处，均不得有锐利的棱角、所有接触人体的边棱均应倒圆角</w:t>
            </w:r>
          </w:p>
          <w:p w14:paraId="2D90C368">
            <w:pPr>
              <w:keepNext w:val="0"/>
              <w:keepLines w:val="0"/>
              <w:pageBreakBefore w:val="0"/>
              <w:widowControl w:val="0"/>
              <w:kinsoku/>
              <w:wordWrap/>
              <w:overflowPunct/>
              <w:topLinePunct w:val="0"/>
              <w:autoSpaceDE/>
              <w:autoSpaceDN/>
              <w:bidi w:val="0"/>
              <w:adjustRightInd/>
              <w:snapToGrid w:val="0"/>
              <w:spacing w:line="380" w:lineRule="exact"/>
              <w:ind w:left="0" w:leftChars="0"/>
              <w:jc w:val="left"/>
              <w:rPr>
                <w:rFonts w:hint="eastAsia" w:ascii="宋体" w:hAnsi="宋体" w:eastAsia="宋体" w:cs="宋体"/>
                <w:snapToGrid w:val="0"/>
                <w:color w:val="auto"/>
                <w:sz w:val="24"/>
                <w:szCs w:val="24"/>
                <w:highlight w:val="none"/>
                <w:lang w:val="en-US" w:eastAsia="zh-CN" w:bidi="ar-SA"/>
              </w:rPr>
            </w:pPr>
            <w:r>
              <w:rPr>
                <w:rFonts w:hint="eastAsia" w:ascii="宋体" w:hAnsi="宋体" w:eastAsia="宋体" w:cs="宋体"/>
                <w:color w:val="auto"/>
                <w:sz w:val="24"/>
                <w:szCs w:val="24"/>
                <w:highlight w:val="none"/>
              </w:rPr>
              <w:t>3.配置信息：成品造型导视牌（圆木立柱：直径80mm高度1600mm；铁艺风向标：300mm*300mm*300mm）</w:t>
            </w:r>
          </w:p>
        </w:tc>
        <w:tc>
          <w:tcPr>
            <w:tcW w:w="2659" w:type="dxa"/>
          </w:tcPr>
          <w:p w14:paraId="38C74D36">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jc w:val="both"/>
              <w:textAlignment w:val="baseline"/>
              <w:rPr>
                <w:rFonts w:hint="eastAsia" w:ascii="宋体" w:hAnsi="宋体" w:eastAsia="宋体" w:cs="宋体"/>
                <w:b/>
                <w:bCs/>
                <w:sz w:val="28"/>
                <w:szCs w:val="28"/>
                <w:highlight w:val="none"/>
                <w:vertAlign w:val="baseline"/>
                <w:lang w:val="en-US" w:eastAsia="zh-CN"/>
              </w:rPr>
            </w:pPr>
            <w:r>
              <w:rPr>
                <w:rFonts w:hint="eastAsia" w:ascii="宋体" w:hAnsi="宋体" w:eastAsia="宋体" w:cs="宋体"/>
                <w:b/>
                <w:bCs/>
                <w:sz w:val="28"/>
                <w:szCs w:val="28"/>
                <w:highlight w:val="none"/>
                <w:vertAlign w:val="baseline"/>
                <w:lang w:val="en-US" w:eastAsia="zh-CN"/>
              </w:rPr>
              <w:drawing>
                <wp:anchor distT="0" distB="0" distL="114300" distR="114300" simplePos="0" relativeHeight="251675648" behindDoc="1" locked="0" layoutInCell="1" allowOverlap="1">
                  <wp:simplePos x="0" y="0"/>
                  <wp:positionH relativeFrom="column">
                    <wp:posOffset>-8255</wp:posOffset>
                  </wp:positionH>
                  <wp:positionV relativeFrom="paragraph">
                    <wp:posOffset>331470</wp:posOffset>
                  </wp:positionV>
                  <wp:extent cx="1550670" cy="1048385"/>
                  <wp:effectExtent l="0" t="0" r="11430" b="18415"/>
                  <wp:wrapTight wrapText="bothSides">
                    <wp:wrapPolygon>
                      <wp:start x="0" y="0"/>
                      <wp:lineTo x="0" y="21194"/>
                      <wp:lineTo x="21229" y="21194"/>
                      <wp:lineTo x="21229" y="0"/>
                      <wp:lineTo x="0" y="0"/>
                    </wp:wrapPolygon>
                  </wp:wrapTight>
                  <wp:docPr id="60" name="图片 60" descr="f1f8a5381470d8e5dcb21bba7081f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f1f8a5381470d8e5dcb21bba7081fd2"/>
                          <pic:cNvPicPr>
                            <a:picLocks noChangeAspect="1"/>
                          </pic:cNvPicPr>
                        </pic:nvPicPr>
                        <pic:blipFill>
                          <a:blip r:embed="rId50"/>
                          <a:stretch>
                            <a:fillRect/>
                          </a:stretch>
                        </pic:blipFill>
                        <pic:spPr>
                          <a:xfrm>
                            <a:off x="0" y="0"/>
                            <a:ext cx="1550670" cy="1048385"/>
                          </a:xfrm>
                          <a:prstGeom prst="rect">
                            <a:avLst/>
                          </a:prstGeom>
                        </pic:spPr>
                      </pic:pic>
                    </a:graphicData>
                  </a:graphic>
                </wp:anchor>
              </w:drawing>
            </w:r>
          </w:p>
        </w:tc>
      </w:tr>
    </w:tbl>
    <w:p w14:paraId="46DF243C">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textAlignment w:val="baseline"/>
        <w:rPr>
          <w:rFonts w:hint="eastAsia" w:ascii="宋体" w:hAnsi="宋体" w:eastAsia="宋体" w:cs="宋体"/>
          <w:b/>
          <w:bCs/>
          <w:sz w:val="28"/>
          <w:szCs w:val="28"/>
          <w:highlight w:val="none"/>
          <w:lang w:val="en-US" w:eastAsia="zh-CN"/>
        </w:rPr>
      </w:pPr>
      <w:r>
        <w:rPr>
          <w:rFonts w:hint="eastAsia" w:ascii="宋体" w:hAnsi="宋体" w:eastAsia="宋体" w:cs="宋体"/>
          <w:b/>
          <w:bCs/>
          <w:sz w:val="28"/>
          <w:szCs w:val="28"/>
          <w:highlight w:val="none"/>
          <w:lang w:val="en-US" w:eastAsia="zh-CN"/>
        </w:rPr>
        <w:t>二、商务要求：</w:t>
      </w:r>
    </w:p>
    <w:p w14:paraId="39D20FB4">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textAlignment w:val="baseline"/>
        <w:rPr>
          <w:rFonts w:hint="default" w:ascii="宋体" w:hAnsi="宋体" w:eastAsia="宋体" w:cs="宋体"/>
          <w:sz w:val="28"/>
          <w:szCs w:val="28"/>
          <w:highlight w:val="none"/>
          <w:lang w:val="en-US" w:eastAsia="zh-CN"/>
        </w:rPr>
      </w:pPr>
      <w:r>
        <w:rPr>
          <w:rFonts w:hint="eastAsia" w:ascii="宋体" w:hAnsi="宋体" w:eastAsia="宋体" w:cs="宋体"/>
          <w:sz w:val="28"/>
          <w:szCs w:val="28"/>
          <w:highlight w:val="none"/>
          <w:lang w:val="en-US" w:eastAsia="zh-CN"/>
        </w:rPr>
        <w:t xml:space="preserve">    1、合同履行期限：30日历天</w:t>
      </w:r>
    </w:p>
    <w:p w14:paraId="3981BAF6">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ind w:firstLine="560" w:firstLineChars="200"/>
        <w:textAlignment w:val="baseline"/>
        <w:rPr>
          <w:rFonts w:hint="eastAsia" w:ascii="宋体" w:hAnsi="宋体" w:eastAsia="宋体" w:cs="宋体"/>
          <w:sz w:val="28"/>
          <w:szCs w:val="28"/>
          <w:highlight w:val="none"/>
          <w:lang w:val="en-US" w:eastAsia="zh-CN"/>
        </w:rPr>
      </w:pPr>
      <w:r>
        <w:rPr>
          <w:rFonts w:hint="eastAsia" w:ascii="宋体" w:hAnsi="宋体" w:eastAsia="宋体" w:cs="宋体"/>
          <w:snapToGrid w:val="0"/>
          <w:color w:val="000000"/>
          <w:kern w:val="0"/>
          <w:sz w:val="28"/>
          <w:szCs w:val="28"/>
          <w:highlight w:val="none"/>
          <w:lang w:val="en-US" w:eastAsia="zh-CN"/>
        </w:rPr>
        <w:t>2、</w:t>
      </w:r>
      <w:r>
        <w:rPr>
          <w:rFonts w:hint="eastAsia" w:ascii="宋体" w:hAnsi="宋体" w:eastAsia="宋体" w:cs="宋体"/>
          <w:sz w:val="28"/>
          <w:szCs w:val="28"/>
          <w:highlight w:val="none"/>
          <w:lang w:val="en-US" w:eastAsia="zh-CN"/>
        </w:rPr>
        <w:t>供货地点：采购人指定地点</w:t>
      </w:r>
    </w:p>
    <w:p w14:paraId="1AD9663B">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ind w:firstLine="560" w:firstLineChars="200"/>
        <w:textAlignment w:val="baseline"/>
        <w:rPr>
          <w:rFonts w:hint="eastAsia" w:ascii="宋体" w:hAnsi="宋体" w:eastAsia="宋体" w:cs="宋体"/>
          <w:sz w:val="28"/>
          <w:szCs w:val="28"/>
          <w:highlight w:val="none"/>
          <w:lang w:val="en-US" w:eastAsia="zh-CN"/>
        </w:rPr>
      </w:pPr>
      <w:r>
        <w:rPr>
          <w:rFonts w:hint="eastAsia" w:ascii="宋体" w:hAnsi="宋体" w:eastAsia="宋体" w:cs="宋体"/>
          <w:snapToGrid w:val="0"/>
          <w:color w:val="000000"/>
          <w:kern w:val="0"/>
          <w:sz w:val="28"/>
          <w:szCs w:val="28"/>
          <w:highlight w:val="none"/>
          <w:lang w:val="en-US" w:eastAsia="zh-CN"/>
        </w:rPr>
        <w:t>3、质保期限：一年</w:t>
      </w:r>
    </w:p>
    <w:p w14:paraId="2BE71EC8">
      <w:pPr>
        <w:keepNext w:val="0"/>
        <w:keepLines w:val="0"/>
        <w:pageBreakBefore w:val="0"/>
        <w:widowControl/>
        <w:numPr>
          <w:ilvl w:val="0"/>
          <w:numId w:val="0"/>
        </w:numPr>
        <w:kinsoku w:val="0"/>
        <w:wordWrap/>
        <w:overflowPunct/>
        <w:topLinePunct w:val="0"/>
        <w:autoSpaceDE w:val="0"/>
        <w:autoSpaceDN w:val="0"/>
        <w:bidi w:val="0"/>
        <w:adjustRightInd w:val="0"/>
        <w:snapToGrid w:val="0"/>
        <w:spacing w:line="440" w:lineRule="exact"/>
        <w:ind w:firstLine="560" w:firstLineChars="200"/>
        <w:textAlignment w:val="baseline"/>
        <w:rPr>
          <w:rFonts w:hint="eastAsia" w:ascii="宋体" w:hAnsi="宋体" w:eastAsia="宋体" w:cs="宋体"/>
          <w:sz w:val="28"/>
          <w:szCs w:val="28"/>
          <w:highlight w:val="none"/>
          <w:lang w:val="en-US" w:eastAsia="zh-CN"/>
        </w:rPr>
      </w:pPr>
      <w:r>
        <w:rPr>
          <w:rFonts w:hint="eastAsia" w:ascii="宋体" w:hAnsi="宋体" w:eastAsia="宋体" w:cs="宋体"/>
          <w:snapToGrid w:val="0"/>
          <w:color w:val="000000"/>
          <w:kern w:val="0"/>
          <w:sz w:val="28"/>
          <w:szCs w:val="28"/>
          <w:highlight w:val="none"/>
          <w:lang w:val="en-US" w:eastAsia="zh-CN"/>
        </w:rPr>
        <w:t>4、</w:t>
      </w:r>
      <w:r>
        <w:rPr>
          <w:rFonts w:hint="eastAsia" w:ascii="宋体" w:hAnsi="宋体" w:eastAsia="宋体" w:cs="宋体"/>
          <w:sz w:val="28"/>
          <w:szCs w:val="28"/>
          <w:highlight w:val="none"/>
          <w:lang w:val="en-US" w:eastAsia="zh-CN"/>
        </w:rPr>
        <w:t>付款方式：签订合同完成供货安装后支付合同价的75%，经省第三方验收合格后，支付至合同价的100%</w:t>
      </w:r>
    </w:p>
    <w:p w14:paraId="4FFF3304">
      <w:pPr>
        <w:keepNext w:val="0"/>
        <w:keepLines w:val="0"/>
        <w:pageBreakBefore w:val="0"/>
        <w:widowControl/>
        <w:suppressLineNumbers w:val="0"/>
        <w:kinsoku w:val="0"/>
        <w:wordWrap/>
        <w:overflowPunct/>
        <w:topLinePunct w:val="0"/>
        <w:autoSpaceDE w:val="0"/>
        <w:autoSpaceDN w:val="0"/>
        <w:bidi w:val="0"/>
        <w:adjustRightInd w:val="0"/>
        <w:snapToGrid w:val="0"/>
        <w:spacing w:line="440" w:lineRule="exact"/>
        <w:ind w:firstLine="482" w:firstLineChars="200"/>
        <w:jc w:val="left"/>
        <w:textAlignment w:val="baseline"/>
        <w:rPr>
          <w:sz w:val="24"/>
          <w:szCs w:val="24"/>
          <w:highlight w:val="none"/>
        </w:rPr>
      </w:pPr>
      <w:r>
        <w:rPr>
          <w:rFonts w:hint="eastAsia" w:ascii="宋体" w:hAnsi="宋体" w:eastAsia="宋体" w:cs="宋体"/>
          <w:b/>
          <w:bCs/>
          <w:snapToGrid w:val="0"/>
          <w:color w:val="000000"/>
          <w:kern w:val="0"/>
          <w:sz w:val="24"/>
          <w:szCs w:val="24"/>
          <w:highlight w:val="none"/>
          <w:lang w:val="en-US" w:eastAsia="zh-CN" w:bidi="ar"/>
        </w:rPr>
        <w:t xml:space="preserve">注：本招标项目必须要实质性满足技术要求和商务要求。 </w:t>
      </w:r>
    </w:p>
    <w:p w14:paraId="68B4F9FE">
      <w:pPr>
        <w:keepNext w:val="0"/>
        <w:keepLines w:val="0"/>
        <w:pageBreakBefore w:val="0"/>
        <w:widowControl/>
        <w:suppressLineNumbers w:val="0"/>
        <w:kinsoku w:val="0"/>
        <w:wordWrap/>
        <w:overflowPunct/>
        <w:topLinePunct w:val="0"/>
        <w:autoSpaceDE w:val="0"/>
        <w:autoSpaceDN w:val="0"/>
        <w:bidi w:val="0"/>
        <w:adjustRightInd w:val="0"/>
        <w:snapToGrid w:val="0"/>
        <w:spacing w:line="440" w:lineRule="exact"/>
        <w:ind w:firstLine="482" w:firstLineChars="200"/>
        <w:jc w:val="left"/>
        <w:textAlignment w:val="baseline"/>
        <w:rPr>
          <w:sz w:val="24"/>
          <w:szCs w:val="24"/>
          <w:highlight w:val="none"/>
        </w:rPr>
      </w:pPr>
      <w:r>
        <w:rPr>
          <w:rFonts w:hint="eastAsia" w:ascii="宋体" w:hAnsi="宋体" w:eastAsia="宋体" w:cs="宋体"/>
          <w:b/>
          <w:bCs/>
          <w:snapToGrid w:val="0"/>
          <w:color w:val="000000"/>
          <w:kern w:val="0"/>
          <w:sz w:val="24"/>
          <w:szCs w:val="24"/>
          <w:highlight w:val="none"/>
          <w:lang w:val="en-US" w:eastAsia="zh-CN" w:bidi="ar"/>
        </w:rPr>
        <w:t xml:space="preserve">1.投标人提供的货物必须是原装全新、高于或等于招标文件规定技术参数的产品。 </w:t>
      </w:r>
    </w:p>
    <w:p w14:paraId="2382E4D6">
      <w:pPr>
        <w:keepNext w:val="0"/>
        <w:keepLines w:val="0"/>
        <w:pageBreakBefore w:val="0"/>
        <w:widowControl/>
        <w:suppressLineNumbers w:val="0"/>
        <w:kinsoku w:val="0"/>
        <w:wordWrap/>
        <w:overflowPunct/>
        <w:topLinePunct w:val="0"/>
        <w:autoSpaceDE w:val="0"/>
        <w:autoSpaceDN w:val="0"/>
        <w:bidi w:val="0"/>
        <w:adjustRightInd w:val="0"/>
        <w:snapToGrid w:val="0"/>
        <w:spacing w:line="440" w:lineRule="exact"/>
        <w:ind w:firstLine="482" w:firstLineChars="200"/>
        <w:jc w:val="left"/>
        <w:textAlignment w:val="baseline"/>
        <w:rPr>
          <w:sz w:val="24"/>
          <w:szCs w:val="24"/>
          <w:highlight w:val="none"/>
        </w:rPr>
      </w:pPr>
      <w:r>
        <w:rPr>
          <w:rFonts w:hint="eastAsia" w:ascii="宋体" w:hAnsi="宋体" w:eastAsia="宋体" w:cs="宋体"/>
          <w:b/>
          <w:bCs/>
          <w:snapToGrid w:val="0"/>
          <w:color w:val="000000"/>
          <w:kern w:val="0"/>
          <w:sz w:val="24"/>
          <w:szCs w:val="24"/>
          <w:highlight w:val="none"/>
          <w:lang w:val="en-US" w:eastAsia="zh-CN" w:bidi="ar"/>
        </w:rPr>
        <w:t xml:space="preserve">2.属于节能产品政府采购品目规定必须强制采购的, 必须采购当期节能产品政府采购品目内设备或产品；在价格、技术、服务等指标同等条件下，优先采购节能、环保产品（需提供投标人所投产品属于政府采购清单规定的节能环保产品的证明材料）。 </w:t>
      </w:r>
    </w:p>
    <w:p w14:paraId="0C896392">
      <w:pPr>
        <w:keepNext w:val="0"/>
        <w:keepLines w:val="0"/>
        <w:pageBreakBefore w:val="0"/>
        <w:widowControl/>
        <w:suppressLineNumbers w:val="0"/>
        <w:kinsoku w:val="0"/>
        <w:wordWrap/>
        <w:overflowPunct/>
        <w:topLinePunct w:val="0"/>
        <w:autoSpaceDE w:val="0"/>
        <w:autoSpaceDN w:val="0"/>
        <w:bidi w:val="0"/>
        <w:adjustRightInd w:val="0"/>
        <w:snapToGrid w:val="0"/>
        <w:spacing w:line="440" w:lineRule="exact"/>
        <w:ind w:firstLine="482" w:firstLineChars="200"/>
        <w:jc w:val="left"/>
        <w:textAlignment w:val="baseline"/>
        <w:rPr>
          <w:sz w:val="24"/>
          <w:szCs w:val="24"/>
          <w:highlight w:val="none"/>
        </w:rPr>
      </w:pPr>
      <w:r>
        <w:rPr>
          <w:rFonts w:hint="eastAsia" w:ascii="宋体" w:hAnsi="宋体" w:eastAsia="宋体" w:cs="宋体"/>
          <w:b/>
          <w:bCs/>
          <w:snapToGrid w:val="0"/>
          <w:color w:val="000000"/>
          <w:kern w:val="0"/>
          <w:sz w:val="24"/>
          <w:szCs w:val="24"/>
          <w:highlight w:val="none"/>
          <w:lang w:val="en-US" w:eastAsia="zh-CN" w:bidi="ar"/>
        </w:rPr>
        <w:t xml:space="preserve">3.投标人的投标报价应包括货物本身的费用、包装费、运输费、装卸费、运输过程保险费、安装费、质量保证费、相关的伴随服务费、调试、培训及技术支持服务确保技术人员到客户处现场培训、货物本身已支付或将支付的各种税费以及其它交付使用前的所有费用。 </w:t>
      </w:r>
    </w:p>
    <w:p w14:paraId="0C3B11EA">
      <w:pPr>
        <w:keepNext w:val="0"/>
        <w:keepLines w:val="0"/>
        <w:pageBreakBefore w:val="0"/>
        <w:widowControl/>
        <w:suppressLineNumbers w:val="0"/>
        <w:kinsoku w:val="0"/>
        <w:wordWrap/>
        <w:overflowPunct/>
        <w:topLinePunct w:val="0"/>
        <w:autoSpaceDE w:val="0"/>
        <w:autoSpaceDN w:val="0"/>
        <w:bidi w:val="0"/>
        <w:adjustRightInd w:val="0"/>
        <w:snapToGrid w:val="0"/>
        <w:spacing w:line="440" w:lineRule="exact"/>
        <w:ind w:firstLine="482" w:firstLineChars="200"/>
        <w:jc w:val="left"/>
        <w:textAlignment w:val="baseline"/>
        <w:rPr>
          <w:sz w:val="24"/>
          <w:szCs w:val="24"/>
          <w:highlight w:val="none"/>
        </w:rPr>
      </w:pPr>
      <w:r>
        <w:rPr>
          <w:rFonts w:hint="eastAsia" w:ascii="宋体" w:hAnsi="宋体" w:eastAsia="宋体" w:cs="宋体"/>
          <w:b/>
          <w:bCs/>
          <w:snapToGrid w:val="0"/>
          <w:color w:val="000000"/>
          <w:kern w:val="0"/>
          <w:sz w:val="24"/>
          <w:szCs w:val="24"/>
          <w:highlight w:val="none"/>
          <w:lang w:val="en-US" w:eastAsia="zh-CN" w:bidi="ar"/>
        </w:rPr>
        <w:t>4.本项目核心产品：</w:t>
      </w:r>
      <w:r>
        <w:rPr>
          <w:rFonts w:hint="eastAsia" w:ascii="宋体" w:hAnsi="宋体" w:eastAsia="宋体" w:cs="宋体"/>
          <w:b/>
          <w:bCs/>
          <w:snapToGrid w:val="0"/>
          <w:color w:val="000000"/>
          <w:kern w:val="0"/>
          <w:sz w:val="24"/>
          <w:szCs w:val="24"/>
          <w:highlight w:val="none"/>
          <w:u w:val="single"/>
          <w:lang w:val="en-US" w:eastAsia="zh-CN" w:bidi="ar"/>
        </w:rPr>
        <w:t>室内全彩 LED显示屏</w:t>
      </w:r>
      <w:r>
        <w:rPr>
          <w:rFonts w:hint="eastAsia" w:ascii="宋体" w:hAnsi="宋体" w:eastAsia="宋体" w:cs="宋体"/>
          <w:b/>
          <w:bCs/>
          <w:snapToGrid w:val="0"/>
          <w:color w:val="000000"/>
          <w:kern w:val="0"/>
          <w:sz w:val="24"/>
          <w:szCs w:val="24"/>
          <w:highlight w:val="none"/>
          <w:lang w:val="en-US" w:eastAsia="zh-CN" w:bidi="ar"/>
        </w:rPr>
        <w:t xml:space="preserve">。 </w:t>
      </w:r>
    </w:p>
    <w:p w14:paraId="5ECCCB93">
      <w:pPr>
        <w:keepNext w:val="0"/>
        <w:keepLines w:val="0"/>
        <w:pageBreakBefore w:val="0"/>
        <w:widowControl/>
        <w:suppressLineNumbers w:val="0"/>
        <w:kinsoku w:val="0"/>
        <w:wordWrap/>
        <w:overflowPunct/>
        <w:topLinePunct w:val="0"/>
        <w:autoSpaceDE w:val="0"/>
        <w:autoSpaceDN w:val="0"/>
        <w:bidi w:val="0"/>
        <w:adjustRightInd w:val="0"/>
        <w:snapToGrid w:val="0"/>
        <w:spacing w:line="440" w:lineRule="exact"/>
        <w:ind w:firstLine="482" w:firstLineChars="200"/>
        <w:jc w:val="left"/>
        <w:textAlignment w:val="baseline"/>
        <w:rPr>
          <w:sz w:val="24"/>
          <w:szCs w:val="24"/>
          <w:highlight w:val="none"/>
        </w:rPr>
      </w:pPr>
      <w:r>
        <w:rPr>
          <w:rFonts w:hint="eastAsia" w:ascii="宋体" w:hAnsi="宋体" w:eastAsia="宋体" w:cs="宋体"/>
          <w:b/>
          <w:bCs/>
          <w:snapToGrid w:val="0"/>
          <w:color w:val="000000"/>
          <w:kern w:val="0"/>
          <w:sz w:val="24"/>
          <w:szCs w:val="24"/>
          <w:highlight w:val="none"/>
          <w:lang w:val="en-US" w:eastAsia="zh-CN" w:bidi="ar"/>
        </w:rPr>
        <w:t>5.本标的所属行业：制造业。</w:t>
      </w:r>
    </w:p>
    <w:p w14:paraId="0A4FE2F1">
      <w:pPr>
        <w:keepNext w:val="0"/>
        <w:keepLines w:val="0"/>
        <w:pageBreakBefore w:val="0"/>
        <w:widowControl/>
        <w:kinsoku w:val="0"/>
        <w:wordWrap/>
        <w:overflowPunct/>
        <w:topLinePunct w:val="0"/>
        <w:autoSpaceDE w:val="0"/>
        <w:autoSpaceDN w:val="0"/>
        <w:bidi w:val="0"/>
        <w:adjustRightInd w:val="0"/>
        <w:snapToGrid w:val="0"/>
        <w:spacing w:line="440" w:lineRule="exact"/>
        <w:ind w:firstLine="420" w:firstLineChars="200"/>
        <w:textAlignment w:val="baseline"/>
        <w:rPr>
          <w:rFonts w:ascii="宋体" w:hAnsi="宋体" w:eastAsia="宋体" w:cs="宋体"/>
          <w:color w:val="auto"/>
          <w:sz w:val="21"/>
          <w:szCs w:val="21"/>
          <w:highlight w:val="none"/>
          <w:lang w:eastAsia="zh-CN"/>
        </w:rPr>
      </w:pPr>
    </w:p>
    <w:p w14:paraId="2F16B67B">
      <w:pPr>
        <w:pStyle w:val="3"/>
        <w:rPr>
          <w:highlight w:val="none"/>
          <w:lang w:eastAsia="zh-CN"/>
        </w:rPr>
        <w:sectPr>
          <w:footerReference r:id="rId18" w:type="default"/>
          <w:pgSz w:w="11907" w:h="16840"/>
          <w:pgMar w:top="1431" w:right="1319" w:bottom="1139" w:left="1585" w:header="0" w:footer="977" w:gutter="0"/>
          <w:cols w:space="720" w:num="1"/>
        </w:sectPr>
      </w:pPr>
    </w:p>
    <w:p w14:paraId="1C6AE970">
      <w:pPr>
        <w:spacing w:before="136" w:line="224" w:lineRule="auto"/>
        <w:ind w:left="3043"/>
        <w:outlineLvl w:val="0"/>
        <w:rPr>
          <w:rFonts w:ascii="宋体" w:hAnsi="宋体" w:eastAsia="宋体" w:cs="宋体"/>
          <w:color w:val="auto"/>
          <w:sz w:val="31"/>
          <w:szCs w:val="31"/>
          <w:highlight w:val="none"/>
          <w:lang w:eastAsia="zh-CN"/>
        </w:rPr>
      </w:pPr>
      <w:bookmarkStart w:id="103" w:name="bookmark13"/>
      <w:bookmarkEnd w:id="103"/>
      <w:bookmarkStart w:id="104" w:name="_Toc26778"/>
      <w:r>
        <w:rPr>
          <w:rFonts w:ascii="宋体" w:hAnsi="宋体" w:eastAsia="宋体" w:cs="宋体"/>
          <w:b/>
          <w:bCs/>
          <w:color w:val="auto"/>
          <w:spacing w:val="5"/>
          <w:sz w:val="31"/>
          <w:szCs w:val="31"/>
          <w:highlight w:val="none"/>
          <w:lang w:eastAsia="zh-CN"/>
        </w:rPr>
        <w:t>第六章</w:t>
      </w:r>
      <w:r>
        <w:rPr>
          <w:rFonts w:ascii="宋体" w:hAnsi="宋体" w:eastAsia="宋体" w:cs="宋体"/>
          <w:color w:val="auto"/>
          <w:spacing w:val="5"/>
          <w:sz w:val="31"/>
          <w:szCs w:val="31"/>
          <w:highlight w:val="none"/>
          <w:lang w:eastAsia="zh-CN"/>
        </w:rPr>
        <w:t xml:space="preserve"> </w:t>
      </w:r>
      <w:r>
        <w:rPr>
          <w:rFonts w:ascii="宋体" w:hAnsi="宋体" w:eastAsia="宋体" w:cs="宋体"/>
          <w:b/>
          <w:bCs/>
          <w:color w:val="auto"/>
          <w:spacing w:val="5"/>
          <w:sz w:val="31"/>
          <w:szCs w:val="31"/>
          <w:highlight w:val="none"/>
          <w:lang w:eastAsia="zh-CN"/>
        </w:rPr>
        <w:t>质疑与投诉</w:t>
      </w:r>
      <w:bookmarkEnd w:id="104"/>
    </w:p>
    <w:p w14:paraId="7D6F060F">
      <w:pPr>
        <w:pStyle w:val="5"/>
        <w:spacing w:line="280" w:lineRule="auto"/>
        <w:rPr>
          <w:color w:val="auto"/>
          <w:highlight w:val="none"/>
          <w:lang w:eastAsia="zh-CN"/>
        </w:rPr>
      </w:pPr>
    </w:p>
    <w:p w14:paraId="12E0DA37">
      <w:pPr>
        <w:pStyle w:val="5"/>
        <w:spacing w:line="280" w:lineRule="auto"/>
        <w:rPr>
          <w:color w:val="auto"/>
          <w:highlight w:val="none"/>
          <w:lang w:eastAsia="zh-CN"/>
        </w:rPr>
      </w:pPr>
    </w:p>
    <w:p w14:paraId="0CC5146F">
      <w:pPr>
        <w:spacing w:before="91" w:line="221" w:lineRule="auto"/>
        <w:ind w:left="6"/>
        <w:outlineLvl w:val="1"/>
        <w:rPr>
          <w:rFonts w:ascii="宋体" w:hAnsi="宋体" w:eastAsia="宋体" w:cs="宋体"/>
          <w:color w:val="auto"/>
          <w:sz w:val="28"/>
          <w:szCs w:val="28"/>
          <w:highlight w:val="none"/>
          <w:lang w:eastAsia="zh-CN"/>
        </w:rPr>
      </w:pPr>
      <w:bookmarkStart w:id="105" w:name="_Toc22712"/>
      <w:r>
        <w:rPr>
          <w:rFonts w:ascii="宋体" w:hAnsi="宋体" w:eastAsia="宋体" w:cs="宋体"/>
          <w:b/>
          <w:bCs/>
          <w:color w:val="auto"/>
          <w:spacing w:val="-4"/>
          <w:sz w:val="28"/>
          <w:szCs w:val="28"/>
          <w:highlight w:val="none"/>
          <w:lang w:eastAsia="zh-CN"/>
        </w:rPr>
        <w:t>一、质疑与答复</w:t>
      </w:r>
      <w:bookmarkEnd w:id="105"/>
    </w:p>
    <w:p w14:paraId="59FB178F">
      <w:pPr>
        <w:spacing w:before="201" w:line="329" w:lineRule="auto"/>
        <w:ind w:left="27" w:firstLine="47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 参与政府采购活动的</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认为采购文件、</w:t>
      </w:r>
      <w:r>
        <w:rPr>
          <w:rFonts w:ascii="宋体" w:hAnsi="宋体" w:eastAsia="宋体" w:cs="宋体"/>
          <w:color w:val="auto"/>
          <w:sz w:val="24"/>
          <w:szCs w:val="24"/>
          <w:highlight w:val="none"/>
          <w:lang w:eastAsia="zh-CN"/>
        </w:rPr>
        <w:t xml:space="preserve">采购过程、中标或者成交结果使 </w:t>
      </w:r>
      <w:r>
        <w:rPr>
          <w:rFonts w:ascii="宋体" w:hAnsi="宋体" w:eastAsia="宋体" w:cs="宋体"/>
          <w:color w:val="auto"/>
          <w:spacing w:val="-3"/>
          <w:sz w:val="24"/>
          <w:szCs w:val="24"/>
          <w:highlight w:val="none"/>
          <w:lang w:eastAsia="zh-CN"/>
        </w:rPr>
        <w:t>自己的权益受到损害的，可以在知道或者应知其权益受到损害</w:t>
      </w:r>
      <w:r>
        <w:rPr>
          <w:rFonts w:ascii="宋体" w:hAnsi="宋体" w:eastAsia="宋体" w:cs="宋体"/>
          <w:color w:val="auto"/>
          <w:spacing w:val="-4"/>
          <w:sz w:val="24"/>
          <w:szCs w:val="24"/>
          <w:highlight w:val="none"/>
          <w:lang w:eastAsia="zh-CN"/>
        </w:rPr>
        <w:t>之日起</w:t>
      </w:r>
      <w:r>
        <w:rPr>
          <w:rFonts w:ascii="宋体" w:hAnsi="宋体" w:eastAsia="宋体" w:cs="宋体"/>
          <w:color w:val="auto"/>
          <w:spacing w:val="-45"/>
          <w:sz w:val="24"/>
          <w:szCs w:val="24"/>
          <w:highlight w:val="none"/>
          <w:lang w:eastAsia="zh-CN"/>
        </w:rPr>
        <w:t xml:space="preserve"> </w:t>
      </w:r>
      <w:r>
        <w:rPr>
          <w:rFonts w:ascii="宋体" w:hAnsi="宋体" w:eastAsia="宋体" w:cs="宋体"/>
          <w:color w:val="auto"/>
          <w:spacing w:val="-4"/>
          <w:sz w:val="24"/>
          <w:szCs w:val="24"/>
          <w:highlight w:val="none"/>
          <w:lang w:eastAsia="zh-CN"/>
        </w:rPr>
        <w:t>7</w:t>
      </w:r>
      <w:r>
        <w:rPr>
          <w:rFonts w:ascii="宋体" w:hAnsi="宋体" w:eastAsia="宋体" w:cs="宋体"/>
          <w:color w:val="auto"/>
          <w:spacing w:val="-51"/>
          <w:sz w:val="24"/>
          <w:szCs w:val="24"/>
          <w:highlight w:val="none"/>
          <w:lang w:eastAsia="zh-CN"/>
        </w:rPr>
        <w:t xml:space="preserve"> </w:t>
      </w:r>
      <w:r>
        <w:rPr>
          <w:rFonts w:ascii="宋体" w:hAnsi="宋体" w:eastAsia="宋体" w:cs="宋体"/>
          <w:color w:val="auto"/>
          <w:spacing w:val="-4"/>
          <w:sz w:val="24"/>
          <w:szCs w:val="24"/>
          <w:highlight w:val="none"/>
          <w:lang w:eastAsia="zh-CN"/>
        </w:rPr>
        <w:t>个工作日内，</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以书面形式向采购人、采购代理机构提出质疑。</w:t>
      </w:r>
    </w:p>
    <w:p w14:paraId="7765EB50">
      <w:pPr>
        <w:spacing w:before="218" w:line="370" w:lineRule="auto"/>
        <w:ind w:left="5" w:right="11" w:firstLine="477"/>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 xml:space="preserve">2.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提出质疑应当提交质疑函和必要的证明材料。政府采购</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质疑函</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范本下载地址：</w:t>
      </w:r>
    </w:p>
    <w:p w14:paraId="2F73E12B">
      <w:pPr>
        <w:spacing w:before="34" w:line="214" w:lineRule="auto"/>
        <w:ind w:left="417"/>
        <w:rPr>
          <w:rFonts w:ascii="宋体" w:hAnsi="宋体" w:eastAsia="宋体" w:cs="宋体"/>
          <w:color w:val="auto"/>
          <w:sz w:val="24"/>
          <w:szCs w:val="24"/>
          <w:highlight w:val="none"/>
        </w:rPr>
      </w:pPr>
      <w:r>
        <w:rPr>
          <w:highlight w:val="none"/>
        </w:rPr>
        <w:fldChar w:fldCharType="begin"/>
      </w:r>
      <w:r>
        <w:rPr>
          <w:highlight w:val="none"/>
        </w:rPr>
        <w:instrText xml:space="preserve"> HYPERLINK "http://download.ccgp.gov.cn/2018/zhiyihanfanben.zip；" </w:instrText>
      </w:r>
      <w:r>
        <w:rPr>
          <w:highlight w:val="none"/>
        </w:rPr>
        <w:fldChar w:fldCharType="separate"/>
      </w:r>
      <w:r>
        <w:rPr>
          <w:rFonts w:ascii="宋体" w:hAnsi="宋体" w:eastAsia="宋体" w:cs="宋体"/>
          <w:color w:val="auto"/>
          <w:sz w:val="24"/>
          <w:szCs w:val="24"/>
          <w:highlight w:val="none"/>
          <w:u w:val="single"/>
        </w:rPr>
        <w:t>http://download.ccgp.gov.cn/2018/zhiyihanfan</w:t>
      </w:r>
      <w:r>
        <w:rPr>
          <w:rFonts w:ascii="宋体" w:hAnsi="宋体" w:eastAsia="宋体" w:cs="宋体"/>
          <w:color w:val="auto"/>
          <w:spacing w:val="-1"/>
          <w:sz w:val="24"/>
          <w:szCs w:val="24"/>
          <w:highlight w:val="none"/>
          <w:u w:val="single"/>
        </w:rPr>
        <w:t>ben.zip；</w:t>
      </w:r>
      <w:r>
        <w:rPr>
          <w:rFonts w:ascii="宋体" w:hAnsi="宋体" w:eastAsia="宋体" w:cs="宋体"/>
          <w:color w:val="auto"/>
          <w:spacing w:val="-1"/>
          <w:sz w:val="24"/>
          <w:szCs w:val="24"/>
          <w:highlight w:val="none"/>
          <w:u w:val="single"/>
        </w:rPr>
        <w:fldChar w:fldCharType="end"/>
      </w:r>
    </w:p>
    <w:p w14:paraId="34B84483">
      <w:pPr>
        <w:spacing w:before="223" w:line="329" w:lineRule="auto"/>
        <w:ind w:right="11" w:firstLine="497"/>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 采购人、采购代理机构不得拒收质疑</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z w:val="24"/>
          <w:szCs w:val="24"/>
          <w:highlight w:val="none"/>
          <w:lang w:eastAsia="zh-CN"/>
        </w:rPr>
        <w:t xml:space="preserve">在法定质疑期内发出的质疑函， </w:t>
      </w:r>
      <w:r>
        <w:rPr>
          <w:rFonts w:ascii="宋体" w:hAnsi="宋体" w:eastAsia="宋体" w:cs="宋体"/>
          <w:color w:val="auto"/>
          <w:spacing w:val="-3"/>
          <w:sz w:val="24"/>
          <w:szCs w:val="24"/>
          <w:highlight w:val="none"/>
          <w:lang w:eastAsia="zh-CN"/>
        </w:rPr>
        <w:t>应当在收到质疑函后</w:t>
      </w:r>
      <w:r>
        <w:rPr>
          <w:rFonts w:ascii="宋体" w:hAnsi="宋体" w:eastAsia="宋体" w:cs="宋体"/>
          <w:color w:val="auto"/>
          <w:spacing w:val="-39"/>
          <w:sz w:val="24"/>
          <w:szCs w:val="24"/>
          <w:highlight w:val="none"/>
          <w:lang w:eastAsia="zh-CN"/>
        </w:rPr>
        <w:t xml:space="preserve"> </w:t>
      </w:r>
      <w:r>
        <w:rPr>
          <w:rFonts w:ascii="宋体" w:hAnsi="宋体" w:eastAsia="宋体" w:cs="宋体"/>
          <w:color w:val="auto"/>
          <w:spacing w:val="-3"/>
          <w:sz w:val="24"/>
          <w:szCs w:val="24"/>
          <w:highlight w:val="none"/>
          <w:lang w:eastAsia="zh-CN"/>
        </w:rPr>
        <w:t>7</w:t>
      </w:r>
      <w:r>
        <w:rPr>
          <w:rFonts w:ascii="宋体" w:hAnsi="宋体" w:eastAsia="宋体" w:cs="宋体"/>
          <w:color w:val="auto"/>
          <w:spacing w:val="-50"/>
          <w:sz w:val="24"/>
          <w:szCs w:val="24"/>
          <w:highlight w:val="none"/>
          <w:lang w:eastAsia="zh-CN"/>
        </w:rPr>
        <w:t xml:space="preserve"> </w:t>
      </w:r>
      <w:r>
        <w:rPr>
          <w:rFonts w:ascii="宋体" w:hAnsi="宋体" w:eastAsia="宋体" w:cs="宋体"/>
          <w:color w:val="auto"/>
          <w:spacing w:val="-3"/>
          <w:sz w:val="24"/>
          <w:szCs w:val="24"/>
          <w:highlight w:val="none"/>
          <w:lang w:eastAsia="zh-CN"/>
        </w:rPr>
        <w:t>个工作日内作出答复，并以书面形式通知质疑</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和其他有</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关</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w:t>
      </w:r>
    </w:p>
    <w:p w14:paraId="7E99423E">
      <w:pPr>
        <w:spacing w:before="218" w:line="302" w:lineRule="auto"/>
        <w:ind w:left="2" w:right="8" w:firstLine="48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 xml:space="preserve">2.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提出质疑应当提交质疑函和必要的证明材料。质疑函应当包括下列内</w:t>
      </w:r>
      <w:r>
        <w:rPr>
          <w:rFonts w:ascii="宋体" w:hAnsi="宋体" w:eastAsia="宋体" w:cs="宋体"/>
          <w:color w:val="auto"/>
          <w:spacing w:val="3"/>
          <w:sz w:val="24"/>
          <w:szCs w:val="24"/>
          <w:highlight w:val="none"/>
          <w:lang w:eastAsia="zh-CN"/>
        </w:rPr>
        <w:t xml:space="preserve"> </w:t>
      </w:r>
      <w:r>
        <w:rPr>
          <w:rFonts w:ascii="宋体" w:hAnsi="宋体" w:eastAsia="宋体" w:cs="宋体"/>
          <w:color w:val="auto"/>
          <w:spacing w:val="-7"/>
          <w:sz w:val="24"/>
          <w:szCs w:val="24"/>
          <w:highlight w:val="none"/>
          <w:lang w:eastAsia="zh-CN"/>
        </w:rPr>
        <w:t>容：</w:t>
      </w:r>
    </w:p>
    <w:p w14:paraId="729B3103">
      <w:pPr>
        <w:spacing w:before="212" w:line="219" w:lineRule="auto"/>
        <w:ind w:left="42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 xml:space="preserve">2.1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的姓名或者名称、地址、邮编、联系人及联系电话；</w:t>
      </w:r>
    </w:p>
    <w:p w14:paraId="46290122">
      <w:pPr>
        <w:spacing w:before="218" w:line="219" w:lineRule="auto"/>
        <w:ind w:left="42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2.2 质疑项目的名称、编号；</w:t>
      </w:r>
    </w:p>
    <w:p w14:paraId="43E75084">
      <w:pPr>
        <w:spacing w:before="215" w:line="219" w:lineRule="auto"/>
        <w:ind w:left="42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2.3 具体、明确的质疑事项和与质疑事项相关的请求；</w:t>
      </w:r>
    </w:p>
    <w:p w14:paraId="61AD1558">
      <w:pPr>
        <w:spacing w:before="213" w:line="219" w:lineRule="auto"/>
        <w:ind w:left="42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2.4 事实依据；</w:t>
      </w:r>
    </w:p>
    <w:p w14:paraId="1B7C3EB3">
      <w:pPr>
        <w:spacing w:before="217" w:line="219" w:lineRule="auto"/>
        <w:ind w:left="42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2.5 必要的法律依据；</w:t>
      </w:r>
    </w:p>
    <w:p w14:paraId="1E19C1F2">
      <w:pPr>
        <w:spacing w:before="215" w:line="220" w:lineRule="auto"/>
        <w:ind w:left="42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2.6 提出质疑的日期；</w:t>
      </w:r>
    </w:p>
    <w:p w14:paraId="6ED8E0DE">
      <w:pPr>
        <w:spacing w:before="214" w:line="219" w:lineRule="auto"/>
        <w:ind w:left="42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2.7 获取招标文件的凭证；</w:t>
      </w:r>
    </w:p>
    <w:p w14:paraId="7BD99154">
      <w:pPr>
        <w:spacing w:before="216" w:line="219" w:lineRule="auto"/>
        <w:ind w:left="42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2.8 如有委托人需提供授权委托人与公司的劳动关系证明；</w:t>
      </w:r>
    </w:p>
    <w:p w14:paraId="298C3CEC">
      <w:pPr>
        <w:spacing w:before="214" w:line="219" w:lineRule="auto"/>
        <w:ind w:left="422"/>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2.9</w:t>
      </w:r>
      <w:r>
        <w:rPr>
          <w:rFonts w:ascii="宋体" w:hAnsi="宋体" w:eastAsia="宋体" w:cs="宋体"/>
          <w:color w:val="auto"/>
          <w:spacing w:val="42"/>
          <w:sz w:val="24"/>
          <w:szCs w:val="24"/>
          <w:highlight w:val="none"/>
          <w:lang w:eastAsia="zh-CN"/>
        </w:rPr>
        <w:t xml:space="preserve"> </w:t>
      </w:r>
      <w:r>
        <w:rPr>
          <w:rFonts w:ascii="宋体" w:hAnsi="宋体" w:eastAsia="宋体" w:cs="宋体"/>
          <w:color w:val="auto"/>
          <w:spacing w:val="-2"/>
          <w:sz w:val="24"/>
          <w:szCs w:val="24"/>
          <w:highlight w:val="none"/>
          <w:lang w:eastAsia="zh-CN"/>
        </w:rPr>
        <w:t>以上资料一式二份（采购人、采购代理机构各执一份）。</w:t>
      </w:r>
    </w:p>
    <w:p w14:paraId="7AA1CD8E">
      <w:pPr>
        <w:spacing w:before="215" w:line="219" w:lineRule="auto"/>
        <w:ind w:left="484"/>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3.0</w:t>
      </w:r>
      <w:r>
        <w:rPr>
          <w:rFonts w:ascii="宋体" w:hAnsi="宋体" w:eastAsia="宋体" w:cs="宋体"/>
          <w:color w:val="auto"/>
          <w:spacing w:val="-43"/>
          <w:sz w:val="24"/>
          <w:szCs w:val="24"/>
          <w:highlight w:val="none"/>
          <w:lang w:eastAsia="zh-CN"/>
        </w:rPr>
        <w:t xml:space="preserve"> </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不得虚假质疑和恶意质疑，并对质疑内容的真实性承担责任。</w:t>
      </w:r>
    </w:p>
    <w:p w14:paraId="02F1E3B3">
      <w:pPr>
        <w:spacing w:before="181" w:line="221" w:lineRule="auto"/>
        <w:ind w:left="6"/>
        <w:outlineLvl w:val="1"/>
        <w:rPr>
          <w:rFonts w:ascii="宋体" w:hAnsi="宋体" w:eastAsia="宋体" w:cs="宋体"/>
          <w:color w:val="auto"/>
          <w:sz w:val="28"/>
          <w:szCs w:val="28"/>
          <w:highlight w:val="none"/>
          <w:lang w:eastAsia="zh-CN"/>
        </w:rPr>
      </w:pPr>
      <w:bookmarkStart w:id="106" w:name="_Toc12527"/>
      <w:r>
        <w:rPr>
          <w:rFonts w:ascii="宋体" w:hAnsi="宋体" w:eastAsia="宋体" w:cs="宋体"/>
          <w:b/>
          <w:bCs/>
          <w:color w:val="auto"/>
          <w:spacing w:val="-4"/>
          <w:sz w:val="28"/>
          <w:szCs w:val="28"/>
          <w:highlight w:val="none"/>
          <w:lang w:eastAsia="zh-CN"/>
        </w:rPr>
        <w:t>二、投诉与处理</w:t>
      </w:r>
      <w:bookmarkEnd w:id="106"/>
    </w:p>
    <w:p w14:paraId="4CCBF459">
      <w:pPr>
        <w:spacing w:before="201" w:line="370" w:lineRule="auto"/>
        <w:ind w:left="2" w:right="11" w:firstLine="494"/>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1.质疑</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对采购人、采购代理机构的答复不满意，或者采购人、采购代理机</w:t>
      </w:r>
      <w:r>
        <w:rPr>
          <w:rFonts w:ascii="宋体" w:hAnsi="宋体" w:eastAsia="宋体" w:cs="宋体"/>
          <w:color w:val="auto"/>
          <w:spacing w:val="10"/>
          <w:sz w:val="24"/>
          <w:szCs w:val="24"/>
          <w:highlight w:val="none"/>
          <w:lang w:eastAsia="zh-CN"/>
        </w:rPr>
        <w:t xml:space="preserve"> </w:t>
      </w:r>
      <w:r>
        <w:rPr>
          <w:rFonts w:ascii="宋体" w:hAnsi="宋体" w:eastAsia="宋体" w:cs="宋体"/>
          <w:color w:val="auto"/>
          <w:sz w:val="24"/>
          <w:szCs w:val="24"/>
          <w:highlight w:val="none"/>
          <w:lang w:eastAsia="zh-CN"/>
        </w:rPr>
        <w:t>构未在规定时间内作出答复的，可以在答复期满后</w:t>
      </w:r>
      <w:r>
        <w:rPr>
          <w:rFonts w:ascii="宋体" w:hAnsi="宋体" w:eastAsia="宋体" w:cs="宋体"/>
          <w:color w:val="auto"/>
          <w:spacing w:val="-33"/>
          <w:sz w:val="24"/>
          <w:szCs w:val="24"/>
          <w:highlight w:val="none"/>
          <w:lang w:eastAsia="zh-CN"/>
        </w:rPr>
        <w:t xml:space="preserve"> </w:t>
      </w:r>
      <w:r>
        <w:rPr>
          <w:rFonts w:ascii="宋体" w:hAnsi="宋体" w:eastAsia="宋体" w:cs="宋体"/>
          <w:color w:val="auto"/>
          <w:sz w:val="24"/>
          <w:szCs w:val="24"/>
          <w:highlight w:val="none"/>
          <w:lang w:eastAsia="zh-CN"/>
        </w:rPr>
        <w:t>15</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z w:val="24"/>
          <w:szCs w:val="24"/>
          <w:highlight w:val="none"/>
          <w:lang w:eastAsia="zh-CN"/>
        </w:rPr>
        <w:t>个工作日内向本办法第六</w:t>
      </w:r>
      <w:r>
        <w:rPr>
          <w:rFonts w:ascii="宋体" w:hAnsi="宋体" w:eastAsia="宋体" w:cs="宋体"/>
          <w:color w:val="auto"/>
          <w:spacing w:val="-1"/>
          <w:sz w:val="24"/>
          <w:szCs w:val="24"/>
          <w:highlight w:val="none"/>
          <w:lang w:eastAsia="zh-CN"/>
        </w:rPr>
        <w:t>条规</w:t>
      </w:r>
    </w:p>
    <w:p w14:paraId="3FDB5AFF">
      <w:pPr>
        <w:spacing w:line="370" w:lineRule="auto"/>
        <w:rPr>
          <w:rFonts w:ascii="宋体" w:hAnsi="宋体" w:eastAsia="宋体" w:cs="宋体"/>
          <w:color w:val="auto"/>
          <w:sz w:val="24"/>
          <w:szCs w:val="24"/>
          <w:highlight w:val="none"/>
          <w:lang w:eastAsia="zh-CN"/>
        </w:rPr>
        <w:sectPr>
          <w:footerReference r:id="rId19" w:type="default"/>
          <w:pgSz w:w="11907" w:h="16840"/>
          <w:pgMar w:top="1431" w:right="1508" w:bottom="1139" w:left="1586" w:header="0" w:footer="977" w:gutter="0"/>
          <w:cols w:space="720" w:num="1"/>
        </w:sectPr>
      </w:pPr>
    </w:p>
    <w:p w14:paraId="5B5CE58A">
      <w:pPr>
        <w:spacing w:before="204" w:line="219" w:lineRule="auto"/>
        <w:ind w:left="7"/>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定的财政部门提起投诉。</w:t>
      </w:r>
    </w:p>
    <w:p w14:paraId="704B2EED">
      <w:pPr>
        <w:spacing w:before="215" w:line="376" w:lineRule="auto"/>
        <w:ind w:right="80" w:firstLine="483"/>
        <w:jc w:val="both"/>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2.质疑</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对采购人、采购代理机构的答复不满意，</w:t>
      </w:r>
      <w:r>
        <w:rPr>
          <w:rFonts w:ascii="宋体" w:hAnsi="宋体" w:eastAsia="宋体" w:cs="宋体"/>
          <w:color w:val="auto"/>
          <w:spacing w:val="-3"/>
          <w:sz w:val="24"/>
          <w:szCs w:val="24"/>
          <w:highlight w:val="none"/>
          <w:lang w:eastAsia="zh-CN"/>
        </w:rPr>
        <w:t>或者采购人、采购代理机</w:t>
      </w:r>
      <w:r>
        <w:rPr>
          <w:rFonts w:ascii="宋体" w:hAnsi="宋体" w:eastAsia="宋体" w:cs="宋体"/>
          <w:color w:val="auto"/>
          <w:sz w:val="24"/>
          <w:szCs w:val="24"/>
          <w:highlight w:val="none"/>
          <w:lang w:eastAsia="zh-CN"/>
        </w:rPr>
        <w:t xml:space="preserve"> 构未在规定时间内作出答复的，可以在答复期满后</w:t>
      </w:r>
      <w:r>
        <w:rPr>
          <w:rFonts w:ascii="宋体" w:hAnsi="宋体" w:eastAsia="宋体" w:cs="宋体"/>
          <w:color w:val="auto"/>
          <w:spacing w:val="-31"/>
          <w:sz w:val="24"/>
          <w:szCs w:val="24"/>
          <w:highlight w:val="none"/>
          <w:lang w:eastAsia="zh-CN"/>
        </w:rPr>
        <w:t xml:space="preserve"> </w:t>
      </w:r>
      <w:r>
        <w:rPr>
          <w:rFonts w:ascii="宋体" w:hAnsi="宋体" w:eastAsia="宋体" w:cs="宋体"/>
          <w:color w:val="auto"/>
          <w:sz w:val="24"/>
          <w:szCs w:val="24"/>
          <w:highlight w:val="none"/>
          <w:lang w:eastAsia="zh-CN"/>
        </w:rPr>
        <w:t>15</w:t>
      </w:r>
      <w:r>
        <w:rPr>
          <w:rFonts w:ascii="宋体" w:hAnsi="宋体" w:eastAsia="宋体" w:cs="宋体"/>
          <w:color w:val="auto"/>
          <w:spacing w:val="-49"/>
          <w:sz w:val="24"/>
          <w:szCs w:val="24"/>
          <w:highlight w:val="none"/>
          <w:lang w:eastAsia="zh-CN"/>
        </w:rPr>
        <w:t xml:space="preserve"> </w:t>
      </w:r>
      <w:r>
        <w:rPr>
          <w:rFonts w:ascii="宋体" w:hAnsi="宋体" w:eastAsia="宋体" w:cs="宋体"/>
          <w:color w:val="auto"/>
          <w:sz w:val="24"/>
          <w:szCs w:val="24"/>
          <w:highlight w:val="none"/>
          <w:lang w:eastAsia="zh-CN"/>
        </w:rPr>
        <w:t xml:space="preserve">个工作日内向财政部门提起投 </w:t>
      </w:r>
      <w:r>
        <w:rPr>
          <w:rFonts w:ascii="宋体" w:hAnsi="宋体" w:eastAsia="宋体" w:cs="宋体"/>
          <w:color w:val="auto"/>
          <w:spacing w:val="-5"/>
          <w:sz w:val="24"/>
          <w:szCs w:val="24"/>
          <w:highlight w:val="none"/>
          <w:lang w:eastAsia="zh-CN"/>
        </w:rPr>
        <w:t>诉。</w:t>
      </w:r>
    </w:p>
    <w:p w14:paraId="0F7197D8">
      <w:pPr>
        <w:spacing w:before="31" w:line="376" w:lineRule="auto"/>
        <w:ind w:firstLine="486"/>
        <w:jc w:val="both"/>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 xml:space="preserve">3.投诉人投诉时,应当提交投诉书和必要的证明材料，并按照被投诉采购人、采 </w:t>
      </w:r>
      <w:r>
        <w:rPr>
          <w:rFonts w:ascii="宋体" w:hAnsi="宋体" w:eastAsia="宋体" w:cs="宋体"/>
          <w:color w:val="auto"/>
          <w:spacing w:val="-6"/>
          <w:sz w:val="24"/>
          <w:szCs w:val="24"/>
          <w:highlight w:val="none"/>
          <w:lang w:eastAsia="zh-CN"/>
        </w:rPr>
        <w:t>购代理机构（以下简称被投诉人）和与投诉事项有关的</w:t>
      </w:r>
      <w:r>
        <w:rPr>
          <w:rFonts w:hint="eastAsia" w:ascii="宋体" w:hAnsi="宋体" w:eastAsia="宋体" w:cs="宋体"/>
          <w:color w:val="auto"/>
          <w:spacing w:val="-6"/>
          <w:sz w:val="24"/>
          <w:szCs w:val="24"/>
          <w:highlight w:val="none"/>
          <w:lang w:eastAsia="zh-CN"/>
        </w:rPr>
        <w:t>投标人</w:t>
      </w:r>
      <w:r>
        <w:rPr>
          <w:rFonts w:ascii="宋体" w:hAnsi="宋体" w:eastAsia="宋体" w:cs="宋体"/>
          <w:color w:val="auto"/>
          <w:spacing w:val="-6"/>
          <w:sz w:val="24"/>
          <w:szCs w:val="24"/>
          <w:highlight w:val="none"/>
          <w:lang w:eastAsia="zh-CN"/>
        </w:rPr>
        <w:t>数</w:t>
      </w:r>
      <w:r>
        <w:rPr>
          <w:rFonts w:ascii="宋体" w:hAnsi="宋体" w:eastAsia="宋体" w:cs="宋体"/>
          <w:color w:val="auto"/>
          <w:spacing w:val="-7"/>
          <w:sz w:val="24"/>
          <w:szCs w:val="24"/>
          <w:highlight w:val="none"/>
          <w:lang w:eastAsia="zh-CN"/>
        </w:rPr>
        <w:t>量提供投诉书的副本。</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政府采购</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投诉书范本下载地址：</w:t>
      </w:r>
    </w:p>
    <w:p w14:paraId="078FCE2D">
      <w:pPr>
        <w:spacing w:before="33" w:line="214" w:lineRule="auto"/>
        <w:ind w:left="637"/>
        <w:rPr>
          <w:rFonts w:ascii="宋体" w:hAnsi="宋体" w:eastAsia="宋体" w:cs="宋体"/>
          <w:color w:val="auto"/>
          <w:sz w:val="24"/>
          <w:szCs w:val="24"/>
          <w:highlight w:val="none"/>
          <w:lang w:eastAsia="zh-CN"/>
        </w:rPr>
      </w:pPr>
      <w:r>
        <w:rPr>
          <w:highlight w:val="none"/>
        </w:rPr>
        <w:fldChar w:fldCharType="begin"/>
      </w:r>
      <w:r>
        <w:rPr>
          <w:highlight w:val="none"/>
        </w:rPr>
        <w:instrText xml:space="preserve"> HYPERLINK "http://download.ccgp.gov.cn/2018/tousushufanben.zip" </w:instrText>
      </w:r>
      <w:r>
        <w:rPr>
          <w:highlight w:val="none"/>
        </w:rPr>
        <w:fldChar w:fldCharType="separate"/>
      </w:r>
      <w:r>
        <w:rPr>
          <w:rFonts w:ascii="宋体" w:hAnsi="宋体" w:eastAsia="宋体" w:cs="宋体"/>
          <w:color w:val="auto"/>
          <w:sz w:val="24"/>
          <w:szCs w:val="24"/>
          <w:highlight w:val="none"/>
          <w:u w:val="single"/>
          <w:lang w:eastAsia="zh-CN"/>
        </w:rPr>
        <w:t>http://download.ccgp.gov.cn/2018/tousushufa</w:t>
      </w:r>
      <w:r>
        <w:rPr>
          <w:rFonts w:ascii="宋体" w:hAnsi="宋体" w:eastAsia="宋体" w:cs="宋体"/>
          <w:color w:val="auto"/>
          <w:spacing w:val="-1"/>
          <w:sz w:val="24"/>
          <w:szCs w:val="24"/>
          <w:highlight w:val="none"/>
          <w:u w:val="single"/>
          <w:lang w:eastAsia="zh-CN"/>
        </w:rPr>
        <w:t>nben.zip</w:t>
      </w:r>
      <w:r>
        <w:rPr>
          <w:rFonts w:ascii="宋体" w:hAnsi="宋体" w:eastAsia="宋体" w:cs="宋体"/>
          <w:color w:val="auto"/>
          <w:spacing w:val="-1"/>
          <w:sz w:val="24"/>
          <w:szCs w:val="24"/>
          <w:highlight w:val="none"/>
          <w:u w:val="single"/>
          <w:lang w:eastAsia="zh-CN"/>
        </w:rPr>
        <w:fldChar w:fldCharType="end"/>
      </w:r>
    </w:p>
    <w:p w14:paraId="65E435F2">
      <w:pPr>
        <w:spacing w:before="222" w:line="219" w:lineRule="auto"/>
        <w:jc w:val="right"/>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4.财政部门自收到投诉之日起</w:t>
      </w:r>
      <w:r>
        <w:rPr>
          <w:rFonts w:ascii="宋体" w:hAnsi="宋体" w:eastAsia="宋体" w:cs="宋体"/>
          <w:color w:val="auto"/>
          <w:spacing w:val="-41"/>
          <w:sz w:val="24"/>
          <w:szCs w:val="24"/>
          <w:highlight w:val="none"/>
          <w:lang w:eastAsia="zh-CN"/>
        </w:rPr>
        <w:t xml:space="preserve"> </w:t>
      </w:r>
      <w:r>
        <w:rPr>
          <w:rFonts w:ascii="宋体" w:hAnsi="宋体" w:eastAsia="宋体" w:cs="宋体"/>
          <w:color w:val="auto"/>
          <w:spacing w:val="-4"/>
          <w:sz w:val="24"/>
          <w:szCs w:val="24"/>
          <w:highlight w:val="none"/>
          <w:lang w:eastAsia="zh-CN"/>
        </w:rPr>
        <w:t>30</w:t>
      </w:r>
      <w:r>
        <w:rPr>
          <w:rFonts w:ascii="宋体" w:hAnsi="宋体" w:eastAsia="宋体" w:cs="宋体"/>
          <w:color w:val="auto"/>
          <w:spacing w:val="-50"/>
          <w:sz w:val="24"/>
          <w:szCs w:val="24"/>
          <w:highlight w:val="none"/>
          <w:lang w:eastAsia="zh-CN"/>
        </w:rPr>
        <w:t xml:space="preserve"> </w:t>
      </w:r>
      <w:r>
        <w:rPr>
          <w:rFonts w:ascii="宋体" w:hAnsi="宋体" w:eastAsia="宋体" w:cs="宋体"/>
          <w:color w:val="auto"/>
          <w:spacing w:val="-4"/>
          <w:sz w:val="24"/>
          <w:szCs w:val="24"/>
          <w:highlight w:val="none"/>
          <w:lang w:eastAsia="zh-CN"/>
        </w:rPr>
        <w:t>个工作日内，对投诉事项作出处理决定并公示。</w:t>
      </w:r>
    </w:p>
    <w:p w14:paraId="595DCBF1">
      <w:pPr>
        <w:spacing w:before="217" w:line="371" w:lineRule="auto"/>
        <w:ind w:left="4" w:right="80" w:firstLine="480"/>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投诉人在全国范围</w:t>
      </w:r>
      <w:r>
        <w:rPr>
          <w:rFonts w:ascii="宋体" w:hAnsi="宋体" w:eastAsia="宋体" w:cs="宋体"/>
          <w:color w:val="auto"/>
          <w:spacing w:val="-33"/>
          <w:sz w:val="24"/>
          <w:szCs w:val="24"/>
          <w:highlight w:val="none"/>
          <w:lang w:eastAsia="zh-CN"/>
        </w:rPr>
        <w:t xml:space="preserve"> </w:t>
      </w:r>
      <w:r>
        <w:rPr>
          <w:rFonts w:ascii="宋体" w:hAnsi="宋体" w:eastAsia="宋体" w:cs="宋体"/>
          <w:color w:val="auto"/>
          <w:sz w:val="24"/>
          <w:szCs w:val="24"/>
          <w:highlight w:val="none"/>
          <w:lang w:eastAsia="zh-CN"/>
        </w:rPr>
        <w:t>12</w:t>
      </w:r>
      <w:r>
        <w:rPr>
          <w:rFonts w:ascii="宋体" w:hAnsi="宋体" w:eastAsia="宋体" w:cs="宋体"/>
          <w:color w:val="auto"/>
          <w:spacing w:val="-50"/>
          <w:sz w:val="24"/>
          <w:szCs w:val="24"/>
          <w:highlight w:val="none"/>
          <w:lang w:eastAsia="zh-CN"/>
        </w:rPr>
        <w:t xml:space="preserve"> </w:t>
      </w:r>
      <w:r>
        <w:rPr>
          <w:rFonts w:ascii="宋体" w:hAnsi="宋体" w:eastAsia="宋体" w:cs="宋体"/>
          <w:color w:val="auto"/>
          <w:sz w:val="24"/>
          <w:szCs w:val="24"/>
          <w:highlight w:val="none"/>
          <w:lang w:eastAsia="zh-CN"/>
        </w:rPr>
        <w:t xml:space="preserve">个月内三次以上投诉查无实据的，由财政部门列入不良行 </w:t>
      </w:r>
      <w:r>
        <w:rPr>
          <w:rFonts w:ascii="宋体" w:hAnsi="宋体" w:eastAsia="宋体" w:cs="宋体"/>
          <w:color w:val="auto"/>
          <w:spacing w:val="-3"/>
          <w:sz w:val="24"/>
          <w:szCs w:val="24"/>
          <w:highlight w:val="none"/>
          <w:lang w:eastAsia="zh-CN"/>
        </w:rPr>
        <w:t>为记录名单。</w:t>
      </w:r>
    </w:p>
    <w:p w14:paraId="151B320E">
      <w:pPr>
        <w:spacing w:before="34" w:line="372" w:lineRule="auto"/>
        <w:ind w:left="6" w:right="80" w:firstLine="478"/>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投诉人有财政部</w:t>
      </w:r>
      <w:r>
        <w:rPr>
          <w:rFonts w:ascii="宋体" w:hAnsi="宋体" w:eastAsia="宋体" w:cs="宋体"/>
          <w:color w:val="auto"/>
          <w:spacing w:val="-41"/>
          <w:sz w:val="24"/>
          <w:szCs w:val="24"/>
          <w:highlight w:val="none"/>
          <w:lang w:eastAsia="zh-CN"/>
        </w:rPr>
        <w:t xml:space="preserve"> </w:t>
      </w:r>
      <w:r>
        <w:rPr>
          <w:rFonts w:ascii="宋体" w:hAnsi="宋体" w:eastAsia="宋体" w:cs="宋体"/>
          <w:color w:val="auto"/>
          <w:sz w:val="24"/>
          <w:szCs w:val="24"/>
          <w:highlight w:val="none"/>
          <w:lang w:eastAsia="zh-CN"/>
        </w:rPr>
        <w:t>94</w:t>
      </w:r>
      <w:r>
        <w:rPr>
          <w:rFonts w:ascii="宋体" w:hAnsi="宋体" w:eastAsia="宋体" w:cs="宋体"/>
          <w:color w:val="auto"/>
          <w:spacing w:val="-42"/>
          <w:sz w:val="24"/>
          <w:szCs w:val="24"/>
          <w:highlight w:val="none"/>
          <w:lang w:eastAsia="zh-CN"/>
        </w:rPr>
        <w:t xml:space="preserve"> </w:t>
      </w:r>
      <w:r>
        <w:rPr>
          <w:rFonts w:ascii="宋体" w:hAnsi="宋体" w:eastAsia="宋体" w:cs="宋体"/>
          <w:color w:val="auto"/>
          <w:sz w:val="24"/>
          <w:szCs w:val="24"/>
          <w:highlight w:val="none"/>
          <w:lang w:eastAsia="zh-CN"/>
        </w:rPr>
        <w:t xml:space="preserve">号令第三十七条情形的，属于虚假、恶意投诉，由财政部门 </w:t>
      </w:r>
      <w:r>
        <w:rPr>
          <w:rFonts w:ascii="宋体" w:hAnsi="宋体" w:eastAsia="宋体" w:cs="宋体"/>
          <w:color w:val="auto"/>
          <w:spacing w:val="-3"/>
          <w:sz w:val="24"/>
          <w:szCs w:val="24"/>
          <w:highlight w:val="none"/>
          <w:lang w:eastAsia="zh-CN"/>
        </w:rPr>
        <w:t>列入不良行为记录名单，禁止其</w:t>
      </w:r>
      <w:r>
        <w:rPr>
          <w:rFonts w:ascii="宋体" w:hAnsi="宋体" w:eastAsia="宋体" w:cs="宋体"/>
          <w:color w:val="auto"/>
          <w:spacing w:val="-27"/>
          <w:sz w:val="24"/>
          <w:szCs w:val="24"/>
          <w:highlight w:val="none"/>
          <w:lang w:eastAsia="zh-CN"/>
        </w:rPr>
        <w:t xml:space="preserve"> </w:t>
      </w:r>
      <w:r>
        <w:rPr>
          <w:rFonts w:ascii="宋体" w:hAnsi="宋体" w:eastAsia="宋体" w:cs="宋体"/>
          <w:color w:val="auto"/>
          <w:spacing w:val="-3"/>
          <w:sz w:val="24"/>
          <w:szCs w:val="24"/>
          <w:highlight w:val="none"/>
          <w:lang w:eastAsia="zh-CN"/>
        </w:rPr>
        <w:t>1</w:t>
      </w:r>
      <w:r>
        <w:rPr>
          <w:rFonts w:ascii="宋体" w:hAnsi="宋体" w:eastAsia="宋体" w:cs="宋体"/>
          <w:color w:val="auto"/>
          <w:spacing w:val="-49"/>
          <w:sz w:val="24"/>
          <w:szCs w:val="24"/>
          <w:highlight w:val="none"/>
          <w:lang w:eastAsia="zh-CN"/>
        </w:rPr>
        <w:t xml:space="preserve"> </w:t>
      </w:r>
      <w:r>
        <w:rPr>
          <w:rFonts w:ascii="宋体" w:hAnsi="宋体" w:eastAsia="宋体" w:cs="宋体"/>
          <w:color w:val="auto"/>
          <w:spacing w:val="-3"/>
          <w:sz w:val="24"/>
          <w:szCs w:val="24"/>
          <w:highlight w:val="none"/>
          <w:lang w:eastAsia="zh-CN"/>
        </w:rPr>
        <w:t>至</w:t>
      </w:r>
      <w:r>
        <w:rPr>
          <w:rFonts w:ascii="宋体" w:hAnsi="宋体" w:eastAsia="宋体" w:cs="宋体"/>
          <w:color w:val="auto"/>
          <w:spacing w:val="-46"/>
          <w:sz w:val="24"/>
          <w:szCs w:val="24"/>
          <w:highlight w:val="none"/>
          <w:lang w:eastAsia="zh-CN"/>
        </w:rPr>
        <w:t xml:space="preserve"> </w:t>
      </w:r>
      <w:r>
        <w:rPr>
          <w:rFonts w:ascii="宋体" w:hAnsi="宋体" w:eastAsia="宋体" w:cs="宋体"/>
          <w:color w:val="auto"/>
          <w:spacing w:val="-3"/>
          <w:sz w:val="24"/>
          <w:szCs w:val="24"/>
          <w:highlight w:val="none"/>
          <w:lang w:eastAsia="zh-CN"/>
        </w:rPr>
        <w:t>3</w:t>
      </w:r>
      <w:r>
        <w:rPr>
          <w:rFonts w:ascii="宋体" w:hAnsi="宋体" w:eastAsia="宋体" w:cs="宋体"/>
          <w:color w:val="auto"/>
          <w:spacing w:val="-50"/>
          <w:sz w:val="24"/>
          <w:szCs w:val="24"/>
          <w:highlight w:val="none"/>
          <w:lang w:eastAsia="zh-CN"/>
        </w:rPr>
        <w:t xml:space="preserve"> </w:t>
      </w:r>
      <w:r>
        <w:rPr>
          <w:rFonts w:ascii="宋体" w:hAnsi="宋体" w:eastAsia="宋体" w:cs="宋体"/>
          <w:color w:val="auto"/>
          <w:spacing w:val="-3"/>
          <w:sz w:val="24"/>
          <w:szCs w:val="24"/>
          <w:highlight w:val="none"/>
          <w:lang w:eastAsia="zh-CN"/>
        </w:rPr>
        <w:t>年内参加政府采购活动。</w:t>
      </w:r>
    </w:p>
    <w:p w14:paraId="010F9318">
      <w:pPr>
        <w:pStyle w:val="5"/>
        <w:spacing w:line="451" w:lineRule="auto"/>
        <w:rPr>
          <w:color w:val="auto"/>
          <w:highlight w:val="none"/>
          <w:lang w:eastAsia="zh-CN"/>
        </w:rPr>
      </w:pPr>
    </w:p>
    <w:p w14:paraId="33A798DF">
      <w:pPr>
        <w:spacing w:before="78" w:line="220" w:lineRule="auto"/>
        <w:ind w:left="4"/>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投诉联系电话：0391-8683273</w:t>
      </w:r>
    </w:p>
    <w:p w14:paraId="2987A5EB">
      <w:pPr>
        <w:spacing w:before="215" w:line="219" w:lineRule="auto"/>
        <w:ind w:left="1"/>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地址：博爱县机关综合办公楼主楼</w:t>
      </w:r>
      <w:r>
        <w:rPr>
          <w:rFonts w:ascii="宋体" w:hAnsi="宋体" w:eastAsia="宋体" w:cs="宋体"/>
          <w:color w:val="auto"/>
          <w:spacing w:val="-31"/>
          <w:sz w:val="24"/>
          <w:szCs w:val="24"/>
          <w:highlight w:val="none"/>
          <w:lang w:eastAsia="zh-CN"/>
        </w:rPr>
        <w:t xml:space="preserve"> </w:t>
      </w:r>
      <w:r>
        <w:rPr>
          <w:rFonts w:ascii="宋体" w:hAnsi="宋体" w:eastAsia="宋体" w:cs="宋体"/>
          <w:color w:val="auto"/>
          <w:spacing w:val="-2"/>
          <w:sz w:val="24"/>
          <w:szCs w:val="24"/>
          <w:highlight w:val="none"/>
          <w:lang w:eastAsia="zh-CN"/>
        </w:rPr>
        <w:t>1213</w:t>
      </w:r>
      <w:r>
        <w:rPr>
          <w:rFonts w:ascii="宋体" w:hAnsi="宋体" w:eastAsia="宋体" w:cs="宋体"/>
          <w:color w:val="auto"/>
          <w:spacing w:val="-47"/>
          <w:sz w:val="24"/>
          <w:szCs w:val="24"/>
          <w:highlight w:val="none"/>
          <w:lang w:eastAsia="zh-CN"/>
        </w:rPr>
        <w:t xml:space="preserve"> </w:t>
      </w:r>
      <w:r>
        <w:rPr>
          <w:rFonts w:ascii="宋体" w:hAnsi="宋体" w:eastAsia="宋体" w:cs="宋体"/>
          <w:color w:val="auto"/>
          <w:spacing w:val="-2"/>
          <w:sz w:val="24"/>
          <w:szCs w:val="24"/>
          <w:highlight w:val="none"/>
          <w:lang w:eastAsia="zh-CN"/>
        </w:rPr>
        <w:t>室</w:t>
      </w:r>
    </w:p>
    <w:p w14:paraId="375F4B7F">
      <w:pPr>
        <w:spacing w:line="219" w:lineRule="auto"/>
        <w:rPr>
          <w:rFonts w:ascii="宋体" w:hAnsi="宋体" w:eastAsia="宋体" w:cs="宋体"/>
          <w:color w:val="auto"/>
          <w:sz w:val="24"/>
          <w:szCs w:val="24"/>
          <w:highlight w:val="none"/>
          <w:lang w:eastAsia="zh-CN"/>
        </w:rPr>
        <w:sectPr>
          <w:footerReference r:id="rId20" w:type="default"/>
          <w:pgSz w:w="11907" w:h="16840"/>
          <w:pgMar w:top="1431" w:right="1439" w:bottom="1139" w:left="1584" w:header="0" w:footer="977" w:gutter="0"/>
          <w:cols w:space="720" w:num="1"/>
        </w:sectPr>
      </w:pPr>
    </w:p>
    <w:p w14:paraId="2583C3A6">
      <w:pPr>
        <w:spacing w:before="136" w:line="224" w:lineRule="auto"/>
        <w:ind w:left="3203"/>
        <w:outlineLvl w:val="0"/>
        <w:rPr>
          <w:rFonts w:ascii="宋体" w:hAnsi="宋体" w:eastAsia="宋体" w:cs="宋体"/>
          <w:color w:val="auto"/>
          <w:sz w:val="31"/>
          <w:szCs w:val="31"/>
          <w:highlight w:val="none"/>
          <w:lang w:eastAsia="zh-CN"/>
        </w:rPr>
      </w:pPr>
      <w:bookmarkStart w:id="107" w:name="bookmark15"/>
      <w:bookmarkEnd w:id="107"/>
      <w:bookmarkStart w:id="108" w:name="_Toc19009"/>
      <w:r>
        <w:rPr>
          <w:rFonts w:ascii="宋体" w:hAnsi="宋体" w:eastAsia="宋体" w:cs="宋体"/>
          <w:b/>
          <w:bCs/>
          <w:color w:val="auto"/>
          <w:spacing w:val="3"/>
          <w:sz w:val="31"/>
          <w:szCs w:val="31"/>
          <w:highlight w:val="none"/>
          <w:lang w:eastAsia="zh-CN"/>
        </w:rPr>
        <w:t>第七章</w:t>
      </w:r>
      <w:r>
        <w:rPr>
          <w:rFonts w:ascii="宋体" w:hAnsi="宋体" w:eastAsia="宋体" w:cs="宋体"/>
          <w:color w:val="auto"/>
          <w:spacing w:val="27"/>
          <w:sz w:val="31"/>
          <w:szCs w:val="31"/>
          <w:highlight w:val="none"/>
          <w:lang w:eastAsia="zh-CN"/>
        </w:rPr>
        <w:t xml:space="preserve"> </w:t>
      </w:r>
      <w:r>
        <w:rPr>
          <w:rFonts w:ascii="宋体" w:hAnsi="宋体" w:eastAsia="宋体" w:cs="宋体"/>
          <w:b/>
          <w:bCs/>
          <w:color w:val="auto"/>
          <w:spacing w:val="3"/>
          <w:sz w:val="31"/>
          <w:szCs w:val="31"/>
          <w:highlight w:val="none"/>
          <w:lang w:eastAsia="zh-CN"/>
        </w:rPr>
        <w:t>履约验收</w:t>
      </w:r>
      <w:bookmarkEnd w:id="108"/>
    </w:p>
    <w:p w14:paraId="29E5385D">
      <w:pPr>
        <w:pStyle w:val="5"/>
        <w:spacing w:line="439" w:lineRule="auto"/>
        <w:rPr>
          <w:color w:val="auto"/>
          <w:highlight w:val="none"/>
          <w:lang w:eastAsia="zh-CN"/>
        </w:rPr>
      </w:pPr>
    </w:p>
    <w:p w14:paraId="440FA213">
      <w:pPr>
        <w:spacing w:before="78" w:line="376" w:lineRule="auto"/>
        <w:ind w:left="3" w:right="80" w:firstLine="477"/>
        <w:jc w:val="both"/>
        <w:rPr>
          <w:rFonts w:ascii="宋体" w:hAnsi="宋体" w:eastAsia="宋体" w:cs="宋体"/>
          <w:color w:val="auto"/>
          <w:sz w:val="24"/>
          <w:szCs w:val="24"/>
          <w:highlight w:val="none"/>
          <w:lang w:eastAsia="zh-CN"/>
        </w:rPr>
      </w:pP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履约完成后，向采购人提出验收建议，采购人自收</w:t>
      </w:r>
      <w:r>
        <w:rPr>
          <w:rFonts w:ascii="宋体" w:hAnsi="宋体" w:eastAsia="宋体" w:cs="宋体"/>
          <w:color w:val="auto"/>
          <w:spacing w:val="-3"/>
          <w:sz w:val="24"/>
          <w:szCs w:val="24"/>
          <w:highlight w:val="none"/>
          <w:lang w:eastAsia="zh-CN"/>
        </w:rPr>
        <w:t>到验收建议之日起五个</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工作日内，采购人组织</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参与，共同完成验收。技术复杂、</w:t>
      </w:r>
      <w:r>
        <w:rPr>
          <w:rFonts w:ascii="宋体" w:hAnsi="宋体" w:eastAsia="宋体" w:cs="宋体"/>
          <w:color w:val="auto"/>
          <w:spacing w:val="-3"/>
          <w:sz w:val="24"/>
          <w:szCs w:val="24"/>
          <w:highlight w:val="none"/>
          <w:lang w:eastAsia="zh-CN"/>
        </w:rPr>
        <w:t>专业性强等项目可适</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当延长验收时间。验收流程如下：</w:t>
      </w:r>
    </w:p>
    <w:p w14:paraId="57A74D7F">
      <w:pPr>
        <w:spacing w:before="32" w:line="352" w:lineRule="auto"/>
        <w:ind w:right="77" w:firstLine="497"/>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 编制验收方案。明确验收时间、方式、程序等内</w:t>
      </w:r>
      <w:r>
        <w:rPr>
          <w:rFonts w:ascii="宋体" w:hAnsi="宋体" w:eastAsia="宋体" w:cs="宋体"/>
          <w:color w:val="auto"/>
          <w:sz w:val="24"/>
          <w:szCs w:val="24"/>
          <w:highlight w:val="none"/>
          <w:lang w:eastAsia="zh-CN"/>
        </w:rPr>
        <w:t xml:space="preserve">容。技术复杂、社会影响较 </w:t>
      </w:r>
      <w:r>
        <w:rPr>
          <w:rFonts w:ascii="宋体" w:hAnsi="宋体" w:eastAsia="宋体" w:cs="宋体"/>
          <w:color w:val="auto"/>
          <w:spacing w:val="-2"/>
          <w:sz w:val="24"/>
          <w:szCs w:val="24"/>
          <w:highlight w:val="none"/>
          <w:lang w:eastAsia="zh-CN"/>
        </w:rPr>
        <w:t>大的货物类项目，可以根据需要设置出厂检验、到货检验、安装调试检</w:t>
      </w:r>
      <w:r>
        <w:rPr>
          <w:rFonts w:ascii="宋体" w:hAnsi="宋体" w:eastAsia="宋体" w:cs="宋体"/>
          <w:color w:val="auto"/>
          <w:spacing w:val="-3"/>
          <w:sz w:val="24"/>
          <w:szCs w:val="24"/>
          <w:highlight w:val="none"/>
          <w:lang w:eastAsia="zh-CN"/>
        </w:rPr>
        <w:t>验、配套服务</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检验等多重验收环节；服务类项目、可根据项目特点对服务期内的服务</w:t>
      </w:r>
      <w:r>
        <w:rPr>
          <w:rFonts w:ascii="宋体" w:hAnsi="宋体" w:eastAsia="宋体" w:cs="宋体"/>
          <w:color w:val="auto"/>
          <w:spacing w:val="-3"/>
          <w:sz w:val="24"/>
          <w:szCs w:val="24"/>
          <w:highlight w:val="none"/>
          <w:lang w:eastAsia="zh-CN"/>
        </w:rPr>
        <w:t>实施情况分期</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考核，结合考核情况和服务效果进行验收；工程类项目按照行业部门规</w:t>
      </w:r>
      <w:r>
        <w:rPr>
          <w:rFonts w:ascii="宋体" w:hAnsi="宋体" w:eastAsia="宋体" w:cs="宋体"/>
          <w:color w:val="auto"/>
          <w:spacing w:val="-3"/>
          <w:sz w:val="24"/>
          <w:szCs w:val="24"/>
          <w:highlight w:val="none"/>
          <w:lang w:eastAsia="zh-CN"/>
        </w:rPr>
        <w:t>定的标准、方</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法和内容进行验收。</w:t>
      </w:r>
    </w:p>
    <w:p w14:paraId="39013967">
      <w:pPr>
        <w:spacing w:before="214" w:line="343" w:lineRule="auto"/>
        <w:ind w:left="2" w:right="77" w:firstLine="48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 完善验收方式。对于采购人和使用人分离的采购项目，应邀请使用人参与验</w:t>
      </w:r>
      <w:r>
        <w:rPr>
          <w:rFonts w:ascii="宋体" w:hAnsi="宋体" w:eastAsia="宋体" w:cs="宋体"/>
          <w:color w:val="auto"/>
          <w:spacing w:val="3"/>
          <w:sz w:val="24"/>
          <w:szCs w:val="24"/>
          <w:highlight w:val="none"/>
          <w:lang w:eastAsia="zh-CN"/>
        </w:rPr>
        <w:t xml:space="preserve"> </w:t>
      </w:r>
      <w:r>
        <w:rPr>
          <w:rFonts w:ascii="宋体" w:hAnsi="宋体" w:eastAsia="宋体" w:cs="宋体"/>
          <w:color w:val="auto"/>
          <w:spacing w:val="-2"/>
          <w:sz w:val="24"/>
          <w:szCs w:val="24"/>
          <w:highlight w:val="none"/>
          <w:lang w:eastAsia="zh-CN"/>
        </w:rPr>
        <w:t>收。采购人可邀请参与本项目的其他</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或第三方机构及专家参</w:t>
      </w:r>
      <w:r>
        <w:rPr>
          <w:rFonts w:ascii="宋体" w:hAnsi="宋体" w:eastAsia="宋体" w:cs="宋体"/>
          <w:color w:val="auto"/>
          <w:spacing w:val="-3"/>
          <w:sz w:val="24"/>
          <w:szCs w:val="24"/>
          <w:highlight w:val="none"/>
          <w:lang w:eastAsia="zh-CN"/>
        </w:rPr>
        <w:t>与验收。相关验收</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意见作为验收书的参考资料。政府向社会公众提供的公共服务项目</w:t>
      </w:r>
      <w:r>
        <w:rPr>
          <w:rFonts w:ascii="宋体" w:hAnsi="宋体" w:eastAsia="宋体" w:cs="宋体"/>
          <w:color w:val="auto"/>
          <w:spacing w:val="-3"/>
          <w:sz w:val="24"/>
          <w:szCs w:val="24"/>
          <w:highlight w:val="none"/>
          <w:lang w:eastAsia="zh-CN"/>
        </w:rPr>
        <w:t>，验收时应邀请服</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务对象参与并出具意见，验收结果应在焦作市政府采购网公示。</w:t>
      </w:r>
    </w:p>
    <w:p w14:paraId="16BAB782">
      <w:pPr>
        <w:spacing w:before="215" w:line="343" w:lineRule="auto"/>
        <w:ind w:firstLine="485"/>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3. 按照合同履约验收。验收时，应当按照采购合</w:t>
      </w:r>
      <w:r>
        <w:rPr>
          <w:rFonts w:ascii="宋体" w:hAnsi="宋体" w:eastAsia="宋体" w:cs="宋体"/>
          <w:color w:val="auto"/>
          <w:spacing w:val="-4"/>
          <w:sz w:val="24"/>
          <w:szCs w:val="24"/>
          <w:highlight w:val="none"/>
          <w:lang w:eastAsia="zh-CN"/>
        </w:rPr>
        <w:t>同的约定对每一项技术、服务、</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安全标准的履约情况进行确认。验收后，应当出具验收书，列明各项标</w:t>
      </w:r>
      <w:r>
        <w:rPr>
          <w:rFonts w:ascii="宋体" w:hAnsi="宋体" w:eastAsia="宋体" w:cs="宋体"/>
          <w:color w:val="auto"/>
          <w:spacing w:val="-3"/>
          <w:sz w:val="24"/>
          <w:szCs w:val="24"/>
          <w:highlight w:val="none"/>
          <w:lang w:eastAsia="zh-CN"/>
        </w:rPr>
        <w:t>准的验收情况</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及项目的总体评价，由验收双方共同签署。采购人将履约验收情况在焦</w:t>
      </w:r>
      <w:r>
        <w:rPr>
          <w:rFonts w:ascii="宋体" w:hAnsi="宋体" w:eastAsia="宋体" w:cs="宋体"/>
          <w:color w:val="auto"/>
          <w:spacing w:val="-3"/>
          <w:sz w:val="24"/>
          <w:szCs w:val="24"/>
          <w:highlight w:val="none"/>
          <w:lang w:eastAsia="zh-CN"/>
        </w:rPr>
        <w:t>作市政府采购</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网公示，履约验收各项资料采购人应当存档备查。</w:t>
      </w:r>
    </w:p>
    <w:p w14:paraId="6B26760D">
      <w:pPr>
        <w:spacing w:before="217" w:line="343" w:lineRule="auto"/>
        <w:ind w:left="2" w:right="77" w:firstLine="477"/>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4. 落实履约验收责任。验收合格的项目，采购人应当按照合同约定及时支付资</w:t>
      </w:r>
      <w:r>
        <w:rPr>
          <w:rFonts w:ascii="宋体" w:hAnsi="宋体" w:eastAsia="宋体" w:cs="宋体"/>
          <w:color w:val="auto"/>
          <w:spacing w:val="7"/>
          <w:sz w:val="24"/>
          <w:szCs w:val="24"/>
          <w:highlight w:val="none"/>
          <w:lang w:eastAsia="zh-CN"/>
        </w:rPr>
        <w:t xml:space="preserve"> </w:t>
      </w:r>
      <w:r>
        <w:rPr>
          <w:rFonts w:ascii="宋体" w:hAnsi="宋体" w:eastAsia="宋体" w:cs="宋体"/>
          <w:color w:val="auto"/>
          <w:spacing w:val="-2"/>
          <w:sz w:val="24"/>
          <w:szCs w:val="24"/>
          <w:highlight w:val="none"/>
          <w:lang w:eastAsia="zh-CN"/>
        </w:rPr>
        <w:t>金。验收不合格的项目，采购人应当依法及时处理。合同履行、违</w:t>
      </w:r>
      <w:r>
        <w:rPr>
          <w:rFonts w:ascii="宋体" w:hAnsi="宋体" w:eastAsia="宋体" w:cs="宋体"/>
          <w:color w:val="auto"/>
          <w:spacing w:val="-3"/>
          <w:sz w:val="24"/>
          <w:szCs w:val="24"/>
          <w:highlight w:val="none"/>
          <w:lang w:eastAsia="zh-CN"/>
        </w:rPr>
        <w:t>约责任和解决争议</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的方式使用《中华人民共和国民法典》。</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在履约过程中有政</w:t>
      </w:r>
      <w:r>
        <w:rPr>
          <w:rFonts w:ascii="宋体" w:hAnsi="宋体" w:eastAsia="宋体" w:cs="宋体"/>
          <w:color w:val="auto"/>
          <w:spacing w:val="-3"/>
          <w:sz w:val="24"/>
          <w:szCs w:val="24"/>
          <w:highlight w:val="none"/>
          <w:lang w:eastAsia="zh-CN"/>
        </w:rPr>
        <w:t>府采购法律法规规</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定的违法情形，采购人应及时报财政部门。</w:t>
      </w:r>
    </w:p>
    <w:p w14:paraId="0DB48961">
      <w:pPr>
        <w:spacing w:line="343" w:lineRule="auto"/>
        <w:rPr>
          <w:rFonts w:ascii="宋体" w:hAnsi="宋体" w:eastAsia="宋体" w:cs="宋体"/>
          <w:color w:val="auto"/>
          <w:sz w:val="24"/>
          <w:szCs w:val="24"/>
          <w:highlight w:val="none"/>
          <w:lang w:eastAsia="zh-CN"/>
        </w:rPr>
        <w:sectPr>
          <w:footerReference r:id="rId21" w:type="default"/>
          <w:pgSz w:w="11907" w:h="16840"/>
          <w:pgMar w:top="1431" w:right="1439" w:bottom="1139" w:left="1585" w:header="0" w:footer="977" w:gutter="0"/>
          <w:cols w:space="720" w:num="1"/>
        </w:sectPr>
      </w:pPr>
    </w:p>
    <w:p w14:paraId="0158951D">
      <w:pPr>
        <w:spacing w:before="306" w:line="224" w:lineRule="auto"/>
        <w:ind w:left="2601"/>
        <w:outlineLvl w:val="0"/>
        <w:rPr>
          <w:rFonts w:ascii="宋体" w:hAnsi="宋体" w:eastAsia="宋体" w:cs="宋体"/>
          <w:color w:val="auto"/>
          <w:sz w:val="31"/>
          <w:szCs w:val="31"/>
          <w:highlight w:val="none"/>
          <w:lang w:eastAsia="zh-CN"/>
        </w:rPr>
      </w:pPr>
      <w:bookmarkStart w:id="109" w:name="_Toc1367"/>
      <w:r>
        <w:rPr>
          <w:rFonts w:ascii="宋体" w:hAnsi="宋体" w:eastAsia="宋体" w:cs="宋体"/>
          <w:b/>
          <w:bCs/>
          <w:color w:val="auto"/>
          <w:spacing w:val="6"/>
          <w:sz w:val="31"/>
          <w:szCs w:val="31"/>
          <w:highlight w:val="none"/>
          <w:lang w:eastAsia="zh-CN"/>
        </w:rPr>
        <w:t>第八章</w:t>
      </w:r>
      <w:r>
        <w:rPr>
          <w:rFonts w:ascii="宋体" w:hAnsi="宋体" w:eastAsia="宋体" w:cs="宋体"/>
          <w:color w:val="auto"/>
          <w:spacing w:val="6"/>
          <w:sz w:val="31"/>
          <w:szCs w:val="31"/>
          <w:highlight w:val="none"/>
          <w:lang w:eastAsia="zh-CN"/>
        </w:rPr>
        <w:t xml:space="preserve">  </w:t>
      </w:r>
      <w:r>
        <w:rPr>
          <w:rFonts w:ascii="宋体" w:hAnsi="宋体" w:eastAsia="宋体" w:cs="宋体"/>
          <w:b/>
          <w:bCs/>
          <w:color w:val="auto"/>
          <w:spacing w:val="6"/>
          <w:sz w:val="31"/>
          <w:szCs w:val="31"/>
          <w:highlight w:val="none"/>
          <w:lang w:eastAsia="zh-CN"/>
        </w:rPr>
        <w:t>投标文件格式</w:t>
      </w:r>
      <w:bookmarkEnd w:id="109"/>
    </w:p>
    <w:p w14:paraId="242D6BD0">
      <w:pPr>
        <w:pStyle w:val="5"/>
        <w:spacing w:line="257" w:lineRule="auto"/>
        <w:rPr>
          <w:color w:val="auto"/>
          <w:highlight w:val="none"/>
          <w:lang w:eastAsia="zh-CN"/>
        </w:rPr>
      </w:pPr>
    </w:p>
    <w:p w14:paraId="5348A409">
      <w:pPr>
        <w:pStyle w:val="5"/>
        <w:spacing w:line="258" w:lineRule="auto"/>
        <w:rPr>
          <w:color w:val="auto"/>
          <w:highlight w:val="none"/>
          <w:lang w:eastAsia="zh-CN"/>
        </w:rPr>
      </w:pPr>
    </w:p>
    <w:p w14:paraId="042F4A30">
      <w:pPr>
        <w:pStyle w:val="5"/>
        <w:spacing w:line="258" w:lineRule="auto"/>
        <w:rPr>
          <w:color w:val="auto"/>
          <w:highlight w:val="none"/>
          <w:lang w:eastAsia="zh-CN"/>
        </w:rPr>
      </w:pPr>
    </w:p>
    <w:p w14:paraId="357A5446">
      <w:pPr>
        <w:pStyle w:val="5"/>
        <w:spacing w:line="258" w:lineRule="auto"/>
        <w:rPr>
          <w:color w:val="auto"/>
          <w:highlight w:val="none"/>
          <w:lang w:eastAsia="zh-CN"/>
        </w:rPr>
      </w:pPr>
    </w:p>
    <w:p w14:paraId="42D135EB">
      <w:pPr>
        <w:spacing w:before="114" w:line="225" w:lineRule="auto"/>
        <w:ind w:left="2699"/>
        <w:rPr>
          <w:rFonts w:ascii="宋体" w:hAnsi="宋体" w:eastAsia="宋体" w:cs="宋体"/>
          <w:color w:val="auto"/>
          <w:sz w:val="35"/>
          <w:szCs w:val="35"/>
          <w:highlight w:val="none"/>
          <w:lang w:eastAsia="zh-CN"/>
        </w:rPr>
      </w:pPr>
      <w:r>
        <w:rPr>
          <w:rFonts w:ascii="宋体" w:hAnsi="宋体" w:eastAsia="宋体" w:cs="宋体"/>
          <w:b/>
          <w:bCs/>
          <w:color w:val="auto"/>
          <w:sz w:val="35"/>
          <w:szCs w:val="35"/>
          <w:highlight w:val="none"/>
          <w:lang w:eastAsia="zh-CN"/>
        </w:rPr>
        <w:t>（项目名称</w:t>
      </w:r>
      <w:r>
        <w:rPr>
          <w:rFonts w:hint="eastAsia" w:ascii="宋体" w:hAnsi="宋体" w:cs="宋体"/>
          <w:b/>
          <w:color w:val="000000" w:themeColor="text1"/>
          <w:sz w:val="36"/>
          <w:szCs w:val="36"/>
          <w:highlight w:val="none"/>
          <w:u w:val="single"/>
          <w:lang w:val="en-US" w:eastAsia="zh-CN"/>
          <w14:textFill>
            <w14:solidFill>
              <w14:schemeClr w14:val="tx1"/>
            </w14:solidFill>
          </w14:textFill>
        </w:rPr>
        <w:t xml:space="preserve">   </w:t>
      </w:r>
      <w:r>
        <w:rPr>
          <w:rFonts w:hint="eastAsia" w:ascii="宋体" w:hAnsi="宋体" w:cs="宋体"/>
          <w:b/>
          <w:color w:val="000000" w:themeColor="text1"/>
          <w:sz w:val="36"/>
          <w:szCs w:val="36"/>
          <w:highlight w:val="none"/>
          <w:lang w:val="en-US" w:eastAsia="zh-CN"/>
          <w14:textFill>
            <w14:solidFill>
              <w14:schemeClr w14:val="tx1"/>
            </w14:solidFill>
          </w14:textFill>
        </w:rPr>
        <w:t>标段</w:t>
      </w:r>
      <w:r>
        <w:rPr>
          <w:rFonts w:ascii="宋体" w:hAnsi="宋体" w:eastAsia="宋体" w:cs="宋体"/>
          <w:b/>
          <w:bCs/>
          <w:color w:val="auto"/>
          <w:sz w:val="35"/>
          <w:szCs w:val="35"/>
          <w:highlight w:val="none"/>
          <w:lang w:eastAsia="zh-CN"/>
        </w:rPr>
        <w:t>）</w:t>
      </w:r>
    </w:p>
    <w:p w14:paraId="0D2892A4">
      <w:pPr>
        <w:pStyle w:val="5"/>
        <w:spacing w:line="246" w:lineRule="auto"/>
        <w:rPr>
          <w:color w:val="auto"/>
          <w:highlight w:val="none"/>
          <w:lang w:eastAsia="zh-CN"/>
        </w:rPr>
      </w:pPr>
    </w:p>
    <w:p w14:paraId="36357366">
      <w:pPr>
        <w:pStyle w:val="5"/>
        <w:spacing w:line="246" w:lineRule="auto"/>
        <w:rPr>
          <w:color w:val="auto"/>
          <w:highlight w:val="none"/>
          <w:lang w:eastAsia="zh-CN"/>
        </w:rPr>
      </w:pPr>
    </w:p>
    <w:p w14:paraId="37FD722E">
      <w:pPr>
        <w:pStyle w:val="5"/>
        <w:spacing w:line="246" w:lineRule="auto"/>
        <w:rPr>
          <w:color w:val="auto"/>
          <w:highlight w:val="none"/>
          <w:lang w:eastAsia="zh-CN"/>
        </w:rPr>
      </w:pPr>
    </w:p>
    <w:p w14:paraId="33A73868">
      <w:pPr>
        <w:pStyle w:val="5"/>
        <w:spacing w:line="246" w:lineRule="auto"/>
        <w:rPr>
          <w:color w:val="auto"/>
          <w:highlight w:val="none"/>
          <w:lang w:eastAsia="zh-CN"/>
        </w:rPr>
      </w:pPr>
    </w:p>
    <w:p w14:paraId="45891FAD">
      <w:pPr>
        <w:pStyle w:val="5"/>
        <w:spacing w:line="246" w:lineRule="auto"/>
        <w:rPr>
          <w:color w:val="auto"/>
          <w:highlight w:val="none"/>
          <w:lang w:eastAsia="zh-CN"/>
        </w:rPr>
      </w:pPr>
    </w:p>
    <w:p w14:paraId="64A89202">
      <w:pPr>
        <w:pStyle w:val="5"/>
        <w:spacing w:line="246" w:lineRule="auto"/>
        <w:rPr>
          <w:color w:val="auto"/>
          <w:highlight w:val="none"/>
          <w:lang w:eastAsia="zh-CN"/>
        </w:rPr>
      </w:pPr>
    </w:p>
    <w:p w14:paraId="3659DF55">
      <w:pPr>
        <w:pStyle w:val="5"/>
        <w:spacing w:line="246" w:lineRule="auto"/>
        <w:rPr>
          <w:color w:val="auto"/>
          <w:highlight w:val="none"/>
          <w:lang w:eastAsia="zh-CN"/>
        </w:rPr>
      </w:pPr>
    </w:p>
    <w:p w14:paraId="51780067">
      <w:pPr>
        <w:pStyle w:val="5"/>
        <w:spacing w:line="247" w:lineRule="auto"/>
        <w:rPr>
          <w:color w:val="auto"/>
          <w:highlight w:val="none"/>
          <w:lang w:eastAsia="zh-CN"/>
        </w:rPr>
      </w:pPr>
    </w:p>
    <w:p w14:paraId="6081E313">
      <w:pPr>
        <w:spacing w:before="169" w:line="220" w:lineRule="auto"/>
        <w:ind w:left="2154"/>
        <w:outlineLvl w:val="1"/>
        <w:rPr>
          <w:rFonts w:ascii="宋体" w:hAnsi="宋体" w:eastAsia="宋体" w:cs="宋体"/>
          <w:color w:val="auto"/>
          <w:sz w:val="52"/>
          <w:szCs w:val="52"/>
          <w:highlight w:val="none"/>
          <w:lang w:eastAsia="zh-CN"/>
        </w:rPr>
      </w:pPr>
      <w:bookmarkStart w:id="110" w:name="bookmark17"/>
      <w:bookmarkEnd w:id="110"/>
      <w:bookmarkStart w:id="111" w:name="_Toc14369"/>
      <w:r>
        <w:rPr>
          <w:rFonts w:ascii="宋体" w:hAnsi="宋体" w:eastAsia="宋体" w:cs="宋体"/>
          <w:b/>
          <w:bCs/>
          <w:color w:val="auto"/>
          <w:spacing w:val="-24"/>
          <w:sz w:val="52"/>
          <w:szCs w:val="52"/>
          <w:highlight w:val="none"/>
          <w:lang w:eastAsia="zh-CN"/>
        </w:rPr>
        <w:t>投</w:t>
      </w:r>
      <w:r>
        <w:rPr>
          <w:rFonts w:ascii="宋体" w:hAnsi="宋体" w:eastAsia="宋体" w:cs="宋体"/>
          <w:color w:val="auto"/>
          <w:spacing w:val="86"/>
          <w:sz w:val="52"/>
          <w:szCs w:val="52"/>
          <w:highlight w:val="none"/>
          <w:lang w:eastAsia="zh-CN"/>
        </w:rPr>
        <w:t xml:space="preserve">  </w:t>
      </w:r>
      <w:r>
        <w:rPr>
          <w:rFonts w:ascii="宋体" w:hAnsi="宋体" w:eastAsia="宋体" w:cs="宋体"/>
          <w:b/>
          <w:bCs/>
          <w:color w:val="auto"/>
          <w:spacing w:val="-24"/>
          <w:sz w:val="52"/>
          <w:szCs w:val="52"/>
          <w:highlight w:val="none"/>
          <w:lang w:eastAsia="zh-CN"/>
        </w:rPr>
        <w:t>标</w:t>
      </w:r>
      <w:r>
        <w:rPr>
          <w:rFonts w:ascii="宋体" w:hAnsi="宋体" w:eastAsia="宋体" w:cs="宋体"/>
          <w:color w:val="auto"/>
          <w:spacing w:val="85"/>
          <w:sz w:val="52"/>
          <w:szCs w:val="52"/>
          <w:highlight w:val="none"/>
          <w:lang w:eastAsia="zh-CN"/>
        </w:rPr>
        <w:t xml:space="preserve">  </w:t>
      </w:r>
      <w:r>
        <w:rPr>
          <w:rFonts w:ascii="宋体" w:hAnsi="宋体" w:eastAsia="宋体" w:cs="宋体"/>
          <w:b/>
          <w:bCs/>
          <w:color w:val="auto"/>
          <w:spacing w:val="-24"/>
          <w:sz w:val="52"/>
          <w:szCs w:val="52"/>
          <w:highlight w:val="none"/>
          <w:lang w:eastAsia="zh-CN"/>
        </w:rPr>
        <w:t>文</w:t>
      </w:r>
      <w:r>
        <w:rPr>
          <w:rFonts w:ascii="宋体" w:hAnsi="宋体" w:eastAsia="宋体" w:cs="宋体"/>
          <w:color w:val="auto"/>
          <w:spacing w:val="83"/>
          <w:sz w:val="52"/>
          <w:szCs w:val="52"/>
          <w:highlight w:val="none"/>
          <w:lang w:eastAsia="zh-CN"/>
        </w:rPr>
        <w:t xml:space="preserve">  </w:t>
      </w:r>
      <w:r>
        <w:rPr>
          <w:rFonts w:ascii="宋体" w:hAnsi="宋体" w:eastAsia="宋体" w:cs="宋体"/>
          <w:b/>
          <w:bCs/>
          <w:color w:val="auto"/>
          <w:spacing w:val="-24"/>
          <w:sz w:val="52"/>
          <w:szCs w:val="52"/>
          <w:highlight w:val="none"/>
          <w:lang w:eastAsia="zh-CN"/>
        </w:rPr>
        <w:t>件</w:t>
      </w:r>
      <w:bookmarkEnd w:id="111"/>
    </w:p>
    <w:p w14:paraId="50F026D0">
      <w:pPr>
        <w:pStyle w:val="5"/>
        <w:spacing w:line="296" w:lineRule="auto"/>
        <w:rPr>
          <w:color w:val="auto"/>
          <w:highlight w:val="none"/>
          <w:lang w:eastAsia="zh-CN"/>
        </w:rPr>
      </w:pPr>
    </w:p>
    <w:p w14:paraId="496E10B2">
      <w:pPr>
        <w:pStyle w:val="5"/>
        <w:spacing w:line="297" w:lineRule="auto"/>
        <w:rPr>
          <w:color w:val="auto"/>
          <w:highlight w:val="none"/>
          <w:lang w:eastAsia="zh-CN"/>
        </w:rPr>
      </w:pPr>
    </w:p>
    <w:p w14:paraId="6B99116C">
      <w:pPr>
        <w:pStyle w:val="5"/>
        <w:spacing w:line="297" w:lineRule="auto"/>
        <w:rPr>
          <w:color w:val="auto"/>
          <w:highlight w:val="none"/>
          <w:lang w:eastAsia="zh-CN"/>
        </w:rPr>
      </w:pPr>
    </w:p>
    <w:p w14:paraId="05A09111">
      <w:pPr>
        <w:spacing w:before="78" w:line="221" w:lineRule="auto"/>
        <w:ind w:left="3735"/>
        <w:rPr>
          <w:rFonts w:ascii="宋体" w:hAnsi="宋体" w:eastAsia="宋体" w:cs="宋体"/>
          <w:color w:val="auto"/>
          <w:sz w:val="24"/>
          <w:szCs w:val="24"/>
          <w:highlight w:val="none"/>
          <w:lang w:eastAsia="zh-CN"/>
        </w:rPr>
      </w:pPr>
      <w:r>
        <w:rPr>
          <w:rFonts w:ascii="宋体" w:hAnsi="宋体" w:eastAsia="宋体" w:cs="宋体"/>
          <w:color w:val="auto"/>
          <w:spacing w:val="-6"/>
          <w:sz w:val="24"/>
          <w:szCs w:val="24"/>
          <w:highlight w:val="none"/>
          <w:lang w:eastAsia="zh-CN"/>
        </w:rPr>
        <w:t>（封面）</w:t>
      </w:r>
    </w:p>
    <w:p w14:paraId="5046A3D2">
      <w:pPr>
        <w:pStyle w:val="5"/>
        <w:spacing w:line="249" w:lineRule="auto"/>
        <w:rPr>
          <w:color w:val="auto"/>
          <w:highlight w:val="none"/>
          <w:lang w:eastAsia="zh-CN"/>
        </w:rPr>
      </w:pPr>
    </w:p>
    <w:p w14:paraId="42BDC40B">
      <w:pPr>
        <w:pStyle w:val="5"/>
        <w:spacing w:line="249" w:lineRule="auto"/>
        <w:rPr>
          <w:color w:val="auto"/>
          <w:highlight w:val="none"/>
          <w:lang w:eastAsia="zh-CN"/>
        </w:rPr>
      </w:pPr>
    </w:p>
    <w:p w14:paraId="7DC9D187">
      <w:pPr>
        <w:pStyle w:val="5"/>
        <w:spacing w:line="249" w:lineRule="auto"/>
        <w:rPr>
          <w:color w:val="auto"/>
          <w:highlight w:val="none"/>
          <w:lang w:eastAsia="zh-CN"/>
        </w:rPr>
      </w:pPr>
    </w:p>
    <w:p w14:paraId="1B4F2D02">
      <w:pPr>
        <w:pStyle w:val="5"/>
        <w:spacing w:line="249" w:lineRule="auto"/>
        <w:rPr>
          <w:color w:val="auto"/>
          <w:highlight w:val="none"/>
          <w:lang w:eastAsia="zh-CN"/>
        </w:rPr>
      </w:pPr>
    </w:p>
    <w:p w14:paraId="1CBA40AB">
      <w:pPr>
        <w:pStyle w:val="5"/>
        <w:spacing w:line="249" w:lineRule="auto"/>
        <w:rPr>
          <w:color w:val="auto"/>
          <w:highlight w:val="none"/>
          <w:lang w:eastAsia="zh-CN"/>
        </w:rPr>
      </w:pPr>
    </w:p>
    <w:p w14:paraId="38D8E8FC">
      <w:pPr>
        <w:pStyle w:val="5"/>
        <w:spacing w:line="249" w:lineRule="auto"/>
        <w:rPr>
          <w:color w:val="auto"/>
          <w:highlight w:val="none"/>
          <w:lang w:eastAsia="zh-CN"/>
        </w:rPr>
      </w:pPr>
    </w:p>
    <w:p w14:paraId="7584878F">
      <w:pPr>
        <w:pStyle w:val="5"/>
        <w:spacing w:line="249" w:lineRule="auto"/>
        <w:rPr>
          <w:color w:val="auto"/>
          <w:highlight w:val="none"/>
          <w:lang w:eastAsia="zh-CN"/>
        </w:rPr>
      </w:pPr>
    </w:p>
    <w:p w14:paraId="4CB23B44">
      <w:pPr>
        <w:pStyle w:val="5"/>
        <w:spacing w:line="249" w:lineRule="auto"/>
        <w:rPr>
          <w:color w:val="auto"/>
          <w:highlight w:val="none"/>
          <w:lang w:eastAsia="zh-CN"/>
        </w:rPr>
      </w:pPr>
    </w:p>
    <w:p w14:paraId="2CB36941">
      <w:pPr>
        <w:pStyle w:val="5"/>
        <w:spacing w:line="249" w:lineRule="auto"/>
        <w:rPr>
          <w:color w:val="auto"/>
          <w:highlight w:val="none"/>
          <w:lang w:eastAsia="zh-CN"/>
        </w:rPr>
      </w:pPr>
    </w:p>
    <w:p w14:paraId="6F4BB6D9">
      <w:pPr>
        <w:pStyle w:val="5"/>
        <w:spacing w:line="249" w:lineRule="auto"/>
        <w:rPr>
          <w:color w:val="auto"/>
          <w:highlight w:val="none"/>
          <w:lang w:eastAsia="zh-CN"/>
        </w:rPr>
      </w:pPr>
    </w:p>
    <w:p w14:paraId="0B98F874">
      <w:pPr>
        <w:pStyle w:val="5"/>
        <w:spacing w:line="249" w:lineRule="auto"/>
        <w:rPr>
          <w:color w:val="auto"/>
          <w:highlight w:val="none"/>
          <w:lang w:eastAsia="zh-CN"/>
        </w:rPr>
      </w:pPr>
    </w:p>
    <w:p w14:paraId="02ECCD2D">
      <w:pPr>
        <w:pStyle w:val="5"/>
        <w:spacing w:line="249" w:lineRule="auto"/>
        <w:rPr>
          <w:color w:val="auto"/>
          <w:highlight w:val="none"/>
          <w:lang w:eastAsia="zh-CN"/>
        </w:rPr>
      </w:pPr>
    </w:p>
    <w:p w14:paraId="31B88046">
      <w:pPr>
        <w:pStyle w:val="5"/>
        <w:spacing w:line="250" w:lineRule="auto"/>
        <w:rPr>
          <w:color w:val="auto"/>
          <w:highlight w:val="none"/>
          <w:lang w:eastAsia="zh-CN"/>
        </w:rPr>
      </w:pPr>
    </w:p>
    <w:p w14:paraId="663F96A3">
      <w:pPr>
        <w:spacing w:before="78" w:line="219" w:lineRule="auto"/>
        <w:ind w:left="2000"/>
        <w:rPr>
          <w:rFonts w:ascii="宋体" w:hAnsi="宋体" w:eastAsia="宋体" w:cs="宋体"/>
          <w:color w:val="auto"/>
          <w:sz w:val="24"/>
          <w:szCs w:val="24"/>
          <w:highlight w:val="none"/>
          <w:lang w:eastAsia="zh-CN"/>
        </w:rPr>
      </w:pPr>
      <w:r>
        <w:rPr>
          <w:rFonts w:hint="eastAsia" w:ascii="宋体" w:hAnsi="宋体" w:eastAsia="宋体" w:cs="宋体"/>
          <w:color w:val="auto"/>
          <w:spacing w:val="6"/>
          <w:sz w:val="24"/>
          <w:szCs w:val="24"/>
          <w:highlight w:val="none"/>
          <w:lang w:val="en-US" w:eastAsia="zh-CN"/>
        </w:rPr>
        <w:t>投</w:t>
      </w:r>
      <w:r>
        <w:rPr>
          <w:rFonts w:ascii="宋体" w:hAnsi="宋体" w:eastAsia="宋体" w:cs="宋体"/>
          <w:color w:val="auto"/>
          <w:spacing w:val="29"/>
          <w:sz w:val="24"/>
          <w:szCs w:val="24"/>
          <w:highlight w:val="none"/>
          <w:lang w:eastAsia="zh-CN"/>
        </w:rPr>
        <w:t xml:space="preserve">  </w:t>
      </w:r>
      <w:r>
        <w:rPr>
          <w:rFonts w:hint="eastAsia" w:ascii="宋体" w:hAnsi="宋体" w:eastAsia="宋体" w:cs="宋体"/>
          <w:color w:val="auto"/>
          <w:spacing w:val="29"/>
          <w:sz w:val="24"/>
          <w:szCs w:val="24"/>
          <w:highlight w:val="none"/>
          <w:lang w:val="en-US" w:eastAsia="zh-CN"/>
        </w:rPr>
        <w:t>标</w:t>
      </w:r>
      <w:r>
        <w:rPr>
          <w:rFonts w:ascii="宋体" w:hAnsi="宋体" w:eastAsia="宋体" w:cs="宋体"/>
          <w:color w:val="auto"/>
          <w:spacing w:val="31"/>
          <w:sz w:val="24"/>
          <w:szCs w:val="24"/>
          <w:highlight w:val="none"/>
          <w:lang w:eastAsia="zh-CN"/>
        </w:rPr>
        <w:t xml:space="preserve">  </w:t>
      </w:r>
      <w:r>
        <w:rPr>
          <w:rFonts w:hint="eastAsia" w:ascii="宋体" w:hAnsi="宋体" w:eastAsia="宋体" w:cs="宋体"/>
          <w:color w:val="auto"/>
          <w:spacing w:val="6"/>
          <w:sz w:val="24"/>
          <w:szCs w:val="24"/>
          <w:highlight w:val="none"/>
          <w:lang w:val="en-US" w:eastAsia="zh-CN"/>
        </w:rPr>
        <w:t>人</w:t>
      </w:r>
      <w:r>
        <w:rPr>
          <w:rFonts w:ascii="宋体" w:hAnsi="宋体" w:eastAsia="宋体" w:cs="宋体"/>
          <w:color w:val="auto"/>
          <w:spacing w:val="-26"/>
          <w:sz w:val="24"/>
          <w:szCs w:val="24"/>
          <w:highlight w:val="none"/>
          <w:lang w:eastAsia="zh-CN"/>
        </w:rPr>
        <w:t>：（</w:t>
      </w:r>
      <w:r>
        <w:rPr>
          <w:rFonts w:ascii="宋体" w:hAnsi="宋体" w:eastAsia="宋体" w:cs="宋体"/>
          <w:color w:val="auto"/>
          <w:spacing w:val="6"/>
          <w:sz w:val="24"/>
          <w:szCs w:val="24"/>
          <w:highlight w:val="none"/>
          <w:lang w:eastAsia="zh-CN"/>
        </w:rPr>
        <w:t>单位公章）</w:t>
      </w:r>
    </w:p>
    <w:p w14:paraId="7356CBAD">
      <w:pPr>
        <w:spacing w:before="315" w:line="219" w:lineRule="auto"/>
        <w:ind w:left="2049"/>
        <w:rPr>
          <w:rFonts w:ascii="宋体" w:hAnsi="宋体" w:eastAsia="宋体" w:cs="宋体"/>
          <w:color w:val="auto"/>
          <w:sz w:val="24"/>
          <w:szCs w:val="24"/>
          <w:highlight w:val="none"/>
          <w:lang w:eastAsia="zh-CN"/>
        </w:rPr>
      </w:pPr>
      <w:r>
        <w:rPr>
          <w:rFonts w:ascii="宋体" w:hAnsi="宋体" w:eastAsia="宋体" w:cs="宋体"/>
          <w:color w:val="auto"/>
          <w:spacing w:val="7"/>
          <w:sz w:val="24"/>
          <w:szCs w:val="24"/>
          <w:highlight w:val="none"/>
          <w:lang w:eastAsia="zh-CN"/>
        </w:rPr>
        <w:t>法定代表人或委托代理人</w:t>
      </w:r>
      <w:r>
        <w:rPr>
          <w:rFonts w:ascii="宋体" w:hAnsi="宋体" w:eastAsia="宋体" w:cs="宋体"/>
          <w:color w:val="auto"/>
          <w:spacing w:val="-18"/>
          <w:sz w:val="24"/>
          <w:szCs w:val="24"/>
          <w:highlight w:val="none"/>
          <w:lang w:eastAsia="zh-CN"/>
        </w:rPr>
        <w:t>：</w:t>
      </w:r>
      <w:r>
        <w:rPr>
          <w:rFonts w:ascii="宋体" w:hAnsi="宋体" w:eastAsia="宋体" w:cs="宋体"/>
          <w:color w:val="auto"/>
          <w:spacing w:val="-71"/>
          <w:sz w:val="24"/>
          <w:szCs w:val="24"/>
          <w:highlight w:val="none"/>
          <w:lang w:eastAsia="zh-CN"/>
        </w:rPr>
        <w:t xml:space="preserve"> </w:t>
      </w:r>
      <w:r>
        <w:rPr>
          <w:rFonts w:ascii="宋体" w:hAnsi="宋体" w:eastAsia="宋体" w:cs="宋体"/>
          <w:color w:val="auto"/>
          <w:spacing w:val="-18"/>
          <w:sz w:val="24"/>
          <w:szCs w:val="24"/>
          <w:highlight w:val="none"/>
          <w:lang w:eastAsia="zh-CN"/>
        </w:rPr>
        <w:t>（</w:t>
      </w:r>
      <w:r>
        <w:rPr>
          <w:rFonts w:ascii="宋体" w:hAnsi="宋体" w:eastAsia="宋体" w:cs="宋体"/>
          <w:color w:val="auto"/>
          <w:spacing w:val="7"/>
          <w:sz w:val="24"/>
          <w:szCs w:val="24"/>
          <w:highlight w:val="none"/>
          <w:lang w:eastAsia="zh-CN"/>
        </w:rPr>
        <w:t>签字或盖章）</w:t>
      </w:r>
    </w:p>
    <w:p w14:paraId="5874175D">
      <w:pPr>
        <w:spacing w:before="316" w:line="219" w:lineRule="auto"/>
        <w:ind w:left="2090"/>
        <w:rPr>
          <w:rFonts w:ascii="宋体" w:hAnsi="宋体" w:eastAsia="宋体" w:cs="宋体"/>
          <w:color w:val="auto"/>
          <w:sz w:val="24"/>
          <w:szCs w:val="24"/>
          <w:highlight w:val="none"/>
          <w:lang w:eastAsia="zh-CN"/>
        </w:rPr>
      </w:pPr>
      <w:r>
        <w:rPr>
          <w:rFonts w:ascii="宋体" w:hAnsi="宋体" w:eastAsia="宋体" w:cs="宋体"/>
          <w:color w:val="auto"/>
          <w:spacing w:val="-20"/>
          <w:sz w:val="24"/>
          <w:szCs w:val="24"/>
          <w:highlight w:val="none"/>
          <w:lang w:eastAsia="zh-CN"/>
        </w:rPr>
        <w:t>日</w:t>
      </w:r>
      <w:r>
        <w:rPr>
          <w:rFonts w:ascii="宋体" w:hAnsi="宋体" w:eastAsia="宋体" w:cs="宋体"/>
          <w:color w:val="auto"/>
          <w:spacing w:val="1"/>
          <w:sz w:val="24"/>
          <w:szCs w:val="24"/>
          <w:highlight w:val="none"/>
          <w:lang w:eastAsia="zh-CN"/>
        </w:rPr>
        <w:t xml:space="preserve">       </w:t>
      </w:r>
      <w:r>
        <w:rPr>
          <w:rFonts w:ascii="宋体" w:hAnsi="宋体" w:eastAsia="宋体" w:cs="宋体"/>
          <w:color w:val="auto"/>
          <w:spacing w:val="-20"/>
          <w:sz w:val="24"/>
          <w:szCs w:val="24"/>
          <w:highlight w:val="none"/>
          <w:lang w:eastAsia="zh-CN"/>
        </w:rPr>
        <w:t>期</w:t>
      </w:r>
      <w:r>
        <w:rPr>
          <w:rFonts w:ascii="宋体" w:hAnsi="宋体" w:eastAsia="宋体" w:cs="宋体"/>
          <w:color w:val="auto"/>
          <w:spacing w:val="-84"/>
          <w:sz w:val="24"/>
          <w:szCs w:val="24"/>
          <w:highlight w:val="none"/>
          <w:lang w:eastAsia="zh-CN"/>
        </w:rPr>
        <w:t xml:space="preserve"> </w:t>
      </w:r>
      <w:r>
        <w:rPr>
          <w:rFonts w:ascii="宋体" w:hAnsi="宋体" w:eastAsia="宋体" w:cs="宋体"/>
          <w:color w:val="auto"/>
          <w:spacing w:val="-20"/>
          <w:sz w:val="24"/>
          <w:szCs w:val="24"/>
          <w:highlight w:val="none"/>
          <w:lang w:eastAsia="zh-CN"/>
        </w:rPr>
        <w:t>：</w:t>
      </w:r>
      <w:r>
        <w:rPr>
          <w:rFonts w:ascii="宋体" w:hAnsi="宋体" w:eastAsia="宋体" w:cs="宋体"/>
          <w:color w:val="auto"/>
          <w:spacing w:val="1"/>
          <w:sz w:val="24"/>
          <w:szCs w:val="24"/>
          <w:highlight w:val="none"/>
          <w:lang w:eastAsia="zh-CN"/>
        </w:rPr>
        <w:t xml:space="preserve">       </w:t>
      </w:r>
      <w:r>
        <w:rPr>
          <w:rFonts w:ascii="宋体" w:hAnsi="宋体" w:eastAsia="宋体" w:cs="宋体"/>
          <w:color w:val="auto"/>
          <w:spacing w:val="-20"/>
          <w:sz w:val="24"/>
          <w:szCs w:val="24"/>
          <w:highlight w:val="none"/>
          <w:lang w:eastAsia="zh-CN"/>
        </w:rPr>
        <w:t>年</w:t>
      </w:r>
      <w:r>
        <w:rPr>
          <w:rFonts w:ascii="宋体" w:hAnsi="宋体" w:eastAsia="宋体" w:cs="宋体"/>
          <w:color w:val="auto"/>
          <w:spacing w:val="4"/>
          <w:sz w:val="24"/>
          <w:szCs w:val="24"/>
          <w:highlight w:val="none"/>
          <w:lang w:eastAsia="zh-CN"/>
        </w:rPr>
        <w:t xml:space="preserve">    </w:t>
      </w:r>
      <w:r>
        <w:rPr>
          <w:rFonts w:ascii="宋体" w:hAnsi="宋体" w:eastAsia="宋体" w:cs="宋体"/>
          <w:color w:val="auto"/>
          <w:spacing w:val="-20"/>
          <w:sz w:val="24"/>
          <w:szCs w:val="24"/>
          <w:highlight w:val="none"/>
          <w:lang w:eastAsia="zh-CN"/>
        </w:rPr>
        <w:t>月</w:t>
      </w:r>
      <w:r>
        <w:rPr>
          <w:rFonts w:ascii="宋体" w:hAnsi="宋体" w:eastAsia="宋体" w:cs="宋体"/>
          <w:color w:val="auto"/>
          <w:spacing w:val="13"/>
          <w:sz w:val="24"/>
          <w:szCs w:val="24"/>
          <w:highlight w:val="none"/>
          <w:lang w:eastAsia="zh-CN"/>
        </w:rPr>
        <w:t xml:space="preserve">    </w:t>
      </w:r>
      <w:r>
        <w:rPr>
          <w:rFonts w:ascii="宋体" w:hAnsi="宋体" w:eastAsia="宋体" w:cs="宋体"/>
          <w:color w:val="auto"/>
          <w:spacing w:val="-20"/>
          <w:sz w:val="24"/>
          <w:szCs w:val="24"/>
          <w:highlight w:val="none"/>
          <w:lang w:eastAsia="zh-CN"/>
        </w:rPr>
        <w:t>日</w:t>
      </w:r>
    </w:p>
    <w:p w14:paraId="62C24D46">
      <w:pPr>
        <w:spacing w:line="219" w:lineRule="auto"/>
        <w:rPr>
          <w:rFonts w:ascii="宋体" w:hAnsi="宋体" w:eastAsia="宋体" w:cs="宋体"/>
          <w:color w:val="auto"/>
          <w:sz w:val="24"/>
          <w:szCs w:val="24"/>
          <w:highlight w:val="none"/>
          <w:lang w:eastAsia="zh-CN"/>
        </w:rPr>
        <w:sectPr>
          <w:footerReference r:id="rId22" w:type="default"/>
          <w:pgSz w:w="11907" w:h="16840"/>
          <w:pgMar w:top="1431" w:right="1786" w:bottom="1139" w:left="1786" w:header="0" w:footer="977" w:gutter="0"/>
          <w:cols w:space="720" w:num="1"/>
        </w:sectPr>
      </w:pPr>
    </w:p>
    <w:p w14:paraId="5FAC870F">
      <w:pPr>
        <w:pStyle w:val="5"/>
        <w:spacing w:line="256" w:lineRule="auto"/>
        <w:rPr>
          <w:color w:val="auto"/>
          <w:highlight w:val="none"/>
          <w:lang w:eastAsia="zh-CN"/>
        </w:rPr>
      </w:pPr>
    </w:p>
    <w:p w14:paraId="6E6156EF">
      <w:pPr>
        <w:spacing w:before="139" w:line="225" w:lineRule="auto"/>
        <w:ind w:left="3412"/>
        <w:outlineLvl w:val="1"/>
        <w:rPr>
          <w:rFonts w:ascii="宋体" w:hAnsi="宋体" w:eastAsia="宋体" w:cs="宋体"/>
          <w:color w:val="auto"/>
          <w:sz w:val="43"/>
          <w:szCs w:val="43"/>
          <w:highlight w:val="none"/>
          <w:lang w:eastAsia="zh-CN"/>
        </w:rPr>
      </w:pPr>
      <w:bookmarkStart w:id="112" w:name="_Toc18451"/>
      <w:r>
        <w:rPr>
          <w:rFonts w:ascii="宋体" w:hAnsi="宋体" w:eastAsia="宋体" w:cs="宋体"/>
          <w:b/>
          <w:bCs/>
          <w:color w:val="auto"/>
          <w:spacing w:val="-51"/>
          <w:sz w:val="43"/>
          <w:szCs w:val="43"/>
          <w:highlight w:val="none"/>
          <w:lang w:eastAsia="zh-CN"/>
        </w:rPr>
        <w:t>目</w:t>
      </w:r>
      <w:r>
        <w:rPr>
          <w:rFonts w:ascii="宋体" w:hAnsi="宋体" w:eastAsia="宋体" w:cs="宋体"/>
          <w:color w:val="auto"/>
          <w:spacing w:val="11"/>
          <w:sz w:val="43"/>
          <w:szCs w:val="43"/>
          <w:highlight w:val="none"/>
          <w:lang w:eastAsia="zh-CN"/>
        </w:rPr>
        <w:t xml:space="preserve">    </w:t>
      </w:r>
      <w:r>
        <w:rPr>
          <w:rFonts w:ascii="宋体" w:hAnsi="宋体" w:eastAsia="宋体" w:cs="宋体"/>
          <w:b/>
          <w:bCs/>
          <w:color w:val="auto"/>
          <w:spacing w:val="-51"/>
          <w:sz w:val="43"/>
          <w:szCs w:val="43"/>
          <w:highlight w:val="none"/>
          <w:lang w:eastAsia="zh-CN"/>
        </w:rPr>
        <w:t>录</w:t>
      </w:r>
      <w:bookmarkEnd w:id="112"/>
    </w:p>
    <w:p w14:paraId="634EA33A">
      <w:pPr>
        <w:pStyle w:val="5"/>
        <w:spacing w:line="306" w:lineRule="auto"/>
        <w:rPr>
          <w:color w:val="auto"/>
          <w:highlight w:val="none"/>
          <w:lang w:eastAsia="zh-CN"/>
        </w:rPr>
      </w:pPr>
    </w:p>
    <w:p w14:paraId="1E9754B7">
      <w:pPr>
        <w:spacing w:before="65" w:line="227" w:lineRule="auto"/>
        <w:ind w:left="3793"/>
        <w:rPr>
          <w:rFonts w:ascii="宋体" w:hAnsi="宋体" w:eastAsia="宋体" w:cs="宋体"/>
          <w:color w:val="auto"/>
          <w:sz w:val="20"/>
          <w:szCs w:val="20"/>
          <w:highlight w:val="none"/>
          <w:lang w:eastAsia="zh-CN"/>
        </w:rPr>
      </w:pPr>
      <w:r>
        <w:rPr>
          <w:rFonts w:ascii="宋体" w:hAnsi="宋体" w:eastAsia="宋体" w:cs="宋体"/>
          <w:color w:val="auto"/>
          <w:spacing w:val="2"/>
          <w:sz w:val="20"/>
          <w:szCs w:val="20"/>
          <w:highlight w:val="none"/>
          <w:lang w:eastAsia="zh-CN"/>
        </w:rPr>
        <w:t>（自拟）</w:t>
      </w:r>
    </w:p>
    <w:p w14:paraId="517B39A3">
      <w:pPr>
        <w:spacing w:line="227" w:lineRule="auto"/>
        <w:rPr>
          <w:rFonts w:ascii="宋体" w:hAnsi="宋体" w:eastAsia="宋体" w:cs="宋体"/>
          <w:color w:val="auto"/>
          <w:sz w:val="20"/>
          <w:szCs w:val="20"/>
          <w:highlight w:val="none"/>
          <w:lang w:eastAsia="zh-CN"/>
        </w:rPr>
        <w:sectPr>
          <w:footerReference r:id="rId23" w:type="default"/>
          <w:pgSz w:w="11907" w:h="16840"/>
          <w:pgMar w:top="1431" w:right="1786" w:bottom="1136" w:left="1786" w:header="0" w:footer="977" w:gutter="0"/>
          <w:cols w:space="720" w:num="1"/>
        </w:sectPr>
      </w:pPr>
    </w:p>
    <w:p w14:paraId="1EB9FD22">
      <w:pPr>
        <w:spacing w:before="231" w:line="220" w:lineRule="auto"/>
        <w:ind w:left="2757"/>
        <w:outlineLvl w:val="1"/>
        <w:rPr>
          <w:rFonts w:ascii="宋体" w:hAnsi="宋体" w:eastAsia="宋体" w:cs="宋体"/>
          <w:color w:val="auto"/>
          <w:sz w:val="30"/>
          <w:szCs w:val="30"/>
          <w:highlight w:val="none"/>
          <w:lang w:eastAsia="zh-CN"/>
        </w:rPr>
      </w:pPr>
      <w:bookmarkStart w:id="113" w:name="_Toc25081"/>
      <w:r>
        <w:rPr>
          <w:rFonts w:ascii="宋体" w:hAnsi="宋体" w:eastAsia="宋体" w:cs="宋体"/>
          <w:b/>
          <w:bCs/>
          <w:color w:val="auto"/>
          <w:spacing w:val="-4"/>
          <w:sz w:val="30"/>
          <w:szCs w:val="30"/>
          <w:highlight w:val="none"/>
          <w:lang w:eastAsia="zh-CN"/>
        </w:rPr>
        <w:t>一、投标函及开标一览表</w:t>
      </w:r>
      <w:bookmarkEnd w:id="113"/>
    </w:p>
    <w:p w14:paraId="09359B95">
      <w:pPr>
        <w:spacing w:before="258" w:line="221" w:lineRule="auto"/>
        <w:ind w:left="3573"/>
        <w:outlineLvl w:val="2"/>
        <w:rPr>
          <w:rFonts w:ascii="宋体" w:hAnsi="宋体" w:eastAsia="宋体" w:cs="宋体"/>
          <w:color w:val="auto"/>
          <w:sz w:val="28"/>
          <w:szCs w:val="28"/>
          <w:highlight w:val="none"/>
          <w:lang w:eastAsia="zh-CN"/>
        </w:rPr>
      </w:pPr>
      <w:bookmarkStart w:id="114" w:name="_Toc12032"/>
      <w:r>
        <w:rPr>
          <w:rFonts w:ascii="宋体" w:hAnsi="宋体" w:eastAsia="宋体" w:cs="宋体"/>
          <w:b/>
          <w:bCs/>
          <w:color w:val="auto"/>
          <w:spacing w:val="-6"/>
          <w:sz w:val="28"/>
          <w:szCs w:val="28"/>
          <w:highlight w:val="none"/>
          <w:lang w:eastAsia="zh-CN"/>
        </w:rPr>
        <w:t>（一）投标函</w:t>
      </w:r>
      <w:bookmarkEnd w:id="114"/>
    </w:p>
    <w:p w14:paraId="1137761D">
      <w:pPr>
        <w:pStyle w:val="5"/>
        <w:spacing w:line="457" w:lineRule="auto"/>
        <w:rPr>
          <w:color w:val="auto"/>
          <w:highlight w:val="none"/>
          <w:lang w:eastAsia="zh-CN"/>
        </w:rPr>
      </w:pPr>
    </w:p>
    <w:p w14:paraId="5ABD2D9B">
      <w:pPr>
        <w:spacing w:before="91" w:line="219" w:lineRule="auto"/>
        <w:ind w:left="562"/>
        <w:jc w:val="both"/>
        <w:rPr>
          <w:rFonts w:ascii="宋体" w:hAnsi="宋体" w:eastAsia="宋体" w:cs="宋体"/>
          <w:color w:val="auto"/>
          <w:sz w:val="28"/>
          <w:szCs w:val="28"/>
          <w:highlight w:val="none"/>
          <w:lang w:eastAsia="zh-CN"/>
        </w:rPr>
      </w:pPr>
      <w:r>
        <w:rPr>
          <w:rFonts w:ascii="宋体" w:hAnsi="宋体" w:eastAsia="宋体" w:cs="宋体"/>
          <w:b/>
          <w:bCs/>
          <w:color w:val="auto"/>
          <w:spacing w:val="7"/>
          <w:sz w:val="28"/>
          <w:szCs w:val="28"/>
          <w:highlight w:val="none"/>
          <w:lang w:eastAsia="zh-CN"/>
        </w:rPr>
        <w:t>致</w:t>
      </w:r>
      <w:r>
        <w:rPr>
          <w:rFonts w:ascii="宋体" w:hAnsi="宋体" w:eastAsia="宋体" w:cs="宋体"/>
          <w:b/>
          <w:bCs/>
          <w:color w:val="auto"/>
          <w:spacing w:val="-40"/>
          <w:sz w:val="28"/>
          <w:szCs w:val="28"/>
          <w:highlight w:val="none"/>
          <w:lang w:eastAsia="zh-CN"/>
        </w:rPr>
        <w:t>：</w:t>
      </w:r>
      <w:r>
        <w:rPr>
          <w:rFonts w:ascii="宋体" w:hAnsi="宋体" w:eastAsia="宋体" w:cs="宋体"/>
          <w:color w:val="auto"/>
          <w:sz w:val="28"/>
          <w:szCs w:val="28"/>
          <w:highlight w:val="none"/>
          <w:u w:val="single"/>
          <w:lang w:eastAsia="zh-CN"/>
        </w:rPr>
        <w:t xml:space="preserve">                    </w:t>
      </w:r>
      <w:r>
        <w:rPr>
          <w:rFonts w:ascii="宋体" w:hAnsi="宋体" w:eastAsia="宋体" w:cs="宋体"/>
          <w:b/>
          <w:bCs/>
          <w:color w:val="auto"/>
          <w:spacing w:val="-40"/>
          <w:sz w:val="28"/>
          <w:szCs w:val="28"/>
          <w:highlight w:val="none"/>
          <w:u w:val="single"/>
          <w:lang w:eastAsia="zh-CN"/>
        </w:rPr>
        <w:t>（</w:t>
      </w:r>
      <w:r>
        <w:rPr>
          <w:rFonts w:ascii="宋体" w:hAnsi="宋体" w:eastAsia="宋体" w:cs="宋体"/>
          <w:b/>
          <w:bCs/>
          <w:color w:val="auto"/>
          <w:spacing w:val="7"/>
          <w:sz w:val="28"/>
          <w:szCs w:val="28"/>
          <w:highlight w:val="none"/>
          <w:u w:val="single"/>
          <w:lang w:eastAsia="zh-CN"/>
        </w:rPr>
        <w:t>采购人名称）</w:t>
      </w:r>
      <w:r>
        <w:rPr>
          <w:rFonts w:ascii="宋体" w:hAnsi="宋体" w:eastAsia="宋体" w:cs="宋体"/>
          <w:color w:val="auto"/>
          <w:spacing w:val="5"/>
          <w:sz w:val="28"/>
          <w:szCs w:val="28"/>
          <w:highlight w:val="none"/>
          <w:u w:val="single"/>
          <w:lang w:eastAsia="zh-CN"/>
        </w:rPr>
        <w:t xml:space="preserve">  </w:t>
      </w:r>
    </w:p>
    <w:p w14:paraId="417125F7">
      <w:pPr>
        <w:spacing w:before="257" w:line="426" w:lineRule="auto"/>
        <w:ind w:right="2" w:firstLine="483"/>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我单位已收到的</w:t>
      </w:r>
      <w:r>
        <w:rPr>
          <w:rFonts w:ascii="宋体" w:hAnsi="宋体" w:eastAsia="宋体" w:cs="宋体"/>
          <w:color w:val="auto"/>
          <w:spacing w:val="-120"/>
          <w:sz w:val="24"/>
          <w:szCs w:val="24"/>
          <w:highlight w:val="non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z w:val="24"/>
          <w:szCs w:val="24"/>
          <w:highlight w:val="none"/>
          <w:u w:val="single"/>
          <w:lang w:eastAsia="zh-CN"/>
        </w:rPr>
        <w:t xml:space="preserve">              </w:t>
      </w:r>
      <w:r>
        <w:rPr>
          <w:rFonts w:ascii="宋体" w:hAnsi="宋体" w:eastAsia="宋体" w:cs="宋体"/>
          <w:color w:val="auto"/>
          <w:sz w:val="24"/>
          <w:szCs w:val="24"/>
          <w:highlight w:val="none"/>
          <w:lang w:eastAsia="zh-CN"/>
        </w:rPr>
        <w:t xml:space="preserve"> 项目</w:t>
      </w:r>
      <w:r>
        <w:rPr>
          <w:rFonts w:hint="eastAsia" w:ascii="宋体" w:hAnsi="宋体" w:eastAsia="宋体" w:cs="宋体"/>
          <w:color w:val="000000" w:themeColor="text1"/>
          <w:sz w:val="24"/>
          <w:highlight w:val="none"/>
          <w:lang w:eastAsia="zh-CN"/>
          <w14:textFill>
            <w14:solidFill>
              <w14:schemeClr w14:val="tx1"/>
            </w14:solidFill>
          </w14:textFill>
        </w:rPr>
        <w:t>（</w:t>
      </w:r>
      <w:r>
        <w:rPr>
          <w:rFonts w:ascii="宋体" w:hAnsi="宋体" w:eastAsia="宋体" w:cs="宋体"/>
          <w:color w:val="000000" w:themeColor="text1"/>
          <w:sz w:val="24"/>
          <w:highlight w:val="none"/>
          <w:u w:val="single"/>
          <w14:textFill>
            <w14:solidFill>
              <w14:schemeClr w14:val="tx1"/>
            </w14:solidFill>
          </w14:textFill>
        </w:rPr>
        <w:t xml:space="preserve">     </w:t>
      </w:r>
      <w:r>
        <w:rPr>
          <w:rFonts w:hint="eastAsia" w:ascii="宋体" w:hAnsi="宋体" w:eastAsia="宋体" w:cs="宋体"/>
          <w:color w:val="000000" w:themeColor="text1"/>
          <w:sz w:val="24"/>
          <w:highlight w:val="none"/>
          <w:lang w:val="en-US" w:eastAsia="zh-CN"/>
          <w14:textFill>
            <w14:solidFill>
              <w14:schemeClr w14:val="tx1"/>
            </w14:solidFill>
          </w14:textFill>
        </w:rPr>
        <w:t>标段</w:t>
      </w:r>
      <w:r>
        <w:rPr>
          <w:rFonts w:hint="eastAsia" w:ascii="宋体" w:hAnsi="宋体" w:eastAsia="宋体" w:cs="宋体"/>
          <w:color w:val="000000" w:themeColor="text1"/>
          <w:sz w:val="24"/>
          <w:highlight w:val="none"/>
          <w:lang w:eastAsia="zh-CN"/>
          <w14:textFill>
            <w14:solidFill>
              <w14:schemeClr w14:val="tx1"/>
            </w14:solidFill>
          </w14:textFill>
        </w:rPr>
        <w:t>）</w:t>
      </w:r>
      <w:r>
        <w:rPr>
          <w:rFonts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采购</w:t>
      </w:r>
      <w:r>
        <w:rPr>
          <w:rFonts w:ascii="宋体" w:hAnsi="宋体" w:eastAsia="宋体" w:cs="宋体"/>
          <w:color w:val="auto"/>
          <w:sz w:val="24"/>
          <w:szCs w:val="24"/>
          <w:highlight w:val="none"/>
          <w:lang w:eastAsia="zh-CN"/>
        </w:rPr>
        <w:t>编号</w:t>
      </w:r>
      <w:r>
        <w:rPr>
          <w:rFonts w:ascii="宋体" w:hAnsi="宋体" w:eastAsia="宋体" w:cs="宋体"/>
          <w:color w:val="auto"/>
          <w:spacing w:val="-12"/>
          <w:sz w:val="24"/>
          <w:szCs w:val="24"/>
          <w:highlight w:val="none"/>
          <w:lang w:eastAsia="zh-CN"/>
        </w:rPr>
        <w:t>：</w:t>
      </w:r>
      <w:r>
        <w:rPr>
          <w:rFonts w:ascii="宋体" w:hAnsi="宋体" w:eastAsia="宋体" w:cs="宋体"/>
          <w:color w:val="auto"/>
          <w:sz w:val="24"/>
          <w:szCs w:val="24"/>
          <w:highlight w:val="none"/>
          <w:u w:val="single"/>
          <w:lang w:eastAsia="zh-CN"/>
        </w:rPr>
        <w:t xml:space="preserve">      </w:t>
      </w:r>
      <w:r>
        <w:rPr>
          <w:rFonts w:ascii="宋体" w:hAnsi="宋体" w:eastAsia="宋体" w:cs="宋体"/>
          <w:color w:val="auto"/>
          <w:spacing w:val="39"/>
          <w:sz w:val="24"/>
          <w:szCs w:val="24"/>
          <w:highlight w:val="none"/>
          <w:lang w:eastAsia="zh-CN"/>
        </w:rPr>
        <w:t xml:space="preserve"> </w:t>
      </w:r>
      <w:r>
        <w:rPr>
          <w:rFonts w:ascii="宋体" w:hAnsi="宋体" w:eastAsia="宋体" w:cs="宋体"/>
          <w:color w:val="auto"/>
          <w:spacing w:val="-12"/>
          <w:sz w:val="24"/>
          <w:szCs w:val="24"/>
          <w:highlight w:val="none"/>
          <w:lang w:eastAsia="zh-CN"/>
        </w:rPr>
        <w:t>）</w:t>
      </w:r>
      <w:r>
        <w:rPr>
          <w:rFonts w:ascii="宋体" w:hAnsi="宋体" w:eastAsia="宋体" w:cs="宋体"/>
          <w:color w:val="auto"/>
          <w:sz w:val="24"/>
          <w:szCs w:val="24"/>
          <w:highlight w:val="none"/>
          <w:lang w:eastAsia="zh-CN"/>
        </w:rPr>
        <w:t>采 购文件及有关纪要通知，现对参与投标及中标后工作，</w:t>
      </w:r>
      <w:r>
        <w:rPr>
          <w:rFonts w:ascii="宋体" w:hAnsi="宋体" w:eastAsia="宋体" w:cs="宋体"/>
          <w:color w:val="auto"/>
          <w:spacing w:val="-1"/>
          <w:sz w:val="24"/>
          <w:szCs w:val="24"/>
          <w:highlight w:val="none"/>
          <w:lang w:eastAsia="zh-CN"/>
        </w:rPr>
        <w:t>做出如下郑重承诺：</w:t>
      </w:r>
    </w:p>
    <w:p w14:paraId="15E69362">
      <w:pPr>
        <w:spacing w:before="31" w:line="426" w:lineRule="auto"/>
        <w:ind w:left="2" w:right="60" w:firstLine="496"/>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1.我方愿以总价为人民币（大写</w:t>
      </w:r>
      <w:r>
        <w:rPr>
          <w:rFonts w:ascii="宋体" w:hAnsi="宋体" w:eastAsia="宋体" w:cs="宋体"/>
          <w:color w:val="auto"/>
          <w:spacing w:val="-9"/>
          <w:sz w:val="24"/>
          <w:szCs w:val="24"/>
          <w:highlight w:val="none"/>
          <w:lang w:eastAsia="zh-CN"/>
        </w:rPr>
        <w:t>）</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9"/>
          <w:sz w:val="24"/>
          <w:szCs w:val="24"/>
          <w:highlight w:val="none"/>
          <w:lang w:eastAsia="zh-CN"/>
        </w:rPr>
        <w:t>（</w:t>
      </w:r>
      <w:r>
        <w:rPr>
          <w:rFonts w:ascii="宋体" w:hAnsi="宋体" w:eastAsia="宋体" w:cs="宋体"/>
          <w:color w:val="auto"/>
          <w:spacing w:val="-4"/>
          <w:sz w:val="24"/>
          <w:szCs w:val="24"/>
          <w:highlight w:val="none"/>
          <w:lang w:eastAsia="zh-CN"/>
        </w:rPr>
        <w:t>小写）</w:t>
      </w:r>
      <w:r>
        <w:rPr>
          <w:rFonts w:ascii="宋体" w:hAnsi="宋体" w:eastAsia="宋体" w:cs="宋体"/>
          <w:color w:val="auto"/>
          <w:spacing w:val="-90"/>
          <w:sz w:val="24"/>
          <w:szCs w:val="24"/>
          <w:highlight w:val="none"/>
          <w:lang w:eastAsia="zh-CN"/>
        </w:rPr>
        <w:t xml:space="preserve"> </w:t>
      </w:r>
      <w:r>
        <w:rPr>
          <w:rFonts w:ascii="宋体" w:hAnsi="宋体" w:eastAsia="宋体" w:cs="宋体"/>
          <w:color w:val="auto"/>
          <w:spacing w:val="-4"/>
          <w:sz w:val="24"/>
          <w:szCs w:val="24"/>
          <w:highlight w:val="non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07"/>
          <w:sz w:val="24"/>
          <w:szCs w:val="24"/>
          <w:highlight w:val="none"/>
          <w:lang w:eastAsia="zh-CN"/>
        </w:rPr>
        <w:t xml:space="preserve"> </w:t>
      </w:r>
      <w:r>
        <w:rPr>
          <w:rFonts w:ascii="宋体" w:hAnsi="宋体" w:eastAsia="宋体" w:cs="宋体"/>
          <w:color w:val="auto"/>
          <w:spacing w:val="-4"/>
          <w:sz w:val="24"/>
          <w:szCs w:val="24"/>
          <w:highlight w:val="none"/>
          <w:lang w:eastAsia="zh-CN"/>
        </w:rPr>
        <w:t>元，</w:t>
      </w:r>
      <w:r>
        <w:rPr>
          <w:rFonts w:ascii="宋体" w:hAnsi="宋体" w:eastAsia="宋体" w:cs="宋体"/>
          <w:color w:val="auto"/>
          <w:sz w:val="24"/>
          <w:szCs w:val="24"/>
          <w:highlight w:val="none"/>
          <w:lang w:eastAsia="zh-CN"/>
        </w:rPr>
        <w:t xml:space="preserve"> </w:t>
      </w:r>
      <w:r>
        <w:rPr>
          <w:rFonts w:hint="eastAsia" w:ascii="宋体" w:hAnsi="宋体" w:eastAsia="宋体" w:cs="宋体"/>
          <w:color w:val="auto"/>
          <w:spacing w:val="-1"/>
          <w:sz w:val="24"/>
          <w:szCs w:val="24"/>
          <w:highlight w:val="none"/>
          <w:lang w:eastAsia="zh-CN"/>
        </w:rPr>
        <w:t>合同履行期限</w:t>
      </w:r>
      <w:r>
        <w:rPr>
          <w:rFonts w:ascii="宋体" w:hAnsi="宋体" w:eastAsia="宋体" w:cs="宋体"/>
          <w:color w:val="auto"/>
          <w:spacing w:val="-6"/>
          <w:sz w:val="24"/>
          <w:szCs w:val="24"/>
          <w:highlight w:val="none"/>
          <w:lang w:eastAsia="zh-CN"/>
        </w:rPr>
        <w:t>：</w:t>
      </w:r>
      <w:r>
        <w:rPr>
          <w:rFonts w:ascii="宋体" w:hAnsi="宋体" w:eastAsia="宋体" w:cs="宋体"/>
          <w:color w:val="auto"/>
          <w:spacing w:val="12"/>
          <w:sz w:val="24"/>
          <w:szCs w:val="24"/>
          <w:highlight w:val="none"/>
          <w:u w:val="single"/>
          <w:lang w:eastAsia="zh-CN"/>
        </w:rPr>
        <w:t xml:space="preserve">          </w:t>
      </w:r>
      <w:r>
        <w:rPr>
          <w:rFonts w:ascii="宋体" w:hAnsi="宋体" w:eastAsia="宋体" w:cs="宋体"/>
          <w:color w:val="auto"/>
          <w:spacing w:val="32"/>
          <w:sz w:val="24"/>
          <w:szCs w:val="24"/>
          <w:highlight w:val="none"/>
          <w:lang w:eastAsia="zh-CN"/>
        </w:rPr>
        <w:t xml:space="preserve"> </w:t>
      </w:r>
      <w:r>
        <w:rPr>
          <w:rFonts w:ascii="宋体" w:hAnsi="宋体" w:eastAsia="宋体" w:cs="宋体"/>
          <w:color w:val="auto"/>
          <w:spacing w:val="-6"/>
          <w:sz w:val="24"/>
          <w:szCs w:val="24"/>
          <w:highlight w:val="none"/>
          <w:lang w:eastAsia="zh-CN"/>
        </w:rPr>
        <w:t>，</w:t>
      </w:r>
      <w:r>
        <w:rPr>
          <w:rFonts w:ascii="宋体" w:hAnsi="宋体" w:eastAsia="宋体" w:cs="宋体"/>
          <w:color w:val="auto"/>
          <w:spacing w:val="-1"/>
          <w:sz w:val="24"/>
          <w:szCs w:val="24"/>
          <w:highlight w:val="none"/>
          <w:lang w:eastAsia="zh-CN"/>
        </w:rPr>
        <w:t>按合同约定实施和完成本项目。</w:t>
      </w:r>
    </w:p>
    <w:p w14:paraId="42CEA10D">
      <w:pPr>
        <w:spacing w:before="34" w:line="219" w:lineRule="auto"/>
        <w:jc w:val="right"/>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2.</w:t>
      </w:r>
      <w:r>
        <w:rPr>
          <w:highlight w:val="none"/>
        </w:rPr>
        <w:fldChar w:fldCharType="begin"/>
      </w:r>
      <w:r>
        <w:rPr>
          <w:highlight w:val="none"/>
        </w:rPr>
        <w:instrText xml:space="preserve"> HYPERLINK "https://baike.so.com/doc/5394983-5632135.html" </w:instrText>
      </w:r>
      <w:r>
        <w:rPr>
          <w:highlight w:val="none"/>
        </w:rPr>
        <w:fldChar w:fldCharType="separate"/>
      </w:r>
      <w:r>
        <w:rPr>
          <w:rFonts w:ascii="宋体" w:hAnsi="宋体" w:eastAsia="宋体" w:cs="宋体"/>
          <w:color w:val="auto"/>
          <w:spacing w:val="-2"/>
          <w:sz w:val="24"/>
          <w:szCs w:val="24"/>
          <w:highlight w:val="none"/>
          <w:lang w:eastAsia="zh-CN"/>
        </w:rPr>
        <w:t>在响应性文件递交截止时间后至确定成交人的投标有</w:t>
      </w:r>
      <w:r>
        <w:rPr>
          <w:rFonts w:ascii="宋体" w:hAnsi="宋体" w:eastAsia="宋体" w:cs="宋体"/>
          <w:color w:val="auto"/>
          <w:spacing w:val="-3"/>
          <w:sz w:val="24"/>
          <w:szCs w:val="24"/>
          <w:highlight w:val="none"/>
          <w:lang w:eastAsia="zh-CN"/>
        </w:rPr>
        <w:t>效期</w:t>
      </w:r>
      <w:r>
        <w:rPr>
          <w:rFonts w:ascii="宋体" w:hAnsi="宋体" w:eastAsia="宋体" w:cs="宋体"/>
          <w:color w:val="auto"/>
          <w:spacing w:val="-3"/>
          <w:sz w:val="24"/>
          <w:szCs w:val="24"/>
          <w:highlight w:val="none"/>
          <w:lang w:eastAsia="zh-CN"/>
        </w:rPr>
        <w:fldChar w:fldCharType="end"/>
      </w:r>
      <w:r>
        <w:rPr>
          <w:rFonts w:ascii="宋体" w:hAnsi="宋体" w:eastAsia="宋体" w:cs="宋体"/>
          <w:color w:val="auto"/>
          <w:spacing w:val="-3"/>
          <w:sz w:val="24"/>
          <w:szCs w:val="24"/>
          <w:highlight w:val="none"/>
          <w:lang w:eastAsia="zh-CN"/>
        </w:rPr>
        <w:t>内，我单位不得要求</w:t>
      </w:r>
    </w:p>
    <w:p w14:paraId="263B4266">
      <w:pPr>
        <w:spacing w:before="286" w:line="219" w:lineRule="auto"/>
        <w:ind w:left="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退出竞标或者修改响应性文件。</w:t>
      </w:r>
    </w:p>
    <w:p w14:paraId="020CE22F">
      <w:pPr>
        <w:spacing w:before="283" w:line="426" w:lineRule="auto"/>
        <w:ind w:left="9" w:firstLine="477"/>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3.我方明白采购人不一定接纳最低投标报价的采购</w:t>
      </w:r>
      <w:r>
        <w:rPr>
          <w:rFonts w:ascii="宋体" w:hAnsi="宋体" w:eastAsia="宋体" w:cs="宋体"/>
          <w:color w:val="auto"/>
          <w:spacing w:val="-3"/>
          <w:sz w:val="24"/>
          <w:szCs w:val="24"/>
          <w:highlight w:val="none"/>
          <w:lang w:eastAsia="zh-CN"/>
        </w:rPr>
        <w:t>，也不需要采购人解释选择或</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否决任何</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的原因和理由。</w:t>
      </w:r>
    </w:p>
    <w:p w14:paraId="61B4EC13">
      <w:pPr>
        <w:spacing w:before="35" w:line="429" w:lineRule="auto"/>
        <w:ind w:firstLine="480"/>
        <w:jc w:val="both"/>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4.我方参与本项目投标的所有资料真实有效，未在响应文件中</w:t>
      </w:r>
      <w:r>
        <w:rPr>
          <w:rFonts w:ascii="宋体" w:hAnsi="宋体" w:eastAsia="宋体" w:cs="宋体"/>
          <w:color w:val="auto"/>
          <w:spacing w:val="-3"/>
          <w:sz w:val="24"/>
          <w:szCs w:val="24"/>
          <w:highlight w:val="none"/>
          <w:lang w:eastAsia="zh-CN"/>
        </w:rPr>
        <w:t>提供虚假材料，无</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陪标、串标等违法行为。若相关部门查实或被不见面开标系统提示为“</w:t>
      </w:r>
      <w:r>
        <w:rPr>
          <w:rFonts w:ascii="宋体" w:hAnsi="宋体" w:eastAsia="宋体" w:cs="宋体"/>
          <w:color w:val="auto"/>
          <w:spacing w:val="-3"/>
          <w:sz w:val="24"/>
          <w:szCs w:val="24"/>
          <w:highlight w:val="none"/>
          <w:lang w:eastAsia="zh-CN"/>
        </w:rPr>
        <w:t>投标文件制作</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机器码一致</w:t>
      </w:r>
      <w:r>
        <w:rPr>
          <w:rFonts w:ascii="宋体" w:hAnsi="宋体" w:eastAsia="宋体" w:cs="宋体"/>
          <w:color w:val="auto"/>
          <w:spacing w:val="-88"/>
          <w:sz w:val="24"/>
          <w:szCs w:val="24"/>
          <w:highlight w:val="none"/>
          <w:lang w:eastAsia="zh-CN"/>
        </w:rPr>
        <w:t xml:space="preserve"> </w:t>
      </w:r>
      <w:r>
        <w:rPr>
          <w:rFonts w:ascii="宋体" w:hAnsi="宋体" w:eastAsia="宋体" w:cs="宋体"/>
          <w:color w:val="auto"/>
          <w:spacing w:val="-1"/>
          <w:sz w:val="24"/>
          <w:szCs w:val="24"/>
          <w:highlight w:val="none"/>
          <w:lang w:eastAsia="zh-CN"/>
        </w:rPr>
        <w:t>”的，同意被视为投标无效，接受报监管部</w:t>
      </w:r>
      <w:r>
        <w:rPr>
          <w:rFonts w:ascii="宋体" w:hAnsi="宋体" w:eastAsia="宋体" w:cs="宋体"/>
          <w:color w:val="auto"/>
          <w:spacing w:val="-2"/>
          <w:sz w:val="24"/>
          <w:szCs w:val="24"/>
          <w:highlight w:val="none"/>
          <w:lang w:eastAsia="zh-CN"/>
        </w:rPr>
        <w:t>门依法作出的处理。</w:t>
      </w:r>
    </w:p>
    <w:p w14:paraId="5D753476">
      <w:pPr>
        <w:spacing w:before="34" w:line="432" w:lineRule="auto"/>
        <w:ind w:left="3" w:firstLine="482"/>
        <w:jc w:val="both"/>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5.一旦我方中标，我方在收到中标通知书后</w:t>
      </w:r>
      <w:r>
        <w:rPr>
          <w:rFonts w:ascii="宋体" w:hAnsi="宋体" w:eastAsia="宋体" w:cs="宋体"/>
          <w:color w:val="auto"/>
          <w:spacing w:val="-25"/>
          <w:sz w:val="24"/>
          <w:szCs w:val="24"/>
          <w:highlight w:val="none"/>
          <w:lang w:eastAsia="zh-CN"/>
        </w:rPr>
        <w:t xml:space="preserve"> </w:t>
      </w:r>
      <w:r>
        <w:rPr>
          <w:rFonts w:ascii="宋体" w:hAnsi="宋体" w:eastAsia="宋体" w:cs="宋体"/>
          <w:color w:val="auto"/>
          <w:spacing w:val="-3"/>
          <w:sz w:val="24"/>
          <w:szCs w:val="24"/>
          <w:highlight w:val="none"/>
          <w:lang w:eastAsia="zh-CN"/>
        </w:rPr>
        <w:t>15 日内，依据采购文件、响应文件</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与采购人签订合同。若由于我方原因在</w:t>
      </w:r>
      <w:r>
        <w:rPr>
          <w:rFonts w:ascii="宋体" w:hAnsi="宋体" w:eastAsia="宋体" w:cs="宋体"/>
          <w:color w:val="auto"/>
          <w:spacing w:val="-19"/>
          <w:sz w:val="24"/>
          <w:szCs w:val="24"/>
          <w:highlight w:val="none"/>
          <w:lang w:eastAsia="zh-CN"/>
        </w:rPr>
        <w:t xml:space="preserve"> </w:t>
      </w:r>
      <w:r>
        <w:rPr>
          <w:rFonts w:ascii="宋体" w:hAnsi="宋体" w:eastAsia="宋体" w:cs="宋体"/>
          <w:color w:val="auto"/>
          <w:spacing w:val="-3"/>
          <w:sz w:val="24"/>
          <w:szCs w:val="24"/>
          <w:highlight w:val="none"/>
          <w:lang w:eastAsia="zh-CN"/>
        </w:rPr>
        <w:t>15 日内因非不可抗力拒绝与采购人签订合同</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的，愿意接受相关部门依法作出的处罚。合同签订后严格按照合同</w:t>
      </w:r>
      <w:r>
        <w:rPr>
          <w:rFonts w:ascii="宋体" w:hAnsi="宋体" w:eastAsia="宋体" w:cs="宋体"/>
          <w:color w:val="auto"/>
          <w:spacing w:val="-3"/>
          <w:sz w:val="24"/>
          <w:szCs w:val="24"/>
          <w:highlight w:val="none"/>
          <w:lang w:eastAsia="zh-CN"/>
        </w:rPr>
        <w:t>履约，并配合采购</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人完成履约验收。</w:t>
      </w:r>
    </w:p>
    <w:p w14:paraId="7AB774E7">
      <w:pPr>
        <w:spacing w:before="95" w:line="219" w:lineRule="auto"/>
        <w:ind w:left="1"/>
        <w:rPr>
          <w:rFonts w:ascii="宋体" w:hAnsi="宋体" w:eastAsia="宋体" w:cs="宋体"/>
          <w:color w:val="auto"/>
          <w:sz w:val="24"/>
          <w:szCs w:val="24"/>
          <w:highlight w:val="none"/>
          <w:lang w:eastAsia="zh-CN"/>
        </w:rPr>
      </w:pP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名称（单位电子签章</w:t>
      </w:r>
      <w:r>
        <w:rPr>
          <w:rFonts w:ascii="宋体" w:hAnsi="宋体" w:eastAsia="宋体" w:cs="宋体"/>
          <w:color w:val="auto"/>
          <w:sz w:val="24"/>
          <w:szCs w:val="24"/>
          <w:highlight w:val="none"/>
          <w:lang w:eastAsia="zh-CN"/>
        </w:rPr>
        <w:t>）：</w:t>
      </w:r>
    </w:p>
    <w:p w14:paraId="5FE940CB">
      <w:pPr>
        <w:pStyle w:val="5"/>
        <w:spacing w:line="290" w:lineRule="auto"/>
        <w:rPr>
          <w:color w:val="auto"/>
          <w:highlight w:val="none"/>
          <w:lang w:eastAsia="zh-CN"/>
        </w:rPr>
      </w:pPr>
    </w:p>
    <w:p w14:paraId="4C1858F8">
      <w:pPr>
        <w:spacing w:before="79" w:line="219" w:lineRule="auto"/>
        <w:ind w:left="2"/>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法定代表人或授权委托代理人</w:t>
      </w:r>
      <w:r>
        <w:rPr>
          <w:rFonts w:ascii="宋体" w:hAnsi="宋体" w:eastAsia="宋体" w:cs="宋体"/>
          <w:color w:val="auto"/>
          <w:spacing w:val="-16"/>
          <w:sz w:val="24"/>
          <w:szCs w:val="24"/>
          <w:highlight w:val="none"/>
          <w:lang w:eastAsia="zh-CN"/>
        </w:rPr>
        <w:t>：（</w:t>
      </w:r>
      <w:r>
        <w:rPr>
          <w:rFonts w:ascii="宋体" w:hAnsi="宋体" w:eastAsia="宋体" w:cs="宋体"/>
          <w:color w:val="auto"/>
          <w:spacing w:val="1"/>
          <w:sz w:val="24"/>
          <w:szCs w:val="24"/>
          <w:highlight w:val="none"/>
          <w:lang w:eastAsia="zh-CN"/>
        </w:rPr>
        <w:t>签字或盖章）</w:t>
      </w:r>
    </w:p>
    <w:p w14:paraId="53582772">
      <w:pPr>
        <w:spacing w:before="295" w:line="219" w:lineRule="auto"/>
        <w:ind w:left="5402"/>
        <w:outlineLvl w:val="2"/>
        <w:rPr>
          <w:rFonts w:ascii="宋体" w:hAnsi="宋体" w:eastAsia="宋体" w:cs="宋体"/>
          <w:color w:val="auto"/>
          <w:sz w:val="24"/>
          <w:szCs w:val="24"/>
          <w:highlight w:val="none"/>
          <w:lang w:eastAsia="zh-CN"/>
        </w:rPr>
      </w:pPr>
      <w:bookmarkStart w:id="115" w:name="_Toc20467"/>
      <w:r>
        <w:rPr>
          <w:rFonts w:ascii="宋体" w:hAnsi="宋体" w:eastAsia="宋体" w:cs="宋体"/>
          <w:color w:val="auto"/>
          <w:spacing w:val="-9"/>
          <w:sz w:val="24"/>
          <w:szCs w:val="24"/>
          <w:highlight w:val="none"/>
          <w:lang w:eastAsia="zh-CN"/>
        </w:rPr>
        <w:t>年</w:t>
      </w:r>
      <w:r>
        <w:rPr>
          <w:rFonts w:ascii="宋体" w:hAnsi="宋体" w:eastAsia="宋体" w:cs="宋体"/>
          <w:color w:val="auto"/>
          <w:spacing w:val="5"/>
          <w:sz w:val="24"/>
          <w:szCs w:val="24"/>
          <w:highlight w:val="none"/>
          <w:lang w:eastAsia="zh-CN"/>
        </w:rPr>
        <w:t xml:space="preserve">   </w:t>
      </w:r>
      <w:r>
        <w:rPr>
          <w:rFonts w:ascii="宋体" w:hAnsi="宋体" w:eastAsia="宋体" w:cs="宋体"/>
          <w:color w:val="auto"/>
          <w:spacing w:val="-9"/>
          <w:sz w:val="24"/>
          <w:szCs w:val="24"/>
          <w:highlight w:val="none"/>
          <w:lang w:eastAsia="zh-CN"/>
        </w:rPr>
        <w:t>月</w:t>
      </w:r>
      <w:r>
        <w:rPr>
          <w:rFonts w:ascii="宋体" w:hAnsi="宋体" w:eastAsia="宋体" w:cs="宋体"/>
          <w:color w:val="auto"/>
          <w:spacing w:val="12"/>
          <w:sz w:val="24"/>
          <w:szCs w:val="24"/>
          <w:highlight w:val="none"/>
          <w:lang w:eastAsia="zh-CN"/>
        </w:rPr>
        <w:t xml:space="preserve">    </w:t>
      </w:r>
      <w:r>
        <w:rPr>
          <w:rFonts w:ascii="宋体" w:hAnsi="宋体" w:eastAsia="宋体" w:cs="宋体"/>
          <w:color w:val="auto"/>
          <w:spacing w:val="-9"/>
          <w:sz w:val="24"/>
          <w:szCs w:val="24"/>
          <w:highlight w:val="none"/>
          <w:lang w:eastAsia="zh-CN"/>
        </w:rPr>
        <w:t>日</w:t>
      </w:r>
      <w:bookmarkEnd w:id="115"/>
    </w:p>
    <w:p w14:paraId="432CE6E5">
      <w:pPr>
        <w:spacing w:line="219" w:lineRule="auto"/>
        <w:rPr>
          <w:rFonts w:ascii="宋体" w:hAnsi="宋体" w:eastAsia="宋体" w:cs="宋体"/>
          <w:color w:val="auto"/>
          <w:sz w:val="24"/>
          <w:szCs w:val="24"/>
          <w:highlight w:val="none"/>
          <w:lang w:eastAsia="zh-CN"/>
        </w:rPr>
        <w:sectPr>
          <w:footerReference r:id="rId24" w:type="default"/>
          <w:pgSz w:w="11907" w:h="16840"/>
          <w:pgMar w:top="1431" w:right="1519" w:bottom="1139" w:left="1584" w:header="0" w:footer="977" w:gutter="0"/>
          <w:cols w:space="720" w:num="1"/>
        </w:sectPr>
      </w:pPr>
    </w:p>
    <w:p w14:paraId="3606AABF">
      <w:pPr>
        <w:spacing w:before="168" w:line="221" w:lineRule="auto"/>
        <w:ind w:left="3220"/>
        <w:outlineLvl w:val="2"/>
        <w:rPr>
          <w:rFonts w:ascii="宋体" w:hAnsi="宋体" w:eastAsia="宋体" w:cs="宋体"/>
          <w:color w:val="auto"/>
          <w:sz w:val="28"/>
          <w:szCs w:val="28"/>
          <w:highlight w:val="none"/>
          <w:lang w:eastAsia="zh-CN"/>
        </w:rPr>
      </w:pPr>
      <w:bookmarkStart w:id="116" w:name="_Toc3189"/>
      <w:r>
        <w:rPr>
          <w:rFonts w:ascii="宋体" w:hAnsi="宋体" w:eastAsia="宋体" w:cs="宋体"/>
          <w:b/>
          <w:bCs/>
          <w:color w:val="auto"/>
          <w:spacing w:val="-5"/>
          <w:sz w:val="28"/>
          <w:szCs w:val="28"/>
          <w:highlight w:val="none"/>
          <w:lang w:eastAsia="zh-CN"/>
        </w:rPr>
        <w:t>（二）</w:t>
      </w:r>
      <w:r>
        <w:rPr>
          <w:rFonts w:ascii="宋体" w:hAnsi="宋体" w:eastAsia="宋体" w:cs="宋体"/>
          <w:color w:val="auto"/>
          <w:spacing w:val="-5"/>
          <w:sz w:val="28"/>
          <w:szCs w:val="28"/>
          <w:highlight w:val="none"/>
          <w:lang w:eastAsia="zh-CN"/>
        </w:rPr>
        <w:t xml:space="preserve"> </w:t>
      </w:r>
      <w:r>
        <w:rPr>
          <w:rFonts w:ascii="宋体" w:hAnsi="宋体" w:eastAsia="宋体" w:cs="宋体"/>
          <w:b/>
          <w:bCs/>
          <w:color w:val="auto"/>
          <w:spacing w:val="-5"/>
          <w:sz w:val="28"/>
          <w:szCs w:val="28"/>
          <w:highlight w:val="none"/>
          <w:lang w:eastAsia="zh-CN"/>
        </w:rPr>
        <w:t>开标一览表</w:t>
      </w:r>
      <w:bookmarkEnd w:id="116"/>
    </w:p>
    <w:p w14:paraId="07D63EE3">
      <w:pPr>
        <w:spacing w:before="143"/>
        <w:rPr>
          <w:color w:val="auto"/>
          <w:highlight w:val="none"/>
          <w:lang w:eastAsia="zh-CN"/>
        </w:rPr>
      </w:pPr>
    </w:p>
    <w:tbl>
      <w:tblPr>
        <w:tblStyle w:val="19"/>
        <w:tblW w:w="8512" w:type="dxa"/>
        <w:tblInd w:w="13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613"/>
        <w:gridCol w:w="5899"/>
      </w:tblGrid>
      <w:tr w14:paraId="486F763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7" w:hRule="atLeast"/>
        </w:trPr>
        <w:tc>
          <w:tcPr>
            <w:tcW w:w="2613" w:type="dxa"/>
          </w:tcPr>
          <w:p w14:paraId="16DF5266">
            <w:pPr>
              <w:pStyle w:val="20"/>
              <w:spacing w:before="203" w:line="220" w:lineRule="auto"/>
              <w:jc w:val="center"/>
              <w:rPr>
                <w:color w:val="auto"/>
                <w:highlight w:val="none"/>
              </w:rPr>
            </w:pPr>
            <w:r>
              <w:rPr>
                <w:color w:val="auto"/>
                <w:spacing w:val="-4"/>
                <w:highlight w:val="none"/>
              </w:rPr>
              <w:t>项目名称</w:t>
            </w:r>
            <w:r>
              <w:rPr>
                <w:rFonts w:ascii="宋体" w:hAnsi="宋体" w:eastAsia="宋体" w:cs="宋体"/>
                <w:color w:val="000000" w:themeColor="text1"/>
                <w:sz w:val="24"/>
                <w:highlight w:val="none"/>
                <w:u w:val="single"/>
                <w14:textFill>
                  <w14:solidFill>
                    <w14:schemeClr w14:val="tx1"/>
                  </w14:solidFill>
                </w14:textFill>
              </w:rPr>
              <w:t xml:space="preserve">     </w:t>
            </w:r>
            <w:r>
              <w:rPr>
                <w:rFonts w:hint="eastAsia" w:ascii="宋体" w:hAnsi="宋体" w:eastAsia="宋体" w:cs="宋体"/>
                <w:color w:val="000000" w:themeColor="text1"/>
                <w:sz w:val="24"/>
                <w:highlight w:val="none"/>
                <w:lang w:val="en-US" w:eastAsia="zh-CN"/>
                <w14:textFill>
                  <w14:solidFill>
                    <w14:schemeClr w14:val="tx1"/>
                  </w14:solidFill>
                </w14:textFill>
              </w:rPr>
              <w:t>标段</w:t>
            </w:r>
          </w:p>
        </w:tc>
        <w:tc>
          <w:tcPr>
            <w:tcW w:w="5899" w:type="dxa"/>
          </w:tcPr>
          <w:p w14:paraId="2B6146B0">
            <w:pPr>
              <w:rPr>
                <w:color w:val="auto"/>
                <w:highlight w:val="none"/>
              </w:rPr>
            </w:pPr>
          </w:p>
        </w:tc>
      </w:tr>
      <w:tr w14:paraId="6FF9E34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0" w:hRule="atLeast"/>
        </w:trPr>
        <w:tc>
          <w:tcPr>
            <w:tcW w:w="2613" w:type="dxa"/>
          </w:tcPr>
          <w:p w14:paraId="431AA3D0">
            <w:pPr>
              <w:pStyle w:val="20"/>
              <w:spacing w:before="147" w:line="220" w:lineRule="auto"/>
              <w:ind w:left="837"/>
              <w:rPr>
                <w:color w:val="auto"/>
                <w:highlight w:val="none"/>
              </w:rPr>
            </w:pPr>
            <w:r>
              <w:rPr>
                <w:color w:val="auto"/>
                <w:spacing w:val="-8"/>
                <w:highlight w:val="none"/>
              </w:rPr>
              <w:t>投</w:t>
            </w:r>
            <w:r>
              <w:rPr>
                <w:color w:val="auto"/>
                <w:spacing w:val="10"/>
                <w:highlight w:val="none"/>
              </w:rPr>
              <w:t xml:space="preserve"> </w:t>
            </w:r>
            <w:r>
              <w:rPr>
                <w:color w:val="auto"/>
                <w:spacing w:val="-8"/>
                <w:highlight w:val="none"/>
              </w:rPr>
              <w:t>标</w:t>
            </w:r>
            <w:r>
              <w:rPr>
                <w:color w:val="auto"/>
                <w:spacing w:val="12"/>
                <w:highlight w:val="none"/>
              </w:rPr>
              <w:t xml:space="preserve"> </w:t>
            </w:r>
            <w:r>
              <w:rPr>
                <w:color w:val="auto"/>
                <w:spacing w:val="-8"/>
                <w:highlight w:val="none"/>
              </w:rPr>
              <w:t>人</w:t>
            </w:r>
          </w:p>
        </w:tc>
        <w:tc>
          <w:tcPr>
            <w:tcW w:w="5899" w:type="dxa"/>
          </w:tcPr>
          <w:p w14:paraId="72F048F0">
            <w:pPr>
              <w:rPr>
                <w:color w:val="auto"/>
                <w:highlight w:val="none"/>
              </w:rPr>
            </w:pPr>
          </w:p>
        </w:tc>
      </w:tr>
      <w:tr w14:paraId="749D9B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66" w:hRule="atLeast"/>
        </w:trPr>
        <w:tc>
          <w:tcPr>
            <w:tcW w:w="2613" w:type="dxa"/>
          </w:tcPr>
          <w:p w14:paraId="6EEF25EE">
            <w:pPr>
              <w:pStyle w:val="20"/>
              <w:spacing w:before="317" w:line="218" w:lineRule="auto"/>
              <w:ind w:left="717"/>
              <w:rPr>
                <w:color w:val="auto"/>
                <w:highlight w:val="none"/>
              </w:rPr>
            </w:pPr>
            <w:r>
              <w:rPr>
                <w:color w:val="auto"/>
                <w:spacing w:val="-3"/>
                <w:highlight w:val="none"/>
              </w:rPr>
              <w:t>投标总报价</w:t>
            </w:r>
          </w:p>
        </w:tc>
        <w:tc>
          <w:tcPr>
            <w:tcW w:w="5899" w:type="dxa"/>
          </w:tcPr>
          <w:p w14:paraId="557D809C">
            <w:pPr>
              <w:pStyle w:val="20"/>
              <w:spacing w:before="146" w:line="273" w:lineRule="auto"/>
              <w:ind w:left="604" w:right="4371"/>
              <w:rPr>
                <w:color w:val="auto"/>
                <w:highlight w:val="none"/>
              </w:rPr>
            </w:pPr>
            <w:r>
              <w:rPr>
                <w:color w:val="auto"/>
                <w:spacing w:val="-11"/>
                <w:highlight w:val="none"/>
              </w:rPr>
              <w:t>（大写）</w:t>
            </w:r>
            <w:r>
              <w:rPr>
                <w:color w:val="auto"/>
                <w:spacing w:val="1"/>
                <w:highlight w:val="none"/>
              </w:rPr>
              <w:t xml:space="preserve"> </w:t>
            </w:r>
            <w:r>
              <w:rPr>
                <w:color w:val="auto"/>
                <w:spacing w:val="-11"/>
                <w:highlight w:val="none"/>
              </w:rPr>
              <w:t>（小写）</w:t>
            </w:r>
          </w:p>
        </w:tc>
      </w:tr>
      <w:tr w14:paraId="1AAB4E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92" w:hRule="atLeast"/>
        </w:trPr>
        <w:tc>
          <w:tcPr>
            <w:tcW w:w="2613" w:type="dxa"/>
          </w:tcPr>
          <w:p w14:paraId="114E0B8C">
            <w:pPr>
              <w:pStyle w:val="20"/>
              <w:spacing w:before="181" w:line="220" w:lineRule="auto"/>
              <w:ind w:left="835"/>
              <w:rPr>
                <w:rFonts w:hint="eastAsia" w:eastAsia="宋体"/>
                <w:color w:val="auto"/>
                <w:highlight w:val="none"/>
                <w:lang w:eastAsia="zh-CN"/>
              </w:rPr>
            </w:pPr>
            <w:r>
              <w:rPr>
                <w:color w:val="auto"/>
                <w:spacing w:val="-3"/>
                <w:highlight w:val="none"/>
              </w:rPr>
              <w:t>质量</w:t>
            </w:r>
            <w:r>
              <w:rPr>
                <w:rFonts w:hint="eastAsia"/>
                <w:color w:val="auto"/>
                <w:spacing w:val="-3"/>
                <w:highlight w:val="none"/>
                <w:lang w:val="en-US" w:eastAsia="zh-CN"/>
              </w:rPr>
              <w:t>要求</w:t>
            </w:r>
          </w:p>
        </w:tc>
        <w:tc>
          <w:tcPr>
            <w:tcW w:w="5899" w:type="dxa"/>
          </w:tcPr>
          <w:p w14:paraId="0F0C02B6">
            <w:pPr>
              <w:rPr>
                <w:color w:val="auto"/>
                <w:highlight w:val="none"/>
              </w:rPr>
            </w:pPr>
          </w:p>
        </w:tc>
      </w:tr>
      <w:tr w14:paraId="5A40BB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4" w:hRule="atLeast"/>
        </w:trPr>
        <w:tc>
          <w:tcPr>
            <w:tcW w:w="2613" w:type="dxa"/>
            <w:vAlign w:val="center"/>
          </w:tcPr>
          <w:p w14:paraId="2F0BCE92">
            <w:pPr>
              <w:pStyle w:val="20"/>
              <w:spacing w:before="37" w:line="214" w:lineRule="auto"/>
              <w:ind w:right="483"/>
              <w:jc w:val="center"/>
              <w:rPr>
                <w:color w:val="auto"/>
                <w:highlight w:val="none"/>
                <w:lang w:eastAsia="zh-CN"/>
              </w:rPr>
            </w:pPr>
            <w:r>
              <w:rPr>
                <w:color w:val="auto"/>
                <w:spacing w:val="-2"/>
                <w:highlight w:val="none"/>
                <w:lang w:eastAsia="zh-CN"/>
              </w:rPr>
              <w:t>合同履行期限</w:t>
            </w:r>
          </w:p>
        </w:tc>
        <w:tc>
          <w:tcPr>
            <w:tcW w:w="5899" w:type="dxa"/>
          </w:tcPr>
          <w:p w14:paraId="3DE4A6DB">
            <w:pPr>
              <w:rPr>
                <w:color w:val="auto"/>
                <w:highlight w:val="none"/>
                <w:lang w:eastAsia="zh-CN"/>
              </w:rPr>
            </w:pPr>
          </w:p>
        </w:tc>
      </w:tr>
      <w:tr w14:paraId="0C25AB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2" w:hRule="atLeast"/>
        </w:trPr>
        <w:tc>
          <w:tcPr>
            <w:tcW w:w="2613" w:type="dxa"/>
          </w:tcPr>
          <w:p w14:paraId="08793C3C">
            <w:pPr>
              <w:pStyle w:val="20"/>
              <w:spacing w:before="172" w:line="220" w:lineRule="auto"/>
              <w:ind w:left="955"/>
              <w:rPr>
                <w:color w:val="auto"/>
                <w:highlight w:val="none"/>
              </w:rPr>
            </w:pPr>
            <w:r>
              <w:rPr>
                <w:color w:val="auto"/>
                <w:spacing w:val="-4"/>
                <w:highlight w:val="none"/>
              </w:rPr>
              <w:t>质保期</w:t>
            </w:r>
          </w:p>
        </w:tc>
        <w:tc>
          <w:tcPr>
            <w:tcW w:w="5899" w:type="dxa"/>
          </w:tcPr>
          <w:p w14:paraId="47B534B1">
            <w:pPr>
              <w:rPr>
                <w:color w:val="auto"/>
                <w:highlight w:val="none"/>
              </w:rPr>
            </w:pPr>
          </w:p>
        </w:tc>
      </w:tr>
      <w:tr w14:paraId="6D6B35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2" w:hRule="atLeast"/>
        </w:trPr>
        <w:tc>
          <w:tcPr>
            <w:tcW w:w="2613" w:type="dxa"/>
          </w:tcPr>
          <w:p w14:paraId="57866273">
            <w:pPr>
              <w:pStyle w:val="20"/>
              <w:spacing w:before="171" w:line="220" w:lineRule="auto"/>
              <w:ind w:left="717"/>
              <w:rPr>
                <w:color w:val="auto"/>
                <w:highlight w:val="none"/>
              </w:rPr>
            </w:pPr>
            <w:r>
              <w:rPr>
                <w:color w:val="auto"/>
                <w:spacing w:val="-3"/>
                <w:highlight w:val="none"/>
              </w:rPr>
              <w:t>投标有效期</w:t>
            </w:r>
          </w:p>
        </w:tc>
        <w:tc>
          <w:tcPr>
            <w:tcW w:w="5899" w:type="dxa"/>
          </w:tcPr>
          <w:p w14:paraId="61F38B38">
            <w:pPr>
              <w:rPr>
                <w:color w:val="auto"/>
                <w:highlight w:val="none"/>
              </w:rPr>
            </w:pPr>
          </w:p>
        </w:tc>
      </w:tr>
      <w:tr w14:paraId="38B521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6" w:hRule="atLeast"/>
        </w:trPr>
        <w:tc>
          <w:tcPr>
            <w:tcW w:w="2613" w:type="dxa"/>
          </w:tcPr>
          <w:p w14:paraId="2968C946">
            <w:pPr>
              <w:pStyle w:val="20"/>
              <w:spacing w:before="208" w:line="221" w:lineRule="auto"/>
              <w:ind w:left="1077"/>
              <w:rPr>
                <w:color w:val="auto"/>
                <w:highlight w:val="none"/>
              </w:rPr>
            </w:pPr>
            <w:r>
              <w:rPr>
                <w:color w:val="auto"/>
                <w:spacing w:val="-7"/>
                <w:highlight w:val="none"/>
              </w:rPr>
              <w:t>备注</w:t>
            </w:r>
          </w:p>
        </w:tc>
        <w:tc>
          <w:tcPr>
            <w:tcW w:w="5899" w:type="dxa"/>
          </w:tcPr>
          <w:p w14:paraId="135626EB">
            <w:pPr>
              <w:rPr>
                <w:color w:val="auto"/>
                <w:highlight w:val="none"/>
              </w:rPr>
            </w:pPr>
          </w:p>
        </w:tc>
      </w:tr>
      <w:tr w14:paraId="684B28F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78" w:hRule="atLeast"/>
        </w:trPr>
        <w:tc>
          <w:tcPr>
            <w:tcW w:w="8512" w:type="dxa"/>
            <w:gridSpan w:val="2"/>
          </w:tcPr>
          <w:p w14:paraId="62FFFACD">
            <w:pPr>
              <w:rPr>
                <w:color w:val="auto"/>
                <w:highlight w:val="none"/>
              </w:rPr>
            </w:pPr>
          </w:p>
        </w:tc>
      </w:tr>
    </w:tbl>
    <w:p w14:paraId="0DDC25DA">
      <w:pPr>
        <w:pStyle w:val="5"/>
        <w:spacing w:line="256" w:lineRule="auto"/>
        <w:rPr>
          <w:color w:val="auto"/>
          <w:highlight w:val="none"/>
        </w:rPr>
      </w:pPr>
    </w:p>
    <w:p w14:paraId="3DD1C9C0">
      <w:pPr>
        <w:pStyle w:val="5"/>
        <w:spacing w:line="256" w:lineRule="auto"/>
        <w:rPr>
          <w:color w:val="auto"/>
          <w:highlight w:val="none"/>
        </w:rPr>
      </w:pPr>
    </w:p>
    <w:p w14:paraId="43618163">
      <w:pPr>
        <w:pStyle w:val="5"/>
        <w:spacing w:line="256" w:lineRule="auto"/>
        <w:rPr>
          <w:color w:val="auto"/>
          <w:highlight w:val="none"/>
        </w:rPr>
      </w:pPr>
    </w:p>
    <w:p w14:paraId="5A9CD25F">
      <w:pPr>
        <w:pStyle w:val="5"/>
        <w:spacing w:line="256" w:lineRule="auto"/>
        <w:rPr>
          <w:color w:val="auto"/>
          <w:highlight w:val="none"/>
        </w:rPr>
      </w:pPr>
    </w:p>
    <w:p w14:paraId="52174C00">
      <w:pPr>
        <w:pStyle w:val="5"/>
        <w:spacing w:line="257" w:lineRule="auto"/>
        <w:rPr>
          <w:color w:val="auto"/>
          <w:highlight w:val="none"/>
        </w:rPr>
      </w:pPr>
    </w:p>
    <w:p w14:paraId="019AC72C">
      <w:pPr>
        <w:pStyle w:val="5"/>
        <w:spacing w:line="257" w:lineRule="auto"/>
        <w:rPr>
          <w:color w:val="auto"/>
          <w:highlight w:val="none"/>
        </w:rPr>
      </w:pPr>
    </w:p>
    <w:p w14:paraId="6BD671FB">
      <w:pPr>
        <w:pStyle w:val="5"/>
        <w:spacing w:line="257" w:lineRule="auto"/>
        <w:rPr>
          <w:color w:val="auto"/>
          <w:highlight w:val="none"/>
        </w:rPr>
      </w:pPr>
    </w:p>
    <w:p w14:paraId="6D2690DD">
      <w:pPr>
        <w:spacing w:before="78" w:line="219" w:lineRule="auto"/>
        <w:rPr>
          <w:rFonts w:ascii="宋体" w:hAnsi="宋体" w:eastAsia="宋体" w:cs="宋体"/>
          <w:color w:val="auto"/>
          <w:sz w:val="24"/>
          <w:szCs w:val="24"/>
          <w:highlight w:val="none"/>
          <w:lang w:eastAsia="zh-CN"/>
        </w:rPr>
      </w:pP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名称（单位电子签章</w:t>
      </w:r>
      <w:r>
        <w:rPr>
          <w:rFonts w:ascii="宋体" w:hAnsi="宋体" w:eastAsia="宋体" w:cs="宋体"/>
          <w:color w:val="auto"/>
          <w:sz w:val="24"/>
          <w:szCs w:val="24"/>
          <w:highlight w:val="none"/>
          <w:lang w:eastAsia="zh-CN"/>
        </w:rPr>
        <w:t>）：</w:t>
      </w:r>
    </w:p>
    <w:p w14:paraId="2E2E890B">
      <w:pPr>
        <w:spacing w:before="214" w:line="219" w:lineRule="auto"/>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法定代表人或授权委托代理人</w:t>
      </w:r>
      <w:r>
        <w:rPr>
          <w:rFonts w:ascii="宋体" w:hAnsi="宋体" w:eastAsia="宋体" w:cs="宋体"/>
          <w:color w:val="auto"/>
          <w:spacing w:val="-16"/>
          <w:sz w:val="24"/>
          <w:szCs w:val="24"/>
          <w:highlight w:val="none"/>
          <w:lang w:eastAsia="zh-CN"/>
        </w:rPr>
        <w:t>：（</w:t>
      </w:r>
      <w:r>
        <w:rPr>
          <w:rFonts w:ascii="宋体" w:hAnsi="宋体" w:eastAsia="宋体" w:cs="宋体"/>
          <w:color w:val="auto"/>
          <w:spacing w:val="1"/>
          <w:sz w:val="24"/>
          <w:szCs w:val="24"/>
          <w:highlight w:val="none"/>
          <w:lang w:eastAsia="zh-CN"/>
        </w:rPr>
        <w:t>签字或盖章）</w:t>
      </w:r>
    </w:p>
    <w:p w14:paraId="6DEA930A">
      <w:pPr>
        <w:pStyle w:val="5"/>
        <w:spacing w:line="317" w:lineRule="auto"/>
        <w:rPr>
          <w:color w:val="auto"/>
          <w:highlight w:val="none"/>
          <w:lang w:eastAsia="zh-CN"/>
        </w:rPr>
      </w:pPr>
    </w:p>
    <w:p w14:paraId="4E04B4ED">
      <w:pPr>
        <w:pStyle w:val="5"/>
        <w:spacing w:line="318" w:lineRule="auto"/>
        <w:rPr>
          <w:color w:val="auto"/>
          <w:highlight w:val="none"/>
          <w:lang w:eastAsia="zh-CN"/>
        </w:rPr>
      </w:pPr>
    </w:p>
    <w:p w14:paraId="79007BE7">
      <w:pPr>
        <w:spacing w:before="78" w:line="219" w:lineRule="auto"/>
        <w:ind w:left="41"/>
        <w:rPr>
          <w:rFonts w:ascii="宋体" w:hAnsi="宋体" w:eastAsia="宋体" w:cs="宋体"/>
          <w:color w:val="auto"/>
          <w:sz w:val="24"/>
          <w:szCs w:val="24"/>
          <w:highlight w:val="none"/>
          <w:lang w:eastAsia="zh-CN"/>
        </w:rPr>
      </w:pPr>
      <w:r>
        <w:rPr>
          <w:rFonts w:ascii="宋体" w:hAnsi="宋体" w:eastAsia="宋体" w:cs="宋体"/>
          <w:color w:val="auto"/>
          <w:spacing w:val="-20"/>
          <w:sz w:val="24"/>
          <w:szCs w:val="24"/>
          <w:highlight w:val="none"/>
          <w:lang w:eastAsia="zh-CN"/>
        </w:rPr>
        <w:t>日</w:t>
      </w:r>
      <w:r>
        <w:rPr>
          <w:rFonts w:ascii="宋体" w:hAnsi="宋体" w:eastAsia="宋体" w:cs="宋体"/>
          <w:color w:val="auto"/>
          <w:spacing w:val="4"/>
          <w:sz w:val="24"/>
          <w:szCs w:val="24"/>
          <w:highlight w:val="none"/>
          <w:lang w:eastAsia="zh-CN"/>
        </w:rPr>
        <w:t xml:space="preserve">   </w:t>
      </w:r>
      <w:r>
        <w:rPr>
          <w:rFonts w:ascii="宋体" w:hAnsi="宋体" w:eastAsia="宋体" w:cs="宋体"/>
          <w:color w:val="auto"/>
          <w:spacing w:val="-20"/>
          <w:sz w:val="24"/>
          <w:szCs w:val="24"/>
          <w:highlight w:val="none"/>
          <w:lang w:eastAsia="zh-CN"/>
        </w:rPr>
        <w:t>期</w:t>
      </w:r>
      <w:r>
        <w:rPr>
          <w:rFonts w:ascii="宋体" w:hAnsi="宋体" w:eastAsia="宋体" w:cs="宋体"/>
          <w:color w:val="auto"/>
          <w:spacing w:val="-89"/>
          <w:sz w:val="24"/>
          <w:szCs w:val="24"/>
          <w:highlight w:val="none"/>
          <w:lang w:eastAsia="zh-CN"/>
        </w:rPr>
        <w:t xml:space="preserve"> </w:t>
      </w:r>
      <w:r>
        <w:rPr>
          <w:rFonts w:ascii="宋体" w:hAnsi="宋体" w:eastAsia="宋体" w:cs="宋体"/>
          <w:color w:val="auto"/>
          <w:spacing w:val="-20"/>
          <w:sz w:val="24"/>
          <w:szCs w:val="24"/>
          <w:highlight w:val="none"/>
          <w:lang w:eastAsia="zh-CN"/>
        </w:rPr>
        <w:t>：</w:t>
      </w:r>
      <w:r>
        <w:rPr>
          <w:rFonts w:ascii="宋体" w:hAnsi="宋体" w:eastAsia="宋体" w:cs="宋体"/>
          <w:color w:val="auto"/>
          <w:spacing w:val="3"/>
          <w:sz w:val="24"/>
          <w:szCs w:val="24"/>
          <w:highlight w:val="none"/>
          <w:lang w:eastAsia="zh-CN"/>
        </w:rPr>
        <w:t xml:space="preserve">   </w:t>
      </w:r>
      <w:r>
        <w:rPr>
          <w:rFonts w:ascii="宋体" w:hAnsi="宋体" w:eastAsia="宋体" w:cs="宋体"/>
          <w:color w:val="auto"/>
          <w:spacing w:val="-20"/>
          <w:sz w:val="24"/>
          <w:szCs w:val="24"/>
          <w:highlight w:val="none"/>
          <w:lang w:eastAsia="zh-CN"/>
        </w:rPr>
        <w:t>年</w:t>
      </w:r>
      <w:r>
        <w:rPr>
          <w:rFonts w:ascii="宋体" w:hAnsi="宋体" w:eastAsia="宋体" w:cs="宋体"/>
          <w:color w:val="auto"/>
          <w:spacing w:val="5"/>
          <w:sz w:val="24"/>
          <w:szCs w:val="24"/>
          <w:highlight w:val="none"/>
          <w:lang w:eastAsia="zh-CN"/>
        </w:rPr>
        <w:t xml:space="preserve">   </w:t>
      </w:r>
      <w:r>
        <w:rPr>
          <w:rFonts w:ascii="宋体" w:hAnsi="宋体" w:eastAsia="宋体" w:cs="宋体"/>
          <w:color w:val="auto"/>
          <w:spacing w:val="-20"/>
          <w:sz w:val="24"/>
          <w:szCs w:val="24"/>
          <w:highlight w:val="none"/>
          <w:lang w:eastAsia="zh-CN"/>
        </w:rPr>
        <w:t>月</w:t>
      </w:r>
      <w:r>
        <w:rPr>
          <w:rFonts w:ascii="宋体" w:hAnsi="宋体" w:eastAsia="宋体" w:cs="宋体"/>
          <w:color w:val="auto"/>
          <w:spacing w:val="12"/>
          <w:sz w:val="24"/>
          <w:szCs w:val="24"/>
          <w:highlight w:val="none"/>
          <w:lang w:eastAsia="zh-CN"/>
        </w:rPr>
        <w:t xml:space="preserve">    </w:t>
      </w:r>
      <w:r>
        <w:rPr>
          <w:rFonts w:ascii="宋体" w:hAnsi="宋体" w:eastAsia="宋体" w:cs="宋体"/>
          <w:color w:val="auto"/>
          <w:spacing w:val="-20"/>
          <w:sz w:val="24"/>
          <w:szCs w:val="24"/>
          <w:highlight w:val="none"/>
          <w:lang w:eastAsia="zh-CN"/>
        </w:rPr>
        <w:t>日</w:t>
      </w:r>
    </w:p>
    <w:p w14:paraId="43FA4F8C">
      <w:pPr>
        <w:spacing w:line="219" w:lineRule="auto"/>
        <w:rPr>
          <w:rFonts w:ascii="宋体" w:hAnsi="宋体" w:eastAsia="宋体" w:cs="宋体"/>
          <w:color w:val="auto"/>
          <w:sz w:val="24"/>
          <w:szCs w:val="24"/>
          <w:highlight w:val="none"/>
          <w:lang w:eastAsia="zh-CN"/>
        </w:rPr>
        <w:sectPr>
          <w:footerReference r:id="rId25" w:type="default"/>
          <w:pgSz w:w="11907" w:h="16840"/>
          <w:pgMar w:top="1431" w:right="1666" w:bottom="1136" w:left="1586" w:header="0" w:footer="977" w:gutter="0"/>
          <w:cols w:space="720" w:num="1"/>
        </w:sectPr>
      </w:pPr>
    </w:p>
    <w:p w14:paraId="2F556DC3">
      <w:pPr>
        <w:spacing w:before="168" w:line="219" w:lineRule="auto"/>
        <w:ind w:left="3858"/>
        <w:outlineLvl w:val="2"/>
        <w:rPr>
          <w:rFonts w:ascii="宋体" w:hAnsi="宋体" w:eastAsia="宋体" w:cs="宋体"/>
          <w:color w:val="auto"/>
          <w:sz w:val="28"/>
          <w:szCs w:val="28"/>
          <w:highlight w:val="none"/>
          <w:lang w:eastAsia="zh-CN"/>
        </w:rPr>
      </w:pPr>
      <w:bookmarkStart w:id="117" w:name="_Toc4751"/>
      <w:r>
        <w:rPr>
          <w:rFonts w:ascii="宋体" w:hAnsi="宋体" w:eastAsia="宋体" w:cs="宋体"/>
          <w:b/>
          <w:bCs/>
          <w:color w:val="auto"/>
          <w:spacing w:val="-5"/>
          <w:sz w:val="28"/>
          <w:szCs w:val="28"/>
          <w:highlight w:val="none"/>
          <w:lang w:eastAsia="zh-CN"/>
        </w:rPr>
        <w:t>（三）报价明细表</w:t>
      </w:r>
      <w:bookmarkEnd w:id="117"/>
    </w:p>
    <w:p w14:paraId="4903CF66">
      <w:pPr>
        <w:spacing w:before="206"/>
        <w:rPr>
          <w:color w:val="auto"/>
          <w:highlight w:val="none"/>
          <w:lang w:eastAsia="zh-CN"/>
        </w:rPr>
      </w:pPr>
    </w:p>
    <w:tbl>
      <w:tblPr>
        <w:tblStyle w:val="19"/>
        <w:tblW w:w="9921"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11"/>
        <w:gridCol w:w="850"/>
        <w:gridCol w:w="848"/>
        <w:gridCol w:w="2517"/>
        <w:gridCol w:w="772"/>
        <w:gridCol w:w="723"/>
        <w:gridCol w:w="818"/>
        <w:gridCol w:w="936"/>
        <w:gridCol w:w="1146"/>
      </w:tblGrid>
      <w:tr w14:paraId="45F83B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1" w:hRule="atLeast"/>
        </w:trPr>
        <w:tc>
          <w:tcPr>
            <w:tcW w:w="1311" w:type="dxa"/>
            <w:vMerge w:val="restart"/>
            <w:tcBorders>
              <w:bottom w:val="nil"/>
            </w:tcBorders>
          </w:tcPr>
          <w:p w14:paraId="306D513A">
            <w:pPr>
              <w:spacing w:line="310" w:lineRule="auto"/>
              <w:rPr>
                <w:color w:val="auto"/>
                <w:highlight w:val="none"/>
                <w:lang w:eastAsia="zh-CN"/>
              </w:rPr>
            </w:pPr>
          </w:p>
          <w:p w14:paraId="6738C3F4">
            <w:pPr>
              <w:spacing w:line="310" w:lineRule="auto"/>
              <w:rPr>
                <w:color w:val="auto"/>
                <w:highlight w:val="none"/>
                <w:lang w:eastAsia="zh-CN"/>
              </w:rPr>
            </w:pPr>
          </w:p>
          <w:p w14:paraId="0AC12EE7">
            <w:pPr>
              <w:spacing w:line="311" w:lineRule="auto"/>
              <w:rPr>
                <w:color w:val="auto"/>
                <w:highlight w:val="none"/>
                <w:lang w:eastAsia="zh-CN"/>
              </w:rPr>
            </w:pPr>
          </w:p>
          <w:p w14:paraId="0CF8C569">
            <w:pPr>
              <w:pStyle w:val="20"/>
              <w:spacing w:before="78" w:line="221" w:lineRule="auto"/>
              <w:ind w:left="424"/>
              <w:rPr>
                <w:color w:val="auto"/>
                <w:highlight w:val="none"/>
              </w:rPr>
            </w:pPr>
            <w:r>
              <w:rPr>
                <w:color w:val="auto"/>
                <w:spacing w:val="-7"/>
                <w:highlight w:val="none"/>
              </w:rPr>
              <w:t>名称</w:t>
            </w:r>
          </w:p>
        </w:tc>
        <w:tc>
          <w:tcPr>
            <w:tcW w:w="4215" w:type="dxa"/>
            <w:gridSpan w:val="3"/>
          </w:tcPr>
          <w:p w14:paraId="3B440778">
            <w:pPr>
              <w:spacing w:line="325" w:lineRule="auto"/>
              <w:rPr>
                <w:color w:val="auto"/>
                <w:highlight w:val="none"/>
              </w:rPr>
            </w:pPr>
          </w:p>
          <w:p w14:paraId="5828C766">
            <w:pPr>
              <w:pStyle w:val="20"/>
              <w:spacing w:before="78" w:line="220" w:lineRule="auto"/>
              <w:ind w:left="1635"/>
              <w:rPr>
                <w:color w:val="auto"/>
                <w:highlight w:val="none"/>
              </w:rPr>
            </w:pPr>
            <w:r>
              <w:rPr>
                <w:color w:val="auto"/>
                <w:spacing w:val="-3"/>
                <w:highlight w:val="none"/>
              </w:rPr>
              <w:t>所投设备</w:t>
            </w:r>
          </w:p>
        </w:tc>
        <w:tc>
          <w:tcPr>
            <w:tcW w:w="772" w:type="dxa"/>
            <w:vMerge w:val="restart"/>
            <w:tcBorders>
              <w:bottom w:val="nil"/>
            </w:tcBorders>
          </w:tcPr>
          <w:p w14:paraId="7B4925A1">
            <w:pPr>
              <w:spacing w:line="310" w:lineRule="auto"/>
              <w:rPr>
                <w:color w:val="auto"/>
                <w:highlight w:val="none"/>
              </w:rPr>
            </w:pPr>
          </w:p>
          <w:p w14:paraId="65DEA6B8">
            <w:pPr>
              <w:spacing w:line="310" w:lineRule="auto"/>
              <w:rPr>
                <w:color w:val="auto"/>
                <w:highlight w:val="none"/>
              </w:rPr>
            </w:pPr>
          </w:p>
          <w:p w14:paraId="660D1311">
            <w:pPr>
              <w:spacing w:line="310" w:lineRule="auto"/>
              <w:rPr>
                <w:color w:val="auto"/>
                <w:highlight w:val="none"/>
              </w:rPr>
            </w:pPr>
          </w:p>
          <w:p w14:paraId="0A5BB124">
            <w:pPr>
              <w:pStyle w:val="20"/>
              <w:spacing w:before="78" w:line="220" w:lineRule="auto"/>
              <w:ind w:left="155"/>
              <w:rPr>
                <w:color w:val="auto"/>
                <w:highlight w:val="none"/>
              </w:rPr>
            </w:pPr>
            <w:r>
              <w:rPr>
                <w:color w:val="auto"/>
                <w:spacing w:val="-6"/>
                <w:highlight w:val="none"/>
              </w:rPr>
              <w:t>单位</w:t>
            </w:r>
          </w:p>
        </w:tc>
        <w:tc>
          <w:tcPr>
            <w:tcW w:w="723" w:type="dxa"/>
            <w:vMerge w:val="restart"/>
            <w:tcBorders>
              <w:bottom w:val="nil"/>
            </w:tcBorders>
          </w:tcPr>
          <w:p w14:paraId="380A08BA">
            <w:pPr>
              <w:spacing w:line="310" w:lineRule="auto"/>
              <w:rPr>
                <w:color w:val="auto"/>
                <w:highlight w:val="none"/>
              </w:rPr>
            </w:pPr>
          </w:p>
          <w:p w14:paraId="45134032">
            <w:pPr>
              <w:spacing w:line="310" w:lineRule="auto"/>
              <w:rPr>
                <w:color w:val="auto"/>
                <w:highlight w:val="none"/>
              </w:rPr>
            </w:pPr>
          </w:p>
          <w:p w14:paraId="7821FEAE">
            <w:pPr>
              <w:spacing w:line="311" w:lineRule="auto"/>
              <w:rPr>
                <w:color w:val="auto"/>
                <w:highlight w:val="none"/>
              </w:rPr>
            </w:pPr>
          </w:p>
          <w:p w14:paraId="7248A45C">
            <w:pPr>
              <w:pStyle w:val="20"/>
              <w:spacing w:before="78" w:line="219" w:lineRule="auto"/>
              <w:ind w:left="130"/>
              <w:rPr>
                <w:color w:val="auto"/>
                <w:highlight w:val="none"/>
              </w:rPr>
            </w:pPr>
            <w:r>
              <w:rPr>
                <w:color w:val="auto"/>
                <w:spacing w:val="-6"/>
                <w:highlight w:val="none"/>
              </w:rPr>
              <w:t>数量</w:t>
            </w:r>
          </w:p>
        </w:tc>
        <w:tc>
          <w:tcPr>
            <w:tcW w:w="818" w:type="dxa"/>
            <w:vMerge w:val="restart"/>
            <w:tcBorders>
              <w:bottom w:val="nil"/>
            </w:tcBorders>
          </w:tcPr>
          <w:p w14:paraId="26229F11">
            <w:pPr>
              <w:spacing w:line="346" w:lineRule="auto"/>
              <w:rPr>
                <w:color w:val="auto"/>
                <w:highlight w:val="none"/>
              </w:rPr>
            </w:pPr>
          </w:p>
          <w:p w14:paraId="0ACEFFF8">
            <w:pPr>
              <w:spacing w:line="347" w:lineRule="auto"/>
              <w:rPr>
                <w:color w:val="auto"/>
                <w:highlight w:val="none"/>
              </w:rPr>
            </w:pPr>
          </w:p>
          <w:p w14:paraId="45CF634B">
            <w:pPr>
              <w:pStyle w:val="20"/>
              <w:spacing w:before="78" w:line="356" w:lineRule="auto"/>
              <w:ind w:left="127" w:right="7" w:firstLine="52"/>
              <w:rPr>
                <w:color w:val="auto"/>
                <w:highlight w:val="none"/>
              </w:rPr>
            </w:pPr>
            <w:r>
              <w:rPr>
                <w:color w:val="auto"/>
                <w:spacing w:val="-6"/>
                <w:highlight w:val="none"/>
              </w:rPr>
              <w:t>单价</w:t>
            </w:r>
            <w:r>
              <w:rPr>
                <w:color w:val="auto"/>
                <w:highlight w:val="none"/>
              </w:rPr>
              <w:t xml:space="preserve">  </w:t>
            </w:r>
            <w:r>
              <w:rPr>
                <w:color w:val="auto"/>
                <w:spacing w:val="-14"/>
                <w:highlight w:val="none"/>
              </w:rPr>
              <w:t>（元）</w:t>
            </w:r>
          </w:p>
        </w:tc>
        <w:tc>
          <w:tcPr>
            <w:tcW w:w="936" w:type="dxa"/>
            <w:vMerge w:val="restart"/>
            <w:tcBorders>
              <w:bottom w:val="nil"/>
            </w:tcBorders>
          </w:tcPr>
          <w:p w14:paraId="1364266C">
            <w:pPr>
              <w:spacing w:line="346" w:lineRule="auto"/>
              <w:rPr>
                <w:color w:val="auto"/>
                <w:highlight w:val="none"/>
              </w:rPr>
            </w:pPr>
          </w:p>
          <w:p w14:paraId="21C44415">
            <w:pPr>
              <w:spacing w:line="347" w:lineRule="auto"/>
              <w:rPr>
                <w:color w:val="auto"/>
                <w:highlight w:val="none"/>
              </w:rPr>
            </w:pPr>
          </w:p>
          <w:p w14:paraId="283BA8D9">
            <w:pPr>
              <w:pStyle w:val="20"/>
              <w:spacing w:before="78" w:line="356" w:lineRule="auto"/>
              <w:ind w:left="127" w:right="125" w:firstLine="109"/>
              <w:rPr>
                <w:color w:val="auto"/>
                <w:highlight w:val="none"/>
              </w:rPr>
            </w:pPr>
            <w:r>
              <w:rPr>
                <w:color w:val="auto"/>
                <w:spacing w:val="-6"/>
                <w:highlight w:val="none"/>
              </w:rPr>
              <w:t>合价</w:t>
            </w:r>
            <w:r>
              <w:rPr>
                <w:color w:val="auto"/>
                <w:highlight w:val="none"/>
              </w:rPr>
              <w:t xml:space="preserve"> </w:t>
            </w:r>
            <w:r>
              <w:rPr>
                <w:color w:val="auto"/>
                <w:spacing w:val="-14"/>
                <w:highlight w:val="none"/>
              </w:rPr>
              <w:t>（元）</w:t>
            </w:r>
          </w:p>
        </w:tc>
        <w:tc>
          <w:tcPr>
            <w:tcW w:w="1146" w:type="dxa"/>
            <w:vMerge w:val="restart"/>
            <w:tcBorders>
              <w:bottom w:val="nil"/>
            </w:tcBorders>
          </w:tcPr>
          <w:p w14:paraId="76C01D5C">
            <w:pPr>
              <w:spacing w:line="290" w:lineRule="auto"/>
              <w:rPr>
                <w:color w:val="auto"/>
                <w:highlight w:val="none"/>
              </w:rPr>
            </w:pPr>
          </w:p>
          <w:p w14:paraId="22C50CA1">
            <w:pPr>
              <w:spacing w:line="291" w:lineRule="auto"/>
              <w:rPr>
                <w:color w:val="auto"/>
                <w:highlight w:val="none"/>
              </w:rPr>
            </w:pPr>
          </w:p>
          <w:p w14:paraId="42CE14DB">
            <w:pPr>
              <w:pStyle w:val="20"/>
              <w:spacing w:before="78" w:line="357" w:lineRule="auto"/>
              <w:ind w:left="116" w:right="108" w:hanging="1"/>
              <w:rPr>
                <w:color w:val="auto"/>
                <w:highlight w:val="none"/>
              </w:rPr>
            </w:pPr>
            <w:r>
              <w:rPr>
                <w:color w:val="auto"/>
                <w:spacing w:val="-9"/>
                <w:highlight w:val="none"/>
              </w:rPr>
              <w:t>执 行 标</w:t>
            </w:r>
            <w:r>
              <w:rPr>
                <w:color w:val="auto"/>
                <w:spacing w:val="1"/>
                <w:highlight w:val="none"/>
              </w:rPr>
              <w:t xml:space="preserve"> </w:t>
            </w:r>
            <w:r>
              <w:rPr>
                <w:color w:val="auto"/>
                <w:highlight w:val="none"/>
              </w:rPr>
              <w:t>准</w:t>
            </w:r>
          </w:p>
        </w:tc>
      </w:tr>
      <w:tr w14:paraId="2EFEC6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13" w:hRule="atLeast"/>
        </w:trPr>
        <w:tc>
          <w:tcPr>
            <w:tcW w:w="1311" w:type="dxa"/>
            <w:vMerge w:val="continue"/>
            <w:tcBorders>
              <w:top w:val="nil"/>
            </w:tcBorders>
          </w:tcPr>
          <w:p w14:paraId="14731BAB">
            <w:pPr>
              <w:rPr>
                <w:color w:val="auto"/>
                <w:highlight w:val="none"/>
              </w:rPr>
            </w:pPr>
          </w:p>
        </w:tc>
        <w:tc>
          <w:tcPr>
            <w:tcW w:w="850" w:type="dxa"/>
          </w:tcPr>
          <w:p w14:paraId="58713909">
            <w:pPr>
              <w:spacing w:line="463" w:lineRule="auto"/>
              <w:rPr>
                <w:color w:val="auto"/>
                <w:highlight w:val="none"/>
              </w:rPr>
            </w:pPr>
          </w:p>
          <w:p w14:paraId="14F8D33E">
            <w:pPr>
              <w:pStyle w:val="20"/>
              <w:spacing w:before="78" w:line="219" w:lineRule="auto"/>
              <w:ind w:left="210"/>
              <w:rPr>
                <w:color w:val="auto"/>
                <w:highlight w:val="none"/>
              </w:rPr>
            </w:pPr>
            <w:r>
              <w:rPr>
                <w:color w:val="auto"/>
                <w:spacing w:val="-15"/>
                <w:highlight w:val="none"/>
              </w:rPr>
              <w:t>品牌</w:t>
            </w:r>
          </w:p>
        </w:tc>
        <w:tc>
          <w:tcPr>
            <w:tcW w:w="848" w:type="dxa"/>
          </w:tcPr>
          <w:p w14:paraId="1CBED715">
            <w:pPr>
              <w:spacing w:line="463" w:lineRule="auto"/>
              <w:rPr>
                <w:color w:val="auto"/>
                <w:highlight w:val="none"/>
              </w:rPr>
            </w:pPr>
          </w:p>
          <w:p w14:paraId="59612F91">
            <w:pPr>
              <w:pStyle w:val="20"/>
              <w:spacing w:before="78" w:line="221" w:lineRule="auto"/>
              <w:ind w:left="197"/>
              <w:rPr>
                <w:color w:val="auto"/>
                <w:highlight w:val="none"/>
              </w:rPr>
            </w:pPr>
            <w:r>
              <w:rPr>
                <w:color w:val="auto"/>
                <w:spacing w:val="-9"/>
                <w:highlight w:val="none"/>
              </w:rPr>
              <w:t>型号</w:t>
            </w:r>
          </w:p>
        </w:tc>
        <w:tc>
          <w:tcPr>
            <w:tcW w:w="2517" w:type="dxa"/>
          </w:tcPr>
          <w:p w14:paraId="7F42119E">
            <w:pPr>
              <w:spacing w:line="463" w:lineRule="auto"/>
              <w:rPr>
                <w:color w:val="auto"/>
                <w:highlight w:val="none"/>
              </w:rPr>
            </w:pPr>
          </w:p>
          <w:p w14:paraId="43A4A74A">
            <w:pPr>
              <w:pStyle w:val="20"/>
              <w:spacing w:before="78" w:line="219" w:lineRule="auto"/>
              <w:ind w:left="787"/>
              <w:rPr>
                <w:color w:val="auto"/>
                <w:highlight w:val="none"/>
              </w:rPr>
            </w:pPr>
            <w:r>
              <w:rPr>
                <w:color w:val="auto"/>
                <w:spacing w:val="-3"/>
                <w:highlight w:val="none"/>
              </w:rPr>
              <w:t>技术参数</w:t>
            </w:r>
          </w:p>
        </w:tc>
        <w:tc>
          <w:tcPr>
            <w:tcW w:w="772" w:type="dxa"/>
            <w:vMerge w:val="continue"/>
            <w:tcBorders>
              <w:top w:val="nil"/>
            </w:tcBorders>
          </w:tcPr>
          <w:p w14:paraId="2EEBA7B8">
            <w:pPr>
              <w:rPr>
                <w:color w:val="auto"/>
                <w:highlight w:val="none"/>
              </w:rPr>
            </w:pPr>
          </w:p>
        </w:tc>
        <w:tc>
          <w:tcPr>
            <w:tcW w:w="723" w:type="dxa"/>
            <w:vMerge w:val="continue"/>
            <w:tcBorders>
              <w:top w:val="nil"/>
            </w:tcBorders>
          </w:tcPr>
          <w:p w14:paraId="717E8893">
            <w:pPr>
              <w:rPr>
                <w:color w:val="auto"/>
                <w:highlight w:val="none"/>
              </w:rPr>
            </w:pPr>
          </w:p>
        </w:tc>
        <w:tc>
          <w:tcPr>
            <w:tcW w:w="818" w:type="dxa"/>
            <w:vMerge w:val="continue"/>
            <w:tcBorders>
              <w:top w:val="nil"/>
            </w:tcBorders>
          </w:tcPr>
          <w:p w14:paraId="19344EE9">
            <w:pPr>
              <w:rPr>
                <w:color w:val="auto"/>
                <w:highlight w:val="none"/>
              </w:rPr>
            </w:pPr>
          </w:p>
        </w:tc>
        <w:tc>
          <w:tcPr>
            <w:tcW w:w="936" w:type="dxa"/>
            <w:vMerge w:val="continue"/>
            <w:tcBorders>
              <w:top w:val="nil"/>
            </w:tcBorders>
          </w:tcPr>
          <w:p w14:paraId="210B62B3">
            <w:pPr>
              <w:rPr>
                <w:color w:val="auto"/>
                <w:highlight w:val="none"/>
              </w:rPr>
            </w:pPr>
          </w:p>
        </w:tc>
        <w:tc>
          <w:tcPr>
            <w:tcW w:w="1146" w:type="dxa"/>
            <w:vMerge w:val="continue"/>
            <w:tcBorders>
              <w:top w:val="nil"/>
            </w:tcBorders>
          </w:tcPr>
          <w:p w14:paraId="7407EF5B">
            <w:pPr>
              <w:rPr>
                <w:color w:val="auto"/>
                <w:highlight w:val="none"/>
              </w:rPr>
            </w:pPr>
          </w:p>
        </w:tc>
      </w:tr>
      <w:tr w14:paraId="7423488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88" w:hRule="atLeast"/>
        </w:trPr>
        <w:tc>
          <w:tcPr>
            <w:tcW w:w="1311" w:type="dxa"/>
          </w:tcPr>
          <w:p w14:paraId="0712A044">
            <w:pPr>
              <w:rPr>
                <w:color w:val="auto"/>
                <w:highlight w:val="none"/>
              </w:rPr>
            </w:pPr>
          </w:p>
        </w:tc>
        <w:tc>
          <w:tcPr>
            <w:tcW w:w="850" w:type="dxa"/>
          </w:tcPr>
          <w:p w14:paraId="0B228B3F">
            <w:pPr>
              <w:rPr>
                <w:color w:val="auto"/>
                <w:highlight w:val="none"/>
              </w:rPr>
            </w:pPr>
          </w:p>
        </w:tc>
        <w:tc>
          <w:tcPr>
            <w:tcW w:w="848" w:type="dxa"/>
          </w:tcPr>
          <w:p w14:paraId="764895EF">
            <w:pPr>
              <w:rPr>
                <w:color w:val="auto"/>
                <w:highlight w:val="none"/>
              </w:rPr>
            </w:pPr>
          </w:p>
        </w:tc>
        <w:tc>
          <w:tcPr>
            <w:tcW w:w="2517" w:type="dxa"/>
          </w:tcPr>
          <w:p w14:paraId="6C8AB8F5">
            <w:pPr>
              <w:rPr>
                <w:color w:val="auto"/>
                <w:highlight w:val="none"/>
              </w:rPr>
            </w:pPr>
          </w:p>
        </w:tc>
        <w:tc>
          <w:tcPr>
            <w:tcW w:w="772" w:type="dxa"/>
          </w:tcPr>
          <w:p w14:paraId="7E28A7E2">
            <w:pPr>
              <w:rPr>
                <w:color w:val="auto"/>
                <w:highlight w:val="none"/>
              </w:rPr>
            </w:pPr>
          </w:p>
        </w:tc>
        <w:tc>
          <w:tcPr>
            <w:tcW w:w="723" w:type="dxa"/>
          </w:tcPr>
          <w:p w14:paraId="5C84111E">
            <w:pPr>
              <w:rPr>
                <w:color w:val="auto"/>
                <w:highlight w:val="none"/>
              </w:rPr>
            </w:pPr>
          </w:p>
        </w:tc>
        <w:tc>
          <w:tcPr>
            <w:tcW w:w="818" w:type="dxa"/>
          </w:tcPr>
          <w:p w14:paraId="29AEF84C">
            <w:pPr>
              <w:rPr>
                <w:color w:val="auto"/>
                <w:highlight w:val="none"/>
              </w:rPr>
            </w:pPr>
          </w:p>
        </w:tc>
        <w:tc>
          <w:tcPr>
            <w:tcW w:w="936" w:type="dxa"/>
          </w:tcPr>
          <w:p w14:paraId="27B312AD">
            <w:pPr>
              <w:rPr>
                <w:color w:val="auto"/>
                <w:highlight w:val="none"/>
              </w:rPr>
            </w:pPr>
          </w:p>
        </w:tc>
        <w:tc>
          <w:tcPr>
            <w:tcW w:w="1146" w:type="dxa"/>
          </w:tcPr>
          <w:p w14:paraId="4E5E5E26">
            <w:pPr>
              <w:pStyle w:val="20"/>
              <w:spacing w:before="180" w:line="220" w:lineRule="auto"/>
              <w:ind w:left="119"/>
              <w:rPr>
                <w:color w:val="auto"/>
                <w:highlight w:val="none"/>
              </w:rPr>
            </w:pPr>
            <w:r>
              <w:rPr>
                <w:color w:val="auto"/>
                <w:spacing w:val="-12"/>
                <w:highlight w:val="none"/>
              </w:rPr>
              <w:t>如：国家</w:t>
            </w:r>
          </w:p>
          <w:p w14:paraId="28DD5A62">
            <w:pPr>
              <w:pStyle w:val="20"/>
              <w:spacing w:before="194" w:line="220" w:lineRule="auto"/>
              <w:ind w:left="158"/>
              <w:rPr>
                <w:color w:val="auto"/>
                <w:highlight w:val="none"/>
              </w:rPr>
            </w:pPr>
            <w:r>
              <w:rPr>
                <w:color w:val="auto"/>
                <w:spacing w:val="-3"/>
                <w:highlight w:val="none"/>
              </w:rPr>
              <w:t>/行业标</w:t>
            </w:r>
          </w:p>
          <w:p w14:paraId="42CF0355">
            <w:pPr>
              <w:pStyle w:val="20"/>
              <w:spacing w:before="193" w:line="221" w:lineRule="auto"/>
              <w:ind w:left="281"/>
              <w:rPr>
                <w:color w:val="auto"/>
                <w:highlight w:val="none"/>
              </w:rPr>
            </w:pPr>
            <w:r>
              <w:rPr>
                <w:color w:val="auto"/>
                <w:spacing w:val="1"/>
                <w:highlight w:val="none"/>
              </w:rPr>
              <w:t>准...</w:t>
            </w:r>
          </w:p>
        </w:tc>
      </w:tr>
      <w:tr w14:paraId="4434AE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5" w:hRule="atLeast"/>
        </w:trPr>
        <w:tc>
          <w:tcPr>
            <w:tcW w:w="1311" w:type="dxa"/>
          </w:tcPr>
          <w:p w14:paraId="3BE8B16C">
            <w:pPr>
              <w:rPr>
                <w:color w:val="auto"/>
                <w:highlight w:val="none"/>
              </w:rPr>
            </w:pPr>
          </w:p>
        </w:tc>
        <w:tc>
          <w:tcPr>
            <w:tcW w:w="850" w:type="dxa"/>
          </w:tcPr>
          <w:p w14:paraId="7FFBFDA4">
            <w:pPr>
              <w:rPr>
                <w:color w:val="auto"/>
                <w:highlight w:val="none"/>
              </w:rPr>
            </w:pPr>
          </w:p>
        </w:tc>
        <w:tc>
          <w:tcPr>
            <w:tcW w:w="848" w:type="dxa"/>
          </w:tcPr>
          <w:p w14:paraId="394174AA">
            <w:pPr>
              <w:rPr>
                <w:color w:val="auto"/>
                <w:highlight w:val="none"/>
              </w:rPr>
            </w:pPr>
          </w:p>
        </w:tc>
        <w:tc>
          <w:tcPr>
            <w:tcW w:w="2517" w:type="dxa"/>
          </w:tcPr>
          <w:p w14:paraId="5121489B">
            <w:pPr>
              <w:rPr>
                <w:color w:val="auto"/>
                <w:highlight w:val="none"/>
              </w:rPr>
            </w:pPr>
          </w:p>
        </w:tc>
        <w:tc>
          <w:tcPr>
            <w:tcW w:w="772" w:type="dxa"/>
          </w:tcPr>
          <w:p w14:paraId="1D86A01E">
            <w:pPr>
              <w:rPr>
                <w:color w:val="auto"/>
                <w:highlight w:val="none"/>
              </w:rPr>
            </w:pPr>
          </w:p>
        </w:tc>
        <w:tc>
          <w:tcPr>
            <w:tcW w:w="723" w:type="dxa"/>
          </w:tcPr>
          <w:p w14:paraId="21E85F04">
            <w:pPr>
              <w:rPr>
                <w:color w:val="auto"/>
                <w:highlight w:val="none"/>
              </w:rPr>
            </w:pPr>
          </w:p>
        </w:tc>
        <w:tc>
          <w:tcPr>
            <w:tcW w:w="818" w:type="dxa"/>
          </w:tcPr>
          <w:p w14:paraId="382DB457">
            <w:pPr>
              <w:rPr>
                <w:color w:val="auto"/>
                <w:highlight w:val="none"/>
              </w:rPr>
            </w:pPr>
          </w:p>
        </w:tc>
        <w:tc>
          <w:tcPr>
            <w:tcW w:w="936" w:type="dxa"/>
          </w:tcPr>
          <w:p w14:paraId="698F0C9A">
            <w:pPr>
              <w:rPr>
                <w:color w:val="auto"/>
                <w:highlight w:val="none"/>
              </w:rPr>
            </w:pPr>
          </w:p>
        </w:tc>
        <w:tc>
          <w:tcPr>
            <w:tcW w:w="1146" w:type="dxa"/>
          </w:tcPr>
          <w:p w14:paraId="660DBF0E">
            <w:pPr>
              <w:rPr>
                <w:color w:val="auto"/>
                <w:highlight w:val="none"/>
              </w:rPr>
            </w:pPr>
          </w:p>
        </w:tc>
      </w:tr>
      <w:tr w14:paraId="5014E6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5" w:hRule="atLeast"/>
        </w:trPr>
        <w:tc>
          <w:tcPr>
            <w:tcW w:w="1311" w:type="dxa"/>
          </w:tcPr>
          <w:p w14:paraId="5FA6EB92">
            <w:pPr>
              <w:rPr>
                <w:color w:val="auto"/>
                <w:highlight w:val="none"/>
              </w:rPr>
            </w:pPr>
          </w:p>
        </w:tc>
        <w:tc>
          <w:tcPr>
            <w:tcW w:w="850" w:type="dxa"/>
          </w:tcPr>
          <w:p w14:paraId="1FF9DD25">
            <w:pPr>
              <w:rPr>
                <w:color w:val="auto"/>
                <w:highlight w:val="none"/>
              </w:rPr>
            </w:pPr>
          </w:p>
        </w:tc>
        <w:tc>
          <w:tcPr>
            <w:tcW w:w="848" w:type="dxa"/>
          </w:tcPr>
          <w:p w14:paraId="45EEC49D">
            <w:pPr>
              <w:rPr>
                <w:color w:val="auto"/>
                <w:highlight w:val="none"/>
              </w:rPr>
            </w:pPr>
          </w:p>
        </w:tc>
        <w:tc>
          <w:tcPr>
            <w:tcW w:w="2517" w:type="dxa"/>
          </w:tcPr>
          <w:p w14:paraId="128A56B9">
            <w:pPr>
              <w:rPr>
                <w:color w:val="auto"/>
                <w:highlight w:val="none"/>
              </w:rPr>
            </w:pPr>
          </w:p>
        </w:tc>
        <w:tc>
          <w:tcPr>
            <w:tcW w:w="772" w:type="dxa"/>
          </w:tcPr>
          <w:p w14:paraId="00AE1B0D">
            <w:pPr>
              <w:rPr>
                <w:color w:val="auto"/>
                <w:highlight w:val="none"/>
              </w:rPr>
            </w:pPr>
          </w:p>
        </w:tc>
        <w:tc>
          <w:tcPr>
            <w:tcW w:w="723" w:type="dxa"/>
          </w:tcPr>
          <w:p w14:paraId="52EE8673">
            <w:pPr>
              <w:rPr>
                <w:color w:val="auto"/>
                <w:highlight w:val="none"/>
              </w:rPr>
            </w:pPr>
          </w:p>
        </w:tc>
        <w:tc>
          <w:tcPr>
            <w:tcW w:w="818" w:type="dxa"/>
          </w:tcPr>
          <w:p w14:paraId="51C51948">
            <w:pPr>
              <w:rPr>
                <w:color w:val="auto"/>
                <w:highlight w:val="none"/>
              </w:rPr>
            </w:pPr>
          </w:p>
        </w:tc>
        <w:tc>
          <w:tcPr>
            <w:tcW w:w="936" w:type="dxa"/>
          </w:tcPr>
          <w:p w14:paraId="015481E9">
            <w:pPr>
              <w:rPr>
                <w:color w:val="auto"/>
                <w:highlight w:val="none"/>
              </w:rPr>
            </w:pPr>
          </w:p>
        </w:tc>
        <w:tc>
          <w:tcPr>
            <w:tcW w:w="1146" w:type="dxa"/>
          </w:tcPr>
          <w:p w14:paraId="5C6385EF">
            <w:pPr>
              <w:rPr>
                <w:color w:val="auto"/>
                <w:highlight w:val="none"/>
              </w:rPr>
            </w:pPr>
          </w:p>
        </w:tc>
      </w:tr>
      <w:tr w14:paraId="03C399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5" w:hRule="atLeast"/>
        </w:trPr>
        <w:tc>
          <w:tcPr>
            <w:tcW w:w="1311" w:type="dxa"/>
          </w:tcPr>
          <w:p w14:paraId="627F0238">
            <w:pPr>
              <w:rPr>
                <w:color w:val="auto"/>
                <w:highlight w:val="none"/>
              </w:rPr>
            </w:pPr>
          </w:p>
        </w:tc>
        <w:tc>
          <w:tcPr>
            <w:tcW w:w="850" w:type="dxa"/>
          </w:tcPr>
          <w:p w14:paraId="02C02540">
            <w:pPr>
              <w:rPr>
                <w:color w:val="auto"/>
                <w:highlight w:val="none"/>
              </w:rPr>
            </w:pPr>
          </w:p>
        </w:tc>
        <w:tc>
          <w:tcPr>
            <w:tcW w:w="848" w:type="dxa"/>
          </w:tcPr>
          <w:p w14:paraId="40B096C8">
            <w:pPr>
              <w:rPr>
                <w:color w:val="auto"/>
                <w:highlight w:val="none"/>
              </w:rPr>
            </w:pPr>
          </w:p>
        </w:tc>
        <w:tc>
          <w:tcPr>
            <w:tcW w:w="2517" w:type="dxa"/>
          </w:tcPr>
          <w:p w14:paraId="1F8C5A89">
            <w:pPr>
              <w:rPr>
                <w:color w:val="auto"/>
                <w:highlight w:val="none"/>
              </w:rPr>
            </w:pPr>
          </w:p>
        </w:tc>
        <w:tc>
          <w:tcPr>
            <w:tcW w:w="772" w:type="dxa"/>
          </w:tcPr>
          <w:p w14:paraId="4224E907">
            <w:pPr>
              <w:rPr>
                <w:color w:val="auto"/>
                <w:highlight w:val="none"/>
              </w:rPr>
            </w:pPr>
          </w:p>
        </w:tc>
        <w:tc>
          <w:tcPr>
            <w:tcW w:w="723" w:type="dxa"/>
          </w:tcPr>
          <w:p w14:paraId="7866351C">
            <w:pPr>
              <w:rPr>
                <w:color w:val="auto"/>
                <w:highlight w:val="none"/>
              </w:rPr>
            </w:pPr>
          </w:p>
        </w:tc>
        <w:tc>
          <w:tcPr>
            <w:tcW w:w="818" w:type="dxa"/>
          </w:tcPr>
          <w:p w14:paraId="51326572">
            <w:pPr>
              <w:rPr>
                <w:color w:val="auto"/>
                <w:highlight w:val="none"/>
              </w:rPr>
            </w:pPr>
          </w:p>
        </w:tc>
        <w:tc>
          <w:tcPr>
            <w:tcW w:w="936" w:type="dxa"/>
          </w:tcPr>
          <w:p w14:paraId="15F82660">
            <w:pPr>
              <w:rPr>
                <w:color w:val="auto"/>
                <w:highlight w:val="none"/>
              </w:rPr>
            </w:pPr>
          </w:p>
        </w:tc>
        <w:tc>
          <w:tcPr>
            <w:tcW w:w="1146" w:type="dxa"/>
          </w:tcPr>
          <w:p w14:paraId="265EB5FA">
            <w:pPr>
              <w:rPr>
                <w:color w:val="auto"/>
                <w:highlight w:val="none"/>
              </w:rPr>
            </w:pPr>
          </w:p>
        </w:tc>
      </w:tr>
      <w:tr w14:paraId="662B5D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5" w:hRule="atLeast"/>
        </w:trPr>
        <w:tc>
          <w:tcPr>
            <w:tcW w:w="1311" w:type="dxa"/>
          </w:tcPr>
          <w:p w14:paraId="3C626198">
            <w:pPr>
              <w:rPr>
                <w:color w:val="auto"/>
                <w:highlight w:val="none"/>
              </w:rPr>
            </w:pPr>
          </w:p>
        </w:tc>
        <w:tc>
          <w:tcPr>
            <w:tcW w:w="850" w:type="dxa"/>
          </w:tcPr>
          <w:p w14:paraId="7008A872">
            <w:pPr>
              <w:rPr>
                <w:color w:val="auto"/>
                <w:highlight w:val="none"/>
              </w:rPr>
            </w:pPr>
          </w:p>
        </w:tc>
        <w:tc>
          <w:tcPr>
            <w:tcW w:w="848" w:type="dxa"/>
          </w:tcPr>
          <w:p w14:paraId="7E25E10A">
            <w:pPr>
              <w:rPr>
                <w:color w:val="auto"/>
                <w:highlight w:val="none"/>
              </w:rPr>
            </w:pPr>
          </w:p>
        </w:tc>
        <w:tc>
          <w:tcPr>
            <w:tcW w:w="2517" w:type="dxa"/>
          </w:tcPr>
          <w:p w14:paraId="06942AF2">
            <w:pPr>
              <w:rPr>
                <w:color w:val="auto"/>
                <w:highlight w:val="none"/>
              </w:rPr>
            </w:pPr>
          </w:p>
        </w:tc>
        <w:tc>
          <w:tcPr>
            <w:tcW w:w="772" w:type="dxa"/>
          </w:tcPr>
          <w:p w14:paraId="33442DE2">
            <w:pPr>
              <w:rPr>
                <w:color w:val="auto"/>
                <w:highlight w:val="none"/>
              </w:rPr>
            </w:pPr>
          </w:p>
        </w:tc>
        <w:tc>
          <w:tcPr>
            <w:tcW w:w="723" w:type="dxa"/>
          </w:tcPr>
          <w:p w14:paraId="626BC188">
            <w:pPr>
              <w:rPr>
                <w:color w:val="auto"/>
                <w:highlight w:val="none"/>
              </w:rPr>
            </w:pPr>
          </w:p>
        </w:tc>
        <w:tc>
          <w:tcPr>
            <w:tcW w:w="818" w:type="dxa"/>
          </w:tcPr>
          <w:p w14:paraId="2DB6704F">
            <w:pPr>
              <w:rPr>
                <w:color w:val="auto"/>
                <w:highlight w:val="none"/>
              </w:rPr>
            </w:pPr>
          </w:p>
        </w:tc>
        <w:tc>
          <w:tcPr>
            <w:tcW w:w="936" w:type="dxa"/>
          </w:tcPr>
          <w:p w14:paraId="5128ADC6">
            <w:pPr>
              <w:rPr>
                <w:color w:val="auto"/>
                <w:highlight w:val="none"/>
              </w:rPr>
            </w:pPr>
          </w:p>
        </w:tc>
        <w:tc>
          <w:tcPr>
            <w:tcW w:w="1146" w:type="dxa"/>
          </w:tcPr>
          <w:p w14:paraId="707585F8">
            <w:pPr>
              <w:rPr>
                <w:color w:val="auto"/>
                <w:highlight w:val="none"/>
              </w:rPr>
            </w:pPr>
          </w:p>
        </w:tc>
      </w:tr>
      <w:tr w14:paraId="12141E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9" w:hRule="atLeast"/>
        </w:trPr>
        <w:tc>
          <w:tcPr>
            <w:tcW w:w="1311" w:type="dxa"/>
          </w:tcPr>
          <w:p w14:paraId="0D8359DA">
            <w:pPr>
              <w:rPr>
                <w:color w:val="auto"/>
                <w:highlight w:val="none"/>
              </w:rPr>
            </w:pPr>
          </w:p>
        </w:tc>
        <w:tc>
          <w:tcPr>
            <w:tcW w:w="850" w:type="dxa"/>
          </w:tcPr>
          <w:p w14:paraId="22C945D8">
            <w:pPr>
              <w:rPr>
                <w:color w:val="auto"/>
                <w:highlight w:val="none"/>
              </w:rPr>
            </w:pPr>
          </w:p>
        </w:tc>
        <w:tc>
          <w:tcPr>
            <w:tcW w:w="848" w:type="dxa"/>
          </w:tcPr>
          <w:p w14:paraId="75647D23">
            <w:pPr>
              <w:rPr>
                <w:color w:val="auto"/>
                <w:highlight w:val="none"/>
              </w:rPr>
            </w:pPr>
          </w:p>
        </w:tc>
        <w:tc>
          <w:tcPr>
            <w:tcW w:w="2517" w:type="dxa"/>
          </w:tcPr>
          <w:p w14:paraId="55EA448D">
            <w:pPr>
              <w:rPr>
                <w:color w:val="auto"/>
                <w:highlight w:val="none"/>
              </w:rPr>
            </w:pPr>
          </w:p>
        </w:tc>
        <w:tc>
          <w:tcPr>
            <w:tcW w:w="772" w:type="dxa"/>
          </w:tcPr>
          <w:p w14:paraId="5F9A2B57">
            <w:pPr>
              <w:rPr>
                <w:color w:val="auto"/>
                <w:highlight w:val="none"/>
              </w:rPr>
            </w:pPr>
          </w:p>
        </w:tc>
        <w:tc>
          <w:tcPr>
            <w:tcW w:w="723" w:type="dxa"/>
          </w:tcPr>
          <w:p w14:paraId="1996C955">
            <w:pPr>
              <w:rPr>
                <w:color w:val="auto"/>
                <w:highlight w:val="none"/>
              </w:rPr>
            </w:pPr>
          </w:p>
        </w:tc>
        <w:tc>
          <w:tcPr>
            <w:tcW w:w="818" w:type="dxa"/>
          </w:tcPr>
          <w:p w14:paraId="2D28A1BD">
            <w:pPr>
              <w:rPr>
                <w:color w:val="auto"/>
                <w:highlight w:val="none"/>
              </w:rPr>
            </w:pPr>
          </w:p>
        </w:tc>
        <w:tc>
          <w:tcPr>
            <w:tcW w:w="936" w:type="dxa"/>
          </w:tcPr>
          <w:p w14:paraId="56E06AB0">
            <w:pPr>
              <w:rPr>
                <w:color w:val="auto"/>
                <w:highlight w:val="none"/>
              </w:rPr>
            </w:pPr>
          </w:p>
        </w:tc>
        <w:tc>
          <w:tcPr>
            <w:tcW w:w="1146" w:type="dxa"/>
          </w:tcPr>
          <w:p w14:paraId="0633B033">
            <w:pPr>
              <w:rPr>
                <w:color w:val="auto"/>
                <w:highlight w:val="none"/>
              </w:rPr>
            </w:pPr>
          </w:p>
        </w:tc>
      </w:tr>
      <w:tr w14:paraId="746DB87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7" w:hRule="atLeast"/>
        </w:trPr>
        <w:tc>
          <w:tcPr>
            <w:tcW w:w="1311" w:type="dxa"/>
          </w:tcPr>
          <w:p w14:paraId="4463CC89">
            <w:pPr>
              <w:pStyle w:val="20"/>
              <w:spacing w:before="183" w:line="220" w:lineRule="auto"/>
              <w:jc w:val="right"/>
              <w:rPr>
                <w:color w:val="auto"/>
                <w:highlight w:val="none"/>
              </w:rPr>
            </w:pPr>
            <w:r>
              <w:rPr>
                <w:color w:val="auto"/>
                <w:spacing w:val="-7"/>
                <w:highlight w:val="none"/>
              </w:rPr>
              <w:t>合计（元）</w:t>
            </w:r>
          </w:p>
        </w:tc>
        <w:tc>
          <w:tcPr>
            <w:tcW w:w="8610" w:type="dxa"/>
            <w:gridSpan w:val="8"/>
          </w:tcPr>
          <w:p w14:paraId="66ABFC0C">
            <w:pPr>
              <w:pStyle w:val="20"/>
              <w:spacing w:before="183" w:line="220" w:lineRule="auto"/>
              <w:ind w:left="116"/>
              <w:rPr>
                <w:color w:val="auto"/>
                <w:highlight w:val="none"/>
              </w:rPr>
            </w:pPr>
            <w:r>
              <w:rPr>
                <w:color w:val="auto"/>
                <w:spacing w:val="-5"/>
                <w:highlight w:val="none"/>
              </w:rPr>
              <w:t>大写：</w:t>
            </w:r>
            <w:r>
              <w:rPr>
                <w:color w:val="auto"/>
                <w:highlight w:val="none"/>
              </w:rPr>
              <w:t xml:space="preserve">                                 </w:t>
            </w:r>
            <w:r>
              <w:rPr>
                <w:color w:val="auto"/>
                <w:spacing w:val="-5"/>
                <w:highlight w:val="none"/>
              </w:rPr>
              <w:t>小写：</w:t>
            </w:r>
          </w:p>
        </w:tc>
      </w:tr>
      <w:tr w14:paraId="79D16AC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49" w:hRule="atLeast"/>
        </w:trPr>
        <w:tc>
          <w:tcPr>
            <w:tcW w:w="9921" w:type="dxa"/>
            <w:gridSpan w:val="9"/>
          </w:tcPr>
          <w:p w14:paraId="737D41B9">
            <w:pPr>
              <w:pStyle w:val="20"/>
              <w:spacing w:before="182" w:line="219" w:lineRule="auto"/>
              <w:ind w:left="117"/>
              <w:rPr>
                <w:color w:val="auto"/>
                <w:highlight w:val="none"/>
                <w:lang w:eastAsia="zh-CN"/>
              </w:rPr>
            </w:pPr>
            <w:r>
              <w:rPr>
                <w:b/>
                <w:bCs/>
                <w:color w:val="auto"/>
                <w:spacing w:val="-3"/>
                <w:highlight w:val="none"/>
                <w:lang w:eastAsia="zh-CN"/>
              </w:rPr>
              <w:t>重要提示：1.本表的每一页须加盖企业印章；</w:t>
            </w:r>
          </w:p>
          <w:p w14:paraId="7403FD9B">
            <w:pPr>
              <w:pStyle w:val="20"/>
              <w:spacing w:before="194" w:line="299" w:lineRule="auto"/>
              <w:ind w:left="123" w:right="27" w:hanging="4"/>
              <w:rPr>
                <w:color w:val="auto"/>
                <w:highlight w:val="none"/>
                <w:lang w:eastAsia="zh-CN"/>
              </w:rPr>
            </w:pPr>
            <w:r>
              <w:rPr>
                <w:b/>
                <w:bCs/>
                <w:color w:val="auto"/>
                <w:spacing w:val="-4"/>
                <w:highlight w:val="none"/>
                <w:lang w:eastAsia="zh-CN"/>
              </w:rPr>
              <w:t>2.涉及有国家标准的产品，须填写名称、品牌、型号及技术参数、报</w:t>
            </w:r>
            <w:r>
              <w:rPr>
                <w:b/>
                <w:bCs/>
                <w:color w:val="auto"/>
                <w:spacing w:val="-5"/>
                <w:highlight w:val="none"/>
                <w:lang w:eastAsia="zh-CN"/>
              </w:rPr>
              <w:t>价等本表内容（若品牌、</w:t>
            </w:r>
            <w:r>
              <w:rPr>
                <w:color w:val="auto"/>
                <w:highlight w:val="none"/>
                <w:lang w:eastAsia="zh-CN"/>
              </w:rPr>
              <w:t xml:space="preserve"> </w:t>
            </w:r>
            <w:r>
              <w:rPr>
                <w:b/>
                <w:bCs/>
                <w:color w:val="auto"/>
                <w:spacing w:val="-3"/>
                <w:highlight w:val="none"/>
                <w:lang w:eastAsia="zh-CN"/>
              </w:rPr>
              <w:t>型号等填写的与实际不符，按照无效标处理）。</w:t>
            </w:r>
          </w:p>
        </w:tc>
      </w:tr>
    </w:tbl>
    <w:p w14:paraId="755932D3">
      <w:pPr>
        <w:spacing w:before="225" w:line="219" w:lineRule="auto"/>
        <w:ind w:left="567"/>
        <w:rPr>
          <w:rFonts w:ascii="宋体" w:hAnsi="宋体" w:eastAsia="宋体" w:cs="宋体"/>
          <w:color w:val="auto"/>
          <w:sz w:val="24"/>
          <w:szCs w:val="24"/>
          <w:highlight w:val="none"/>
          <w:lang w:eastAsia="zh-CN"/>
        </w:rPr>
      </w:pP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名称（单位电子签章</w:t>
      </w:r>
      <w:r>
        <w:rPr>
          <w:rFonts w:ascii="宋体" w:hAnsi="宋体" w:eastAsia="宋体" w:cs="宋体"/>
          <w:color w:val="auto"/>
          <w:sz w:val="24"/>
          <w:szCs w:val="24"/>
          <w:highlight w:val="none"/>
          <w:lang w:eastAsia="zh-CN"/>
        </w:rPr>
        <w:t>）：</w:t>
      </w:r>
    </w:p>
    <w:p w14:paraId="6ED97E85">
      <w:pPr>
        <w:pStyle w:val="5"/>
        <w:spacing w:line="245" w:lineRule="auto"/>
        <w:rPr>
          <w:color w:val="auto"/>
          <w:highlight w:val="none"/>
          <w:lang w:eastAsia="zh-CN"/>
        </w:rPr>
      </w:pPr>
    </w:p>
    <w:p w14:paraId="19854BD0">
      <w:pPr>
        <w:spacing w:before="78" w:line="219" w:lineRule="auto"/>
        <w:ind w:left="568"/>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法定代表人或其委托代理人</w:t>
      </w:r>
      <w:r>
        <w:rPr>
          <w:rFonts w:ascii="宋体" w:hAnsi="宋体" w:eastAsia="宋体" w:cs="宋体"/>
          <w:color w:val="auto"/>
          <w:spacing w:val="-15"/>
          <w:sz w:val="24"/>
          <w:szCs w:val="24"/>
          <w:highlight w:val="none"/>
          <w:lang w:eastAsia="zh-CN"/>
        </w:rPr>
        <w:t>：（</w:t>
      </w:r>
      <w:r>
        <w:rPr>
          <w:rFonts w:ascii="宋体" w:hAnsi="宋体" w:eastAsia="宋体" w:cs="宋体"/>
          <w:color w:val="auto"/>
          <w:spacing w:val="1"/>
          <w:sz w:val="24"/>
          <w:szCs w:val="24"/>
          <w:highlight w:val="none"/>
          <w:lang w:eastAsia="zh-CN"/>
        </w:rPr>
        <w:t>签字或盖章）</w:t>
      </w:r>
    </w:p>
    <w:p w14:paraId="46E87A19">
      <w:pPr>
        <w:pStyle w:val="5"/>
        <w:spacing w:line="384" w:lineRule="auto"/>
        <w:rPr>
          <w:color w:val="auto"/>
          <w:highlight w:val="none"/>
          <w:lang w:eastAsia="zh-CN"/>
        </w:rPr>
      </w:pPr>
    </w:p>
    <w:p w14:paraId="2F92C112">
      <w:pPr>
        <w:spacing w:before="78" w:line="219" w:lineRule="auto"/>
        <w:ind w:left="6419"/>
        <w:rPr>
          <w:rFonts w:ascii="宋体" w:hAnsi="宋体" w:eastAsia="宋体" w:cs="宋体"/>
          <w:color w:val="auto"/>
          <w:sz w:val="24"/>
          <w:szCs w:val="24"/>
          <w:highlight w:val="none"/>
          <w:lang w:eastAsia="zh-CN"/>
        </w:rPr>
      </w:pPr>
      <w:r>
        <w:rPr>
          <w:rFonts w:ascii="宋体" w:hAnsi="宋体" w:eastAsia="宋体" w:cs="宋体"/>
          <w:color w:val="auto"/>
          <w:spacing w:val="-20"/>
          <w:sz w:val="24"/>
          <w:szCs w:val="24"/>
          <w:highlight w:val="none"/>
          <w:lang w:eastAsia="zh-CN"/>
        </w:rPr>
        <w:t>日</w:t>
      </w:r>
      <w:r>
        <w:rPr>
          <w:rFonts w:ascii="宋体" w:hAnsi="宋体" w:eastAsia="宋体" w:cs="宋体"/>
          <w:color w:val="auto"/>
          <w:spacing w:val="6"/>
          <w:sz w:val="24"/>
          <w:szCs w:val="24"/>
          <w:highlight w:val="none"/>
          <w:lang w:eastAsia="zh-CN"/>
        </w:rPr>
        <w:t xml:space="preserve">  </w:t>
      </w:r>
      <w:r>
        <w:rPr>
          <w:rFonts w:ascii="宋体" w:hAnsi="宋体" w:eastAsia="宋体" w:cs="宋体"/>
          <w:color w:val="auto"/>
          <w:spacing w:val="-20"/>
          <w:sz w:val="24"/>
          <w:szCs w:val="24"/>
          <w:highlight w:val="none"/>
          <w:lang w:eastAsia="zh-CN"/>
        </w:rPr>
        <w:t>期</w:t>
      </w:r>
      <w:r>
        <w:rPr>
          <w:rFonts w:ascii="宋体" w:hAnsi="宋体" w:eastAsia="宋体" w:cs="宋体"/>
          <w:color w:val="auto"/>
          <w:spacing w:val="-89"/>
          <w:sz w:val="24"/>
          <w:szCs w:val="24"/>
          <w:highlight w:val="none"/>
          <w:lang w:eastAsia="zh-CN"/>
        </w:rPr>
        <w:t xml:space="preserve"> </w:t>
      </w:r>
      <w:r>
        <w:rPr>
          <w:rFonts w:ascii="宋体" w:hAnsi="宋体" w:eastAsia="宋体" w:cs="宋体"/>
          <w:color w:val="auto"/>
          <w:spacing w:val="-20"/>
          <w:sz w:val="24"/>
          <w:szCs w:val="24"/>
          <w:highlight w:val="none"/>
          <w:lang w:eastAsia="zh-CN"/>
        </w:rPr>
        <w:t>：</w:t>
      </w:r>
      <w:r>
        <w:rPr>
          <w:rFonts w:ascii="宋体" w:hAnsi="宋体" w:eastAsia="宋体" w:cs="宋体"/>
          <w:color w:val="auto"/>
          <w:spacing w:val="2"/>
          <w:sz w:val="24"/>
          <w:szCs w:val="24"/>
          <w:highlight w:val="none"/>
          <w:lang w:eastAsia="zh-CN"/>
        </w:rPr>
        <w:t xml:space="preserve">     </w:t>
      </w:r>
      <w:r>
        <w:rPr>
          <w:rFonts w:ascii="宋体" w:hAnsi="宋体" w:eastAsia="宋体" w:cs="宋体"/>
          <w:color w:val="auto"/>
          <w:spacing w:val="-20"/>
          <w:sz w:val="24"/>
          <w:szCs w:val="24"/>
          <w:highlight w:val="none"/>
          <w:lang w:eastAsia="zh-CN"/>
        </w:rPr>
        <w:t>年</w:t>
      </w:r>
      <w:r>
        <w:rPr>
          <w:rFonts w:ascii="宋体" w:hAnsi="宋体" w:eastAsia="宋体" w:cs="宋体"/>
          <w:color w:val="auto"/>
          <w:spacing w:val="5"/>
          <w:sz w:val="24"/>
          <w:szCs w:val="24"/>
          <w:highlight w:val="none"/>
          <w:lang w:eastAsia="zh-CN"/>
        </w:rPr>
        <w:t xml:space="preserve">   </w:t>
      </w:r>
      <w:r>
        <w:rPr>
          <w:rFonts w:ascii="宋体" w:hAnsi="宋体" w:eastAsia="宋体" w:cs="宋体"/>
          <w:color w:val="auto"/>
          <w:spacing w:val="-20"/>
          <w:sz w:val="24"/>
          <w:szCs w:val="24"/>
          <w:highlight w:val="none"/>
          <w:lang w:eastAsia="zh-CN"/>
        </w:rPr>
        <w:t>月</w:t>
      </w:r>
      <w:r>
        <w:rPr>
          <w:rFonts w:ascii="宋体" w:hAnsi="宋体" w:eastAsia="宋体" w:cs="宋体"/>
          <w:color w:val="auto"/>
          <w:spacing w:val="16"/>
          <w:sz w:val="24"/>
          <w:szCs w:val="24"/>
          <w:highlight w:val="none"/>
          <w:lang w:eastAsia="zh-CN"/>
        </w:rPr>
        <w:t xml:space="preserve">   </w:t>
      </w:r>
      <w:r>
        <w:rPr>
          <w:rFonts w:ascii="宋体" w:hAnsi="宋体" w:eastAsia="宋体" w:cs="宋体"/>
          <w:color w:val="auto"/>
          <w:spacing w:val="-20"/>
          <w:sz w:val="24"/>
          <w:szCs w:val="24"/>
          <w:highlight w:val="none"/>
          <w:lang w:eastAsia="zh-CN"/>
        </w:rPr>
        <w:t>日</w:t>
      </w:r>
    </w:p>
    <w:p w14:paraId="6DEA67E9">
      <w:pPr>
        <w:spacing w:line="219" w:lineRule="auto"/>
        <w:rPr>
          <w:rFonts w:ascii="宋体" w:hAnsi="宋体" w:eastAsia="宋体" w:cs="宋体"/>
          <w:color w:val="auto"/>
          <w:sz w:val="24"/>
          <w:szCs w:val="24"/>
          <w:highlight w:val="none"/>
          <w:lang w:eastAsia="zh-CN"/>
        </w:rPr>
        <w:sectPr>
          <w:footerReference r:id="rId26" w:type="default"/>
          <w:pgSz w:w="11907" w:h="16840"/>
          <w:pgMar w:top="1431" w:right="962" w:bottom="1139" w:left="1018" w:header="0" w:footer="977" w:gutter="0"/>
          <w:cols w:space="720" w:num="1"/>
        </w:sectPr>
      </w:pPr>
    </w:p>
    <w:p w14:paraId="076F4471">
      <w:pPr>
        <w:spacing w:before="105" w:line="219" w:lineRule="auto"/>
        <w:ind w:left="3852"/>
        <w:outlineLvl w:val="2"/>
        <w:rPr>
          <w:rFonts w:ascii="宋体" w:hAnsi="宋体" w:eastAsia="宋体" w:cs="宋体"/>
          <w:color w:val="auto"/>
          <w:sz w:val="30"/>
          <w:szCs w:val="30"/>
          <w:highlight w:val="none"/>
          <w:lang w:eastAsia="zh-CN"/>
        </w:rPr>
      </w:pPr>
      <w:bookmarkStart w:id="118" w:name="_Toc16465"/>
      <w:r>
        <w:rPr>
          <w:rFonts w:ascii="宋体" w:hAnsi="宋体" w:eastAsia="宋体" w:cs="宋体"/>
          <w:b/>
          <w:bCs/>
          <w:color w:val="auto"/>
          <w:spacing w:val="-6"/>
          <w:sz w:val="30"/>
          <w:szCs w:val="30"/>
          <w:highlight w:val="none"/>
          <w:lang w:eastAsia="zh-CN"/>
        </w:rPr>
        <w:t>（四）技术偏离表</w:t>
      </w:r>
      <w:bookmarkEnd w:id="118"/>
    </w:p>
    <w:p w14:paraId="760BD86B">
      <w:pPr>
        <w:spacing w:before="186"/>
        <w:rPr>
          <w:color w:val="auto"/>
          <w:highlight w:val="none"/>
          <w:lang w:eastAsia="zh-CN"/>
        </w:rPr>
      </w:pPr>
    </w:p>
    <w:tbl>
      <w:tblPr>
        <w:tblStyle w:val="19"/>
        <w:tblW w:w="10040"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19"/>
        <w:gridCol w:w="2000"/>
        <w:gridCol w:w="2132"/>
        <w:gridCol w:w="2264"/>
        <w:gridCol w:w="2725"/>
      </w:tblGrid>
      <w:tr w14:paraId="0D6D6F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96" w:hRule="atLeast"/>
        </w:trPr>
        <w:tc>
          <w:tcPr>
            <w:tcW w:w="919" w:type="dxa"/>
            <w:tcBorders>
              <w:top w:val="single" w:color="000000" w:sz="10" w:space="0"/>
              <w:left w:val="single" w:color="000000" w:sz="10" w:space="0"/>
            </w:tcBorders>
          </w:tcPr>
          <w:p w14:paraId="5D405587">
            <w:pPr>
              <w:spacing w:line="393" w:lineRule="auto"/>
              <w:rPr>
                <w:color w:val="auto"/>
                <w:highlight w:val="none"/>
                <w:lang w:eastAsia="zh-CN"/>
              </w:rPr>
            </w:pPr>
          </w:p>
          <w:p w14:paraId="49E78F9C">
            <w:pPr>
              <w:pStyle w:val="20"/>
              <w:spacing w:before="78" w:line="221" w:lineRule="auto"/>
              <w:ind w:left="138"/>
              <w:rPr>
                <w:color w:val="auto"/>
                <w:highlight w:val="none"/>
              </w:rPr>
            </w:pPr>
            <w:r>
              <w:rPr>
                <w:b/>
                <w:bCs/>
                <w:color w:val="auto"/>
                <w:spacing w:val="-7"/>
                <w:highlight w:val="none"/>
              </w:rPr>
              <w:t>序号</w:t>
            </w:r>
          </w:p>
        </w:tc>
        <w:tc>
          <w:tcPr>
            <w:tcW w:w="2000" w:type="dxa"/>
            <w:tcBorders>
              <w:top w:val="single" w:color="000000" w:sz="10" w:space="0"/>
            </w:tcBorders>
          </w:tcPr>
          <w:p w14:paraId="4462CEB6">
            <w:pPr>
              <w:spacing w:line="392" w:lineRule="auto"/>
              <w:rPr>
                <w:color w:val="auto"/>
                <w:highlight w:val="none"/>
              </w:rPr>
            </w:pPr>
          </w:p>
          <w:p w14:paraId="56272142">
            <w:pPr>
              <w:pStyle w:val="20"/>
              <w:spacing w:before="78" w:line="219" w:lineRule="auto"/>
              <w:ind w:left="520"/>
              <w:rPr>
                <w:color w:val="auto"/>
                <w:highlight w:val="none"/>
              </w:rPr>
            </w:pPr>
            <w:r>
              <w:rPr>
                <w:b/>
                <w:bCs/>
                <w:color w:val="auto"/>
                <w:spacing w:val="-6"/>
                <w:highlight w:val="none"/>
              </w:rPr>
              <w:t>货物名称</w:t>
            </w:r>
          </w:p>
        </w:tc>
        <w:tc>
          <w:tcPr>
            <w:tcW w:w="2132" w:type="dxa"/>
            <w:tcBorders>
              <w:top w:val="single" w:color="000000" w:sz="10" w:space="0"/>
            </w:tcBorders>
          </w:tcPr>
          <w:p w14:paraId="3F782DA7">
            <w:pPr>
              <w:spacing w:line="393" w:lineRule="auto"/>
              <w:rPr>
                <w:color w:val="auto"/>
                <w:highlight w:val="none"/>
              </w:rPr>
            </w:pPr>
          </w:p>
          <w:p w14:paraId="01494D96">
            <w:pPr>
              <w:pStyle w:val="20"/>
              <w:spacing w:before="78" w:line="219" w:lineRule="auto"/>
              <w:ind w:left="344"/>
              <w:rPr>
                <w:color w:val="auto"/>
                <w:highlight w:val="none"/>
              </w:rPr>
            </w:pPr>
            <w:r>
              <w:rPr>
                <w:b/>
                <w:bCs/>
                <w:color w:val="auto"/>
                <w:spacing w:val="-4"/>
                <w:highlight w:val="none"/>
              </w:rPr>
              <w:t>招标技术要求</w:t>
            </w:r>
          </w:p>
        </w:tc>
        <w:tc>
          <w:tcPr>
            <w:tcW w:w="2264" w:type="dxa"/>
            <w:tcBorders>
              <w:top w:val="single" w:color="000000" w:sz="10" w:space="0"/>
            </w:tcBorders>
          </w:tcPr>
          <w:p w14:paraId="055C28A8">
            <w:pPr>
              <w:pStyle w:val="20"/>
              <w:spacing w:before="256" w:line="319" w:lineRule="auto"/>
              <w:ind w:left="897" w:right="161" w:hanging="720"/>
              <w:rPr>
                <w:color w:val="auto"/>
                <w:highlight w:val="none"/>
                <w:lang w:eastAsia="zh-CN"/>
              </w:rPr>
            </w:pPr>
            <w:r>
              <w:rPr>
                <w:b/>
                <w:bCs/>
                <w:color w:val="auto"/>
                <w:spacing w:val="-4"/>
                <w:highlight w:val="none"/>
                <w:lang w:eastAsia="zh-CN"/>
              </w:rPr>
              <w:t>投标货物实际技术</w:t>
            </w:r>
            <w:r>
              <w:rPr>
                <w:color w:val="auto"/>
                <w:spacing w:val="5"/>
                <w:highlight w:val="none"/>
                <w:lang w:eastAsia="zh-CN"/>
              </w:rPr>
              <w:t xml:space="preserve"> </w:t>
            </w:r>
            <w:r>
              <w:rPr>
                <w:b/>
                <w:bCs/>
                <w:color w:val="auto"/>
                <w:spacing w:val="-8"/>
                <w:highlight w:val="none"/>
                <w:lang w:eastAsia="zh-CN"/>
              </w:rPr>
              <w:t>规格</w:t>
            </w:r>
          </w:p>
        </w:tc>
        <w:tc>
          <w:tcPr>
            <w:tcW w:w="2725" w:type="dxa"/>
            <w:tcBorders>
              <w:top w:val="single" w:color="000000" w:sz="10" w:space="0"/>
              <w:right w:val="single" w:color="000000" w:sz="10" w:space="0"/>
            </w:tcBorders>
          </w:tcPr>
          <w:p w14:paraId="70A470B1">
            <w:pPr>
              <w:pStyle w:val="20"/>
              <w:spacing w:before="255" w:line="219" w:lineRule="auto"/>
              <w:ind w:left="886"/>
              <w:rPr>
                <w:color w:val="auto"/>
                <w:highlight w:val="none"/>
                <w:lang w:eastAsia="zh-CN"/>
              </w:rPr>
            </w:pPr>
            <w:r>
              <w:rPr>
                <w:b/>
                <w:bCs/>
                <w:color w:val="auto"/>
                <w:spacing w:val="-5"/>
                <w:highlight w:val="none"/>
                <w:lang w:eastAsia="zh-CN"/>
              </w:rPr>
              <w:t>偏离说明</w:t>
            </w:r>
          </w:p>
          <w:p w14:paraId="43F21198">
            <w:pPr>
              <w:pStyle w:val="20"/>
              <w:spacing w:before="154" w:line="219" w:lineRule="auto"/>
              <w:ind w:left="506"/>
              <w:rPr>
                <w:color w:val="auto"/>
                <w:highlight w:val="none"/>
                <w:lang w:eastAsia="zh-CN"/>
              </w:rPr>
            </w:pPr>
            <w:r>
              <w:rPr>
                <w:b/>
                <w:bCs/>
                <w:color w:val="auto"/>
                <w:spacing w:val="-9"/>
                <w:highlight w:val="none"/>
                <w:lang w:eastAsia="zh-CN"/>
              </w:rPr>
              <w:t>(说明偏离情况）</w:t>
            </w:r>
          </w:p>
        </w:tc>
      </w:tr>
      <w:tr w14:paraId="2BA297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5" w:hRule="atLeast"/>
        </w:trPr>
        <w:tc>
          <w:tcPr>
            <w:tcW w:w="919" w:type="dxa"/>
            <w:tcBorders>
              <w:left w:val="single" w:color="000000" w:sz="10" w:space="0"/>
            </w:tcBorders>
          </w:tcPr>
          <w:p w14:paraId="44C8662B">
            <w:pPr>
              <w:rPr>
                <w:color w:val="auto"/>
                <w:highlight w:val="none"/>
                <w:lang w:eastAsia="zh-CN"/>
              </w:rPr>
            </w:pPr>
          </w:p>
        </w:tc>
        <w:tc>
          <w:tcPr>
            <w:tcW w:w="2000" w:type="dxa"/>
          </w:tcPr>
          <w:p w14:paraId="75BA007C">
            <w:pPr>
              <w:rPr>
                <w:color w:val="auto"/>
                <w:highlight w:val="none"/>
                <w:lang w:eastAsia="zh-CN"/>
              </w:rPr>
            </w:pPr>
          </w:p>
        </w:tc>
        <w:tc>
          <w:tcPr>
            <w:tcW w:w="2132" w:type="dxa"/>
          </w:tcPr>
          <w:p w14:paraId="2D3739B9">
            <w:pPr>
              <w:rPr>
                <w:color w:val="auto"/>
                <w:highlight w:val="none"/>
                <w:lang w:eastAsia="zh-CN"/>
              </w:rPr>
            </w:pPr>
          </w:p>
        </w:tc>
        <w:tc>
          <w:tcPr>
            <w:tcW w:w="2264" w:type="dxa"/>
          </w:tcPr>
          <w:p w14:paraId="5EA54261">
            <w:pPr>
              <w:rPr>
                <w:color w:val="auto"/>
                <w:highlight w:val="none"/>
                <w:lang w:eastAsia="zh-CN"/>
              </w:rPr>
            </w:pPr>
          </w:p>
        </w:tc>
        <w:tc>
          <w:tcPr>
            <w:tcW w:w="2725" w:type="dxa"/>
            <w:tcBorders>
              <w:right w:val="single" w:color="000000" w:sz="10" w:space="0"/>
            </w:tcBorders>
          </w:tcPr>
          <w:p w14:paraId="11327E5A">
            <w:pPr>
              <w:rPr>
                <w:color w:val="auto"/>
                <w:highlight w:val="none"/>
                <w:lang w:eastAsia="zh-CN"/>
              </w:rPr>
            </w:pPr>
          </w:p>
        </w:tc>
      </w:tr>
      <w:tr w14:paraId="37A8AF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3" w:hRule="atLeast"/>
        </w:trPr>
        <w:tc>
          <w:tcPr>
            <w:tcW w:w="919" w:type="dxa"/>
            <w:tcBorders>
              <w:left w:val="single" w:color="000000" w:sz="10" w:space="0"/>
            </w:tcBorders>
          </w:tcPr>
          <w:p w14:paraId="228028A5">
            <w:pPr>
              <w:rPr>
                <w:color w:val="auto"/>
                <w:highlight w:val="none"/>
                <w:lang w:eastAsia="zh-CN"/>
              </w:rPr>
            </w:pPr>
          </w:p>
        </w:tc>
        <w:tc>
          <w:tcPr>
            <w:tcW w:w="2000" w:type="dxa"/>
          </w:tcPr>
          <w:p w14:paraId="6ED35F07">
            <w:pPr>
              <w:rPr>
                <w:color w:val="auto"/>
                <w:highlight w:val="none"/>
                <w:lang w:eastAsia="zh-CN"/>
              </w:rPr>
            </w:pPr>
          </w:p>
        </w:tc>
        <w:tc>
          <w:tcPr>
            <w:tcW w:w="2132" w:type="dxa"/>
          </w:tcPr>
          <w:p w14:paraId="3644CB2C">
            <w:pPr>
              <w:rPr>
                <w:color w:val="auto"/>
                <w:highlight w:val="none"/>
                <w:lang w:eastAsia="zh-CN"/>
              </w:rPr>
            </w:pPr>
          </w:p>
        </w:tc>
        <w:tc>
          <w:tcPr>
            <w:tcW w:w="2264" w:type="dxa"/>
          </w:tcPr>
          <w:p w14:paraId="05AC3A09">
            <w:pPr>
              <w:rPr>
                <w:color w:val="auto"/>
                <w:highlight w:val="none"/>
                <w:lang w:eastAsia="zh-CN"/>
              </w:rPr>
            </w:pPr>
          </w:p>
        </w:tc>
        <w:tc>
          <w:tcPr>
            <w:tcW w:w="2725" w:type="dxa"/>
            <w:tcBorders>
              <w:right w:val="single" w:color="000000" w:sz="10" w:space="0"/>
            </w:tcBorders>
          </w:tcPr>
          <w:p w14:paraId="0BA401C1">
            <w:pPr>
              <w:rPr>
                <w:color w:val="auto"/>
                <w:highlight w:val="none"/>
                <w:lang w:eastAsia="zh-CN"/>
              </w:rPr>
            </w:pPr>
          </w:p>
        </w:tc>
      </w:tr>
      <w:tr w14:paraId="68823F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4" w:hRule="atLeast"/>
        </w:trPr>
        <w:tc>
          <w:tcPr>
            <w:tcW w:w="919" w:type="dxa"/>
            <w:tcBorders>
              <w:left w:val="single" w:color="000000" w:sz="10" w:space="0"/>
            </w:tcBorders>
          </w:tcPr>
          <w:p w14:paraId="6D2A27C1">
            <w:pPr>
              <w:rPr>
                <w:color w:val="auto"/>
                <w:highlight w:val="none"/>
                <w:lang w:eastAsia="zh-CN"/>
              </w:rPr>
            </w:pPr>
          </w:p>
        </w:tc>
        <w:tc>
          <w:tcPr>
            <w:tcW w:w="2000" w:type="dxa"/>
          </w:tcPr>
          <w:p w14:paraId="27D2A86C">
            <w:pPr>
              <w:rPr>
                <w:color w:val="auto"/>
                <w:highlight w:val="none"/>
                <w:lang w:eastAsia="zh-CN"/>
              </w:rPr>
            </w:pPr>
          </w:p>
        </w:tc>
        <w:tc>
          <w:tcPr>
            <w:tcW w:w="2132" w:type="dxa"/>
          </w:tcPr>
          <w:p w14:paraId="17D2B5FB">
            <w:pPr>
              <w:rPr>
                <w:color w:val="auto"/>
                <w:highlight w:val="none"/>
                <w:lang w:eastAsia="zh-CN"/>
              </w:rPr>
            </w:pPr>
          </w:p>
        </w:tc>
        <w:tc>
          <w:tcPr>
            <w:tcW w:w="2264" w:type="dxa"/>
          </w:tcPr>
          <w:p w14:paraId="073EC17A">
            <w:pPr>
              <w:rPr>
                <w:color w:val="auto"/>
                <w:highlight w:val="none"/>
                <w:lang w:eastAsia="zh-CN"/>
              </w:rPr>
            </w:pPr>
          </w:p>
        </w:tc>
        <w:tc>
          <w:tcPr>
            <w:tcW w:w="2725" w:type="dxa"/>
            <w:tcBorders>
              <w:right w:val="single" w:color="000000" w:sz="10" w:space="0"/>
            </w:tcBorders>
          </w:tcPr>
          <w:p w14:paraId="3F31EF64">
            <w:pPr>
              <w:rPr>
                <w:color w:val="auto"/>
                <w:highlight w:val="none"/>
                <w:lang w:eastAsia="zh-CN"/>
              </w:rPr>
            </w:pPr>
          </w:p>
        </w:tc>
      </w:tr>
      <w:tr w14:paraId="754DE8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1" w:hRule="atLeast"/>
        </w:trPr>
        <w:tc>
          <w:tcPr>
            <w:tcW w:w="919" w:type="dxa"/>
            <w:tcBorders>
              <w:left w:val="single" w:color="000000" w:sz="10" w:space="0"/>
            </w:tcBorders>
          </w:tcPr>
          <w:p w14:paraId="4DCC25FF">
            <w:pPr>
              <w:rPr>
                <w:color w:val="auto"/>
                <w:highlight w:val="none"/>
                <w:lang w:eastAsia="zh-CN"/>
              </w:rPr>
            </w:pPr>
          </w:p>
        </w:tc>
        <w:tc>
          <w:tcPr>
            <w:tcW w:w="2000" w:type="dxa"/>
          </w:tcPr>
          <w:p w14:paraId="679DB2E8">
            <w:pPr>
              <w:rPr>
                <w:color w:val="auto"/>
                <w:highlight w:val="none"/>
                <w:lang w:eastAsia="zh-CN"/>
              </w:rPr>
            </w:pPr>
          </w:p>
        </w:tc>
        <w:tc>
          <w:tcPr>
            <w:tcW w:w="2132" w:type="dxa"/>
          </w:tcPr>
          <w:p w14:paraId="344C2483">
            <w:pPr>
              <w:rPr>
                <w:color w:val="auto"/>
                <w:highlight w:val="none"/>
                <w:lang w:eastAsia="zh-CN"/>
              </w:rPr>
            </w:pPr>
          </w:p>
        </w:tc>
        <w:tc>
          <w:tcPr>
            <w:tcW w:w="2264" w:type="dxa"/>
          </w:tcPr>
          <w:p w14:paraId="403058E8">
            <w:pPr>
              <w:rPr>
                <w:color w:val="auto"/>
                <w:highlight w:val="none"/>
                <w:lang w:eastAsia="zh-CN"/>
              </w:rPr>
            </w:pPr>
          </w:p>
        </w:tc>
        <w:tc>
          <w:tcPr>
            <w:tcW w:w="2725" w:type="dxa"/>
            <w:tcBorders>
              <w:right w:val="single" w:color="000000" w:sz="10" w:space="0"/>
            </w:tcBorders>
          </w:tcPr>
          <w:p w14:paraId="5A22DCE5">
            <w:pPr>
              <w:rPr>
                <w:color w:val="auto"/>
                <w:highlight w:val="none"/>
                <w:lang w:eastAsia="zh-CN"/>
              </w:rPr>
            </w:pPr>
          </w:p>
        </w:tc>
      </w:tr>
      <w:tr w14:paraId="2593B2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9" w:hRule="atLeast"/>
        </w:trPr>
        <w:tc>
          <w:tcPr>
            <w:tcW w:w="919" w:type="dxa"/>
            <w:tcBorders>
              <w:left w:val="single" w:color="000000" w:sz="10" w:space="0"/>
            </w:tcBorders>
          </w:tcPr>
          <w:p w14:paraId="1407C499">
            <w:pPr>
              <w:rPr>
                <w:color w:val="auto"/>
                <w:highlight w:val="none"/>
                <w:lang w:eastAsia="zh-CN"/>
              </w:rPr>
            </w:pPr>
          </w:p>
        </w:tc>
        <w:tc>
          <w:tcPr>
            <w:tcW w:w="2000" w:type="dxa"/>
          </w:tcPr>
          <w:p w14:paraId="7D04AE39">
            <w:pPr>
              <w:rPr>
                <w:color w:val="auto"/>
                <w:highlight w:val="none"/>
                <w:lang w:eastAsia="zh-CN"/>
              </w:rPr>
            </w:pPr>
          </w:p>
        </w:tc>
        <w:tc>
          <w:tcPr>
            <w:tcW w:w="2132" w:type="dxa"/>
          </w:tcPr>
          <w:p w14:paraId="545EE021">
            <w:pPr>
              <w:rPr>
                <w:color w:val="auto"/>
                <w:highlight w:val="none"/>
                <w:lang w:eastAsia="zh-CN"/>
              </w:rPr>
            </w:pPr>
          </w:p>
        </w:tc>
        <w:tc>
          <w:tcPr>
            <w:tcW w:w="2264" w:type="dxa"/>
          </w:tcPr>
          <w:p w14:paraId="42F53F60">
            <w:pPr>
              <w:rPr>
                <w:color w:val="auto"/>
                <w:highlight w:val="none"/>
                <w:lang w:eastAsia="zh-CN"/>
              </w:rPr>
            </w:pPr>
          </w:p>
        </w:tc>
        <w:tc>
          <w:tcPr>
            <w:tcW w:w="2725" w:type="dxa"/>
            <w:tcBorders>
              <w:right w:val="single" w:color="000000" w:sz="10" w:space="0"/>
            </w:tcBorders>
          </w:tcPr>
          <w:p w14:paraId="3202A4CB">
            <w:pPr>
              <w:rPr>
                <w:color w:val="auto"/>
                <w:highlight w:val="none"/>
                <w:lang w:eastAsia="zh-CN"/>
              </w:rPr>
            </w:pPr>
          </w:p>
        </w:tc>
      </w:tr>
      <w:tr w14:paraId="2F93DE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5" w:hRule="atLeast"/>
        </w:trPr>
        <w:tc>
          <w:tcPr>
            <w:tcW w:w="919" w:type="dxa"/>
            <w:tcBorders>
              <w:left w:val="single" w:color="000000" w:sz="10" w:space="0"/>
            </w:tcBorders>
          </w:tcPr>
          <w:p w14:paraId="71B9DBA5">
            <w:pPr>
              <w:rPr>
                <w:color w:val="auto"/>
                <w:highlight w:val="none"/>
                <w:lang w:eastAsia="zh-CN"/>
              </w:rPr>
            </w:pPr>
          </w:p>
        </w:tc>
        <w:tc>
          <w:tcPr>
            <w:tcW w:w="2000" w:type="dxa"/>
          </w:tcPr>
          <w:p w14:paraId="45AAAD2F">
            <w:pPr>
              <w:rPr>
                <w:color w:val="auto"/>
                <w:highlight w:val="none"/>
                <w:lang w:eastAsia="zh-CN"/>
              </w:rPr>
            </w:pPr>
          </w:p>
        </w:tc>
        <w:tc>
          <w:tcPr>
            <w:tcW w:w="2132" w:type="dxa"/>
          </w:tcPr>
          <w:p w14:paraId="32F9C209">
            <w:pPr>
              <w:rPr>
                <w:color w:val="auto"/>
                <w:highlight w:val="none"/>
                <w:lang w:eastAsia="zh-CN"/>
              </w:rPr>
            </w:pPr>
          </w:p>
        </w:tc>
        <w:tc>
          <w:tcPr>
            <w:tcW w:w="2264" w:type="dxa"/>
          </w:tcPr>
          <w:p w14:paraId="3453D17C">
            <w:pPr>
              <w:rPr>
                <w:color w:val="auto"/>
                <w:highlight w:val="none"/>
                <w:lang w:eastAsia="zh-CN"/>
              </w:rPr>
            </w:pPr>
          </w:p>
        </w:tc>
        <w:tc>
          <w:tcPr>
            <w:tcW w:w="2725" w:type="dxa"/>
            <w:tcBorders>
              <w:right w:val="single" w:color="000000" w:sz="10" w:space="0"/>
            </w:tcBorders>
          </w:tcPr>
          <w:p w14:paraId="1525C9AA">
            <w:pPr>
              <w:rPr>
                <w:color w:val="auto"/>
                <w:highlight w:val="none"/>
                <w:lang w:eastAsia="zh-CN"/>
              </w:rPr>
            </w:pPr>
          </w:p>
        </w:tc>
      </w:tr>
    </w:tbl>
    <w:p w14:paraId="44494EFE">
      <w:pPr>
        <w:spacing w:before="196" w:line="375" w:lineRule="auto"/>
        <w:ind w:left="637" w:right="547" w:firstLine="480"/>
        <w:jc w:val="both"/>
        <w:rPr>
          <w:rFonts w:ascii="宋体" w:hAnsi="宋体" w:eastAsia="宋体" w:cs="宋体"/>
          <w:color w:val="auto"/>
          <w:sz w:val="24"/>
          <w:szCs w:val="24"/>
          <w:highlight w:val="none"/>
          <w:lang w:eastAsia="zh-CN"/>
        </w:rPr>
      </w:pPr>
      <w:r>
        <w:rPr>
          <w:rFonts w:ascii="宋体" w:hAnsi="宋体" w:eastAsia="宋体" w:cs="宋体"/>
          <w:color w:val="auto"/>
          <w:spacing w:val="-7"/>
          <w:sz w:val="24"/>
          <w:szCs w:val="24"/>
          <w:highlight w:val="none"/>
          <w:lang w:eastAsia="zh-CN"/>
        </w:rPr>
        <w:t>注：</w:t>
      </w:r>
      <w:r>
        <w:rPr>
          <w:rFonts w:hint="eastAsia" w:ascii="宋体" w:hAnsi="宋体" w:eastAsia="宋体" w:cs="宋体"/>
          <w:color w:val="auto"/>
          <w:spacing w:val="-7"/>
          <w:sz w:val="24"/>
          <w:szCs w:val="24"/>
          <w:highlight w:val="none"/>
          <w:lang w:eastAsia="zh-CN"/>
        </w:rPr>
        <w:t>投标人</w:t>
      </w:r>
      <w:r>
        <w:rPr>
          <w:rFonts w:ascii="宋体" w:hAnsi="宋体" w:eastAsia="宋体" w:cs="宋体"/>
          <w:color w:val="auto"/>
          <w:spacing w:val="-7"/>
          <w:sz w:val="24"/>
          <w:szCs w:val="24"/>
          <w:highlight w:val="none"/>
          <w:lang w:eastAsia="zh-CN"/>
        </w:rPr>
        <w:t>须对照招标文件技术规格，将自己所投的所有货物的功能、技术性能、</w:t>
      </w:r>
      <w:r>
        <w:rPr>
          <w:rFonts w:ascii="宋体" w:hAnsi="宋体" w:eastAsia="宋体" w:cs="宋体"/>
          <w:color w:val="auto"/>
          <w:spacing w:val="12"/>
          <w:sz w:val="24"/>
          <w:szCs w:val="24"/>
          <w:highlight w:val="none"/>
          <w:lang w:eastAsia="zh-CN"/>
        </w:rPr>
        <w:t xml:space="preserve"> </w:t>
      </w:r>
      <w:r>
        <w:rPr>
          <w:rFonts w:ascii="宋体" w:hAnsi="宋体" w:eastAsia="宋体" w:cs="宋体"/>
          <w:color w:val="auto"/>
          <w:spacing w:val="-3"/>
          <w:sz w:val="24"/>
          <w:szCs w:val="24"/>
          <w:highlight w:val="none"/>
          <w:lang w:eastAsia="zh-CN"/>
        </w:rPr>
        <w:t>配置等内容按照上表格式与招标文件要求逐条填写，</w:t>
      </w:r>
      <w:r>
        <w:rPr>
          <w:rFonts w:hint="eastAsia" w:ascii="宋体" w:hAnsi="宋体" w:eastAsia="宋体" w:cs="宋体"/>
          <w:b/>
          <w:bCs/>
          <w:color w:val="auto"/>
          <w:spacing w:val="-3"/>
          <w:sz w:val="24"/>
          <w:szCs w:val="24"/>
          <w:highlight w:val="none"/>
          <w:lang w:eastAsia="zh-CN"/>
        </w:rPr>
        <w:t>投标人</w:t>
      </w:r>
      <w:r>
        <w:rPr>
          <w:rFonts w:ascii="宋体" w:hAnsi="宋体" w:eastAsia="宋体" w:cs="宋体"/>
          <w:b/>
          <w:bCs/>
          <w:color w:val="auto"/>
          <w:spacing w:val="-3"/>
          <w:sz w:val="24"/>
          <w:szCs w:val="24"/>
          <w:highlight w:val="none"/>
          <w:lang w:eastAsia="zh-CN"/>
        </w:rPr>
        <w:t>必须提供</w:t>
      </w:r>
      <w:r>
        <w:rPr>
          <w:rFonts w:ascii="宋体" w:hAnsi="宋体" w:eastAsia="宋体" w:cs="宋体"/>
          <w:b/>
          <w:bCs/>
          <w:color w:val="auto"/>
          <w:spacing w:val="-4"/>
          <w:sz w:val="24"/>
          <w:szCs w:val="24"/>
          <w:highlight w:val="none"/>
          <w:lang w:eastAsia="zh-CN"/>
        </w:rPr>
        <w:t>所投设备的具体</w:t>
      </w:r>
      <w:r>
        <w:rPr>
          <w:rFonts w:ascii="宋体" w:hAnsi="宋体" w:eastAsia="宋体" w:cs="宋体"/>
          <w:color w:val="auto"/>
          <w:sz w:val="24"/>
          <w:szCs w:val="24"/>
          <w:highlight w:val="none"/>
          <w:lang w:eastAsia="zh-CN"/>
        </w:rPr>
        <w:t xml:space="preserve"> </w:t>
      </w:r>
      <w:r>
        <w:rPr>
          <w:rFonts w:ascii="宋体" w:hAnsi="宋体" w:eastAsia="宋体" w:cs="宋体"/>
          <w:b/>
          <w:bCs/>
          <w:color w:val="auto"/>
          <w:spacing w:val="-2"/>
          <w:sz w:val="24"/>
          <w:szCs w:val="24"/>
          <w:highlight w:val="none"/>
          <w:lang w:eastAsia="zh-CN"/>
        </w:rPr>
        <w:t>参数值，并在偏离说明栏中标明技术及配置的实际响应情况</w:t>
      </w:r>
      <w:r>
        <w:rPr>
          <w:rFonts w:ascii="宋体" w:hAnsi="宋体" w:eastAsia="宋体" w:cs="宋体"/>
          <w:color w:val="auto"/>
          <w:spacing w:val="-2"/>
          <w:sz w:val="24"/>
          <w:szCs w:val="24"/>
          <w:highlight w:val="none"/>
          <w:lang w:eastAsia="zh-CN"/>
        </w:rPr>
        <w:t>：</w:t>
      </w:r>
    </w:p>
    <w:p w14:paraId="6B41D8B6">
      <w:pPr>
        <w:spacing w:before="36" w:line="302" w:lineRule="auto"/>
        <w:ind w:left="637" w:right="627" w:firstLine="497"/>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1、偏离说明栏中必须标明技术及配置的响应情况</w:t>
      </w:r>
      <w:r>
        <w:rPr>
          <w:rFonts w:ascii="宋体" w:hAnsi="宋体" w:eastAsia="宋体" w:cs="宋体"/>
          <w:color w:val="auto"/>
          <w:sz w:val="24"/>
          <w:szCs w:val="24"/>
          <w:highlight w:val="none"/>
          <w:lang w:eastAsia="zh-CN"/>
        </w:rPr>
        <w:t>，整项货物及该项货物各部分 相应情况须按下列要求填写，任何不真实响</w:t>
      </w:r>
      <w:r>
        <w:rPr>
          <w:rFonts w:ascii="宋体" w:hAnsi="宋体" w:eastAsia="宋体" w:cs="宋体"/>
          <w:color w:val="auto"/>
          <w:spacing w:val="-1"/>
          <w:sz w:val="24"/>
          <w:szCs w:val="24"/>
          <w:highlight w:val="none"/>
          <w:lang w:eastAsia="zh-CN"/>
        </w:rPr>
        <w:t>应都将按无效投标处理：</w:t>
      </w:r>
    </w:p>
    <w:p w14:paraId="72AA82C8">
      <w:pPr>
        <w:spacing w:before="213" w:line="303" w:lineRule="auto"/>
        <w:ind w:left="625" w:right="624" w:firstLine="503"/>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（1）对应项中的所有技术参数全部符合招标文件要求</w:t>
      </w:r>
      <w:r>
        <w:rPr>
          <w:rFonts w:ascii="宋体" w:hAnsi="宋体" w:eastAsia="宋体" w:cs="宋体"/>
          <w:color w:val="auto"/>
          <w:sz w:val="24"/>
          <w:szCs w:val="24"/>
          <w:highlight w:val="none"/>
          <w:lang w:eastAsia="zh-CN"/>
        </w:rPr>
        <w:t>的才能填写 “符合</w:t>
      </w:r>
      <w:r>
        <w:rPr>
          <w:rFonts w:ascii="宋体" w:hAnsi="宋体" w:eastAsia="宋体" w:cs="宋体"/>
          <w:color w:val="auto"/>
          <w:spacing w:val="-89"/>
          <w:sz w:val="24"/>
          <w:szCs w:val="24"/>
          <w:highlight w:val="none"/>
          <w:lang w:eastAsia="zh-CN"/>
        </w:rPr>
        <w:t xml:space="preserve"> </w:t>
      </w:r>
      <w:r>
        <w:rPr>
          <w:rFonts w:ascii="宋体" w:hAnsi="宋体" w:eastAsia="宋体" w:cs="宋体"/>
          <w:color w:val="auto"/>
          <w:sz w:val="24"/>
          <w:szCs w:val="24"/>
          <w:highlight w:val="none"/>
          <w:lang w:eastAsia="zh-CN"/>
        </w:rPr>
        <w:t>”；</w:t>
      </w:r>
    </w:p>
    <w:p w14:paraId="07636673">
      <w:pPr>
        <w:spacing w:before="213" w:line="302" w:lineRule="auto"/>
        <w:ind w:left="641" w:right="624" w:firstLine="487"/>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（2）对应项中的所有技术参数全部符合招标文件要求</w:t>
      </w:r>
      <w:r>
        <w:rPr>
          <w:rFonts w:ascii="宋体" w:hAnsi="宋体" w:eastAsia="宋体" w:cs="宋体"/>
          <w:color w:val="auto"/>
          <w:sz w:val="24"/>
          <w:szCs w:val="24"/>
          <w:highlight w:val="none"/>
          <w:lang w:eastAsia="zh-CN"/>
        </w:rPr>
        <w:t xml:space="preserve">并且其中有 </w:t>
      </w:r>
      <w:r>
        <w:rPr>
          <w:rFonts w:ascii="宋体" w:hAnsi="宋体" w:eastAsia="宋体" w:cs="宋体"/>
          <w:color w:val="auto"/>
          <w:spacing w:val="-1"/>
          <w:sz w:val="24"/>
          <w:szCs w:val="24"/>
          <w:highlight w:val="none"/>
          <w:lang w:eastAsia="zh-CN"/>
        </w:rPr>
        <w:t>一个或以上指标优于招标文件要求的，可填写“正偏离</w:t>
      </w:r>
      <w:r>
        <w:rPr>
          <w:rFonts w:ascii="宋体" w:hAnsi="宋体" w:eastAsia="宋体" w:cs="宋体"/>
          <w:color w:val="auto"/>
          <w:spacing w:val="-79"/>
          <w:sz w:val="24"/>
          <w:szCs w:val="24"/>
          <w:highlight w:val="none"/>
          <w:lang w:eastAsia="zh-CN"/>
        </w:rPr>
        <w:t xml:space="preserve"> </w:t>
      </w:r>
      <w:r>
        <w:rPr>
          <w:rFonts w:ascii="宋体" w:hAnsi="宋体" w:eastAsia="宋体" w:cs="宋体"/>
          <w:color w:val="auto"/>
          <w:spacing w:val="-1"/>
          <w:sz w:val="24"/>
          <w:szCs w:val="24"/>
          <w:highlight w:val="none"/>
          <w:lang w:eastAsia="zh-CN"/>
        </w:rPr>
        <w:t>”；</w:t>
      </w:r>
    </w:p>
    <w:p w14:paraId="27C97C76">
      <w:pPr>
        <w:pStyle w:val="5"/>
        <w:spacing w:line="332" w:lineRule="auto"/>
        <w:rPr>
          <w:color w:val="auto"/>
          <w:highlight w:val="none"/>
          <w:lang w:eastAsia="zh-CN"/>
        </w:rPr>
      </w:pPr>
    </w:p>
    <w:p w14:paraId="479CAA7B">
      <w:pPr>
        <w:pStyle w:val="5"/>
        <w:spacing w:line="332" w:lineRule="auto"/>
        <w:rPr>
          <w:color w:val="auto"/>
          <w:highlight w:val="none"/>
          <w:lang w:eastAsia="zh-CN"/>
        </w:rPr>
      </w:pPr>
    </w:p>
    <w:p w14:paraId="4DDE18A8">
      <w:pPr>
        <w:spacing w:before="78" w:line="219" w:lineRule="auto"/>
        <w:ind w:left="637"/>
        <w:rPr>
          <w:rFonts w:ascii="宋体" w:hAnsi="宋体" w:eastAsia="宋体" w:cs="宋体"/>
          <w:color w:val="auto"/>
          <w:sz w:val="24"/>
          <w:szCs w:val="24"/>
          <w:highlight w:val="none"/>
          <w:lang w:eastAsia="zh-CN"/>
        </w:rPr>
      </w:pP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名称（单位电子签章</w:t>
      </w:r>
      <w:r>
        <w:rPr>
          <w:rFonts w:ascii="宋体" w:hAnsi="宋体" w:eastAsia="宋体" w:cs="宋体"/>
          <w:color w:val="auto"/>
          <w:sz w:val="24"/>
          <w:szCs w:val="24"/>
          <w:highlight w:val="none"/>
          <w:lang w:eastAsia="zh-CN"/>
        </w:rPr>
        <w:t>）：</w:t>
      </w:r>
    </w:p>
    <w:p w14:paraId="55010A3E">
      <w:pPr>
        <w:pStyle w:val="5"/>
        <w:spacing w:line="245" w:lineRule="auto"/>
        <w:rPr>
          <w:color w:val="auto"/>
          <w:highlight w:val="none"/>
          <w:lang w:eastAsia="zh-CN"/>
        </w:rPr>
      </w:pPr>
    </w:p>
    <w:p w14:paraId="58CCA56A">
      <w:pPr>
        <w:spacing w:before="78" w:line="219" w:lineRule="auto"/>
        <w:ind w:left="638"/>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法定代表人或其委托代理人</w:t>
      </w:r>
      <w:r>
        <w:rPr>
          <w:rFonts w:ascii="宋体" w:hAnsi="宋体" w:eastAsia="宋体" w:cs="宋体"/>
          <w:color w:val="auto"/>
          <w:spacing w:val="-15"/>
          <w:sz w:val="24"/>
          <w:szCs w:val="24"/>
          <w:highlight w:val="none"/>
          <w:lang w:eastAsia="zh-CN"/>
        </w:rPr>
        <w:t>：（</w:t>
      </w:r>
      <w:r>
        <w:rPr>
          <w:rFonts w:ascii="宋体" w:hAnsi="宋体" w:eastAsia="宋体" w:cs="宋体"/>
          <w:color w:val="auto"/>
          <w:spacing w:val="1"/>
          <w:sz w:val="24"/>
          <w:szCs w:val="24"/>
          <w:highlight w:val="none"/>
          <w:lang w:eastAsia="zh-CN"/>
        </w:rPr>
        <w:t>签字或盖章）</w:t>
      </w:r>
    </w:p>
    <w:p w14:paraId="1AD3A527">
      <w:pPr>
        <w:pStyle w:val="5"/>
        <w:spacing w:line="384" w:lineRule="auto"/>
        <w:rPr>
          <w:color w:val="auto"/>
          <w:highlight w:val="none"/>
          <w:lang w:eastAsia="zh-CN"/>
        </w:rPr>
      </w:pPr>
    </w:p>
    <w:p w14:paraId="6D6C432C">
      <w:pPr>
        <w:spacing w:before="78" w:line="219" w:lineRule="auto"/>
        <w:ind w:left="6489"/>
        <w:rPr>
          <w:rFonts w:ascii="宋体" w:hAnsi="宋体" w:eastAsia="宋体" w:cs="宋体"/>
          <w:color w:val="auto"/>
          <w:sz w:val="24"/>
          <w:szCs w:val="24"/>
          <w:highlight w:val="none"/>
          <w:lang w:eastAsia="zh-CN"/>
        </w:rPr>
      </w:pPr>
      <w:r>
        <w:rPr>
          <w:rFonts w:ascii="宋体" w:hAnsi="宋体" w:eastAsia="宋体" w:cs="宋体"/>
          <w:color w:val="auto"/>
          <w:spacing w:val="-20"/>
          <w:sz w:val="24"/>
          <w:szCs w:val="24"/>
          <w:highlight w:val="none"/>
          <w:lang w:eastAsia="zh-CN"/>
        </w:rPr>
        <w:t>日</w:t>
      </w:r>
      <w:r>
        <w:rPr>
          <w:rFonts w:ascii="宋体" w:hAnsi="宋体" w:eastAsia="宋体" w:cs="宋体"/>
          <w:color w:val="auto"/>
          <w:spacing w:val="6"/>
          <w:sz w:val="24"/>
          <w:szCs w:val="24"/>
          <w:highlight w:val="none"/>
          <w:lang w:eastAsia="zh-CN"/>
        </w:rPr>
        <w:t xml:space="preserve">  </w:t>
      </w:r>
      <w:r>
        <w:rPr>
          <w:rFonts w:ascii="宋体" w:hAnsi="宋体" w:eastAsia="宋体" w:cs="宋体"/>
          <w:color w:val="auto"/>
          <w:spacing w:val="-20"/>
          <w:sz w:val="24"/>
          <w:szCs w:val="24"/>
          <w:highlight w:val="none"/>
          <w:lang w:eastAsia="zh-CN"/>
        </w:rPr>
        <w:t>期</w:t>
      </w:r>
      <w:r>
        <w:rPr>
          <w:rFonts w:ascii="宋体" w:hAnsi="宋体" w:eastAsia="宋体" w:cs="宋体"/>
          <w:color w:val="auto"/>
          <w:spacing w:val="-89"/>
          <w:sz w:val="24"/>
          <w:szCs w:val="24"/>
          <w:highlight w:val="none"/>
          <w:lang w:eastAsia="zh-CN"/>
        </w:rPr>
        <w:t xml:space="preserve"> </w:t>
      </w:r>
      <w:r>
        <w:rPr>
          <w:rFonts w:ascii="宋体" w:hAnsi="宋体" w:eastAsia="宋体" w:cs="宋体"/>
          <w:color w:val="auto"/>
          <w:spacing w:val="-20"/>
          <w:sz w:val="24"/>
          <w:szCs w:val="24"/>
          <w:highlight w:val="none"/>
          <w:lang w:eastAsia="zh-CN"/>
        </w:rPr>
        <w:t>：</w:t>
      </w:r>
      <w:r>
        <w:rPr>
          <w:rFonts w:ascii="宋体" w:hAnsi="宋体" w:eastAsia="宋体" w:cs="宋体"/>
          <w:color w:val="auto"/>
          <w:spacing w:val="2"/>
          <w:sz w:val="24"/>
          <w:szCs w:val="24"/>
          <w:highlight w:val="none"/>
          <w:lang w:eastAsia="zh-CN"/>
        </w:rPr>
        <w:t xml:space="preserve">     </w:t>
      </w:r>
      <w:r>
        <w:rPr>
          <w:rFonts w:ascii="宋体" w:hAnsi="宋体" w:eastAsia="宋体" w:cs="宋体"/>
          <w:color w:val="auto"/>
          <w:spacing w:val="-20"/>
          <w:sz w:val="24"/>
          <w:szCs w:val="24"/>
          <w:highlight w:val="none"/>
          <w:lang w:eastAsia="zh-CN"/>
        </w:rPr>
        <w:t>年</w:t>
      </w:r>
      <w:r>
        <w:rPr>
          <w:rFonts w:ascii="宋体" w:hAnsi="宋体" w:eastAsia="宋体" w:cs="宋体"/>
          <w:color w:val="auto"/>
          <w:spacing w:val="5"/>
          <w:sz w:val="24"/>
          <w:szCs w:val="24"/>
          <w:highlight w:val="none"/>
          <w:lang w:eastAsia="zh-CN"/>
        </w:rPr>
        <w:t xml:space="preserve">   </w:t>
      </w:r>
      <w:r>
        <w:rPr>
          <w:rFonts w:ascii="宋体" w:hAnsi="宋体" w:eastAsia="宋体" w:cs="宋体"/>
          <w:color w:val="auto"/>
          <w:spacing w:val="-20"/>
          <w:sz w:val="24"/>
          <w:szCs w:val="24"/>
          <w:highlight w:val="none"/>
          <w:lang w:eastAsia="zh-CN"/>
        </w:rPr>
        <w:t>月</w:t>
      </w:r>
      <w:r>
        <w:rPr>
          <w:rFonts w:ascii="宋体" w:hAnsi="宋体" w:eastAsia="宋体" w:cs="宋体"/>
          <w:color w:val="auto"/>
          <w:spacing w:val="16"/>
          <w:sz w:val="24"/>
          <w:szCs w:val="24"/>
          <w:highlight w:val="none"/>
          <w:lang w:eastAsia="zh-CN"/>
        </w:rPr>
        <w:t xml:space="preserve">   </w:t>
      </w:r>
      <w:r>
        <w:rPr>
          <w:rFonts w:ascii="宋体" w:hAnsi="宋体" w:eastAsia="宋体" w:cs="宋体"/>
          <w:color w:val="auto"/>
          <w:spacing w:val="-20"/>
          <w:sz w:val="24"/>
          <w:szCs w:val="24"/>
          <w:highlight w:val="none"/>
          <w:lang w:eastAsia="zh-CN"/>
        </w:rPr>
        <w:t>日</w:t>
      </w:r>
    </w:p>
    <w:p w14:paraId="33885EEF">
      <w:pPr>
        <w:spacing w:line="219" w:lineRule="auto"/>
        <w:rPr>
          <w:rFonts w:ascii="宋体" w:hAnsi="宋体" w:eastAsia="宋体" w:cs="宋体"/>
          <w:color w:val="auto"/>
          <w:sz w:val="24"/>
          <w:szCs w:val="24"/>
          <w:highlight w:val="none"/>
          <w:lang w:eastAsia="zh-CN"/>
        </w:rPr>
        <w:sectPr>
          <w:footerReference r:id="rId27" w:type="default"/>
          <w:pgSz w:w="11907" w:h="16840"/>
          <w:pgMar w:top="1431" w:right="892" w:bottom="1139" w:left="948" w:header="0" w:footer="977" w:gutter="0"/>
          <w:cols w:space="720" w:num="1"/>
        </w:sectPr>
      </w:pPr>
    </w:p>
    <w:p w14:paraId="3086FAFF">
      <w:pPr>
        <w:spacing w:before="59" w:line="219" w:lineRule="auto"/>
        <w:ind w:left="3210"/>
        <w:outlineLvl w:val="1"/>
        <w:rPr>
          <w:rFonts w:ascii="宋体" w:hAnsi="宋体" w:eastAsia="宋体" w:cs="宋体"/>
          <w:color w:val="auto"/>
          <w:sz w:val="28"/>
          <w:szCs w:val="28"/>
          <w:highlight w:val="none"/>
          <w:lang w:eastAsia="zh-CN"/>
        </w:rPr>
      </w:pPr>
      <w:bookmarkStart w:id="119" w:name="_Toc24073"/>
      <w:r>
        <w:rPr>
          <w:rFonts w:ascii="宋体" w:hAnsi="宋体" w:eastAsia="宋体" w:cs="宋体"/>
          <w:b/>
          <w:bCs/>
          <w:color w:val="auto"/>
          <w:spacing w:val="-4"/>
          <w:sz w:val="28"/>
          <w:szCs w:val="28"/>
          <w:highlight w:val="none"/>
          <w:lang w:eastAsia="zh-CN"/>
        </w:rPr>
        <w:t>二、法定代表人身份证明书</w:t>
      </w:r>
      <w:bookmarkEnd w:id="119"/>
    </w:p>
    <w:p w14:paraId="70673E2D">
      <w:pPr>
        <w:pStyle w:val="5"/>
        <w:spacing w:line="460" w:lineRule="auto"/>
        <w:rPr>
          <w:color w:val="auto"/>
          <w:highlight w:val="none"/>
          <w:lang w:eastAsia="zh-CN"/>
        </w:rPr>
      </w:pPr>
    </w:p>
    <w:p w14:paraId="71974272">
      <w:pPr>
        <w:spacing w:before="78" w:line="430" w:lineRule="auto"/>
        <w:ind w:left="965" w:right="3072"/>
        <w:rPr>
          <w:rFonts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eastAsia="zh-CN"/>
        </w:rPr>
        <w:t>投标人</w:t>
      </w:r>
      <w:r>
        <w:rPr>
          <w:rFonts w:ascii="宋体" w:hAnsi="宋体" w:eastAsia="宋体" w:cs="宋体"/>
          <w:color w:val="auto"/>
          <w:sz w:val="24"/>
          <w:szCs w:val="24"/>
          <w:highlight w:val="none"/>
          <w:lang w:eastAsia="zh-CN"/>
        </w:rPr>
        <w:t>名称：</w:t>
      </w:r>
      <w:r>
        <w:rPr>
          <w:rFonts w:ascii="宋体" w:hAnsi="宋体" w:eastAsia="宋体" w:cs="宋体"/>
          <w:color w:val="auto"/>
          <w:sz w:val="24"/>
          <w:szCs w:val="24"/>
          <w:highlight w:val="none"/>
          <w:u w:val="singl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z w:val="24"/>
          <w:szCs w:val="24"/>
          <w:highlight w:val="none"/>
          <w:lang w:eastAsia="zh-CN"/>
        </w:rPr>
        <w:t xml:space="preserve"> 单位性质：</w:t>
      </w:r>
      <w:r>
        <w:rPr>
          <w:rFonts w:ascii="宋体" w:hAnsi="宋体" w:eastAsia="宋体" w:cs="宋体"/>
          <w:color w:val="auto"/>
          <w:sz w:val="24"/>
          <w:szCs w:val="24"/>
          <w:highlight w:val="none"/>
          <w:u w:val="singl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4"/>
          <w:sz w:val="24"/>
          <w:szCs w:val="24"/>
          <w:highlight w:val="none"/>
          <w:lang w:eastAsia="zh-CN"/>
        </w:rPr>
        <w:t>地址：</w:t>
      </w:r>
      <w:r>
        <w:rPr>
          <w:rFonts w:ascii="宋体" w:hAnsi="宋体" w:eastAsia="宋体" w:cs="宋体"/>
          <w:color w:val="auto"/>
          <w:sz w:val="24"/>
          <w:szCs w:val="24"/>
          <w:highlight w:val="none"/>
          <w:u w:val="single"/>
          <w:lang w:eastAsia="zh-CN"/>
        </w:rPr>
        <w:t xml:space="preserve">                                     </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成立时间：</w:t>
      </w:r>
      <w:r>
        <w:rPr>
          <w:rFonts w:ascii="宋体" w:hAnsi="宋体" w:eastAsia="宋体" w:cs="宋体"/>
          <w:color w:val="auto"/>
          <w:spacing w:val="-2"/>
          <w:sz w:val="24"/>
          <w:szCs w:val="24"/>
          <w:highlight w:val="none"/>
          <w:u w:val="single"/>
          <w:lang w:eastAsia="zh-CN"/>
        </w:rPr>
        <w:t xml:space="preserve">        </w:t>
      </w:r>
      <w:r>
        <w:rPr>
          <w:rFonts w:ascii="宋体" w:hAnsi="宋体" w:eastAsia="宋体" w:cs="宋体"/>
          <w:color w:val="auto"/>
          <w:spacing w:val="-100"/>
          <w:sz w:val="24"/>
          <w:szCs w:val="24"/>
          <w:highlight w:val="none"/>
          <w:lang w:eastAsia="zh-CN"/>
        </w:rPr>
        <w:t xml:space="preserve"> </w:t>
      </w:r>
      <w:r>
        <w:rPr>
          <w:rFonts w:ascii="宋体" w:hAnsi="宋体" w:eastAsia="宋体" w:cs="宋体"/>
          <w:color w:val="auto"/>
          <w:spacing w:val="-2"/>
          <w:sz w:val="24"/>
          <w:szCs w:val="24"/>
          <w:highlight w:val="none"/>
          <w:lang w:eastAsia="zh-CN"/>
        </w:rPr>
        <w:t>年</w:t>
      </w:r>
      <w:r>
        <w:rPr>
          <w:rFonts w:ascii="宋体" w:hAnsi="宋体" w:eastAsia="宋体" w:cs="宋体"/>
          <w:color w:val="auto"/>
          <w:spacing w:val="-2"/>
          <w:sz w:val="24"/>
          <w:szCs w:val="24"/>
          <w:highlight w:val="none"/>
          <w:u w:val="single"/>
          <w:lang w:eastAsia="zh-CN"/>
        </w:rPr>
        <w:t xml:space="preserve">    </w:t>
      </w:r>
      <w:r>
        <w:rPr>
          <w:rFonts w:ascii="宋体" w:hAnsi="宋体" w:eastAsia="宋体" w:cs="宋体"/>
          <w:color w:val="auto"/>
          <w:spacing w:val="-104"/>
          <w:sz w:val="24"/>
          <w:szCs w:val="24"/>
          <w:highlight w:val="none"/>
          <w:lang w:eastAsia="zh-CN"/>
        </w:rPr>
        <w:t xml:space="preserve"> </w:t>
      </w:r>
      <w:r>
        <w:rPr>
          <w:rFonts w:ascii="宋体" w:hAnsi="宋体" w:eastAsia="宋体" w:cs="宋体"/>
          <w:color w:val="auto"/>
          <w:spacing w:val="-2"/>
          <w:sz w:val="24"/>
          <w:szCs w:val="24"/>
          <w:highlight w:val="none"/>
          <w:lang w:eastAsia="zh-CN"/>
        </w:rPr>
        <w:t>月</w:t>
      </w:r>
      <w:r>
        <w:rPr>
          <w:rFonts w:ascii="宋体" w:hAnsi="宋体" w:eastAsia="宋体" w:cs="宋体"/>
          <w:color w:val="auto"/>
          <w:spacing w:val="-2"/>
          <w:sz w:val="24"/>
          <w:szCs w:val="24"/>
          <w:highlight w:val="none"/>
          <w:u w:val="single"/>
          <w:lang w:eastAsia="zh-CN"/>
        </w:rPr>
        <w:t xml:space="preserve">    </w:t>
      </w:r>
      <w:r>
        <w:rPr>
          <w:rFonts w:ascii="宋体" w:hAnsi="宋体" w:eastAsia="宋体" w:cs="宋体"/>
          <w:color w:val="auto"/>
          <w:spacing w:val="-68"/>
          <w:sz w:val="24"/>
          <w:szCs w:val="24"/>
          <w:highlight w:val="none"/>
          <w:lang w:eastAsia="zh-CN"/>
        </w:rPr>
        <w:t xml:space="preserve"> </w:t>
      </w:r>
      <w:r>
        <w:rPr>
          <w:rFonts w:ascii="宋体" w:hAnsi="宋体" w:eastAsia="宋体" w:cs="宋体"/>
          <w:color w:val="auto"/>
          <w:spacing w:val="-2"/>
          <w:sz w:val="24"/>
          <w:szCs w:val="24"/>
          <w:highlight w:val="none"/>
          <w:lang w:eastAsia="zh-CN"/>
        </w:rPr>
        <w:t>日</w:t>
      </w:r>
    </w:p>
    <w:p w14:paraId="3DFDDB27">
      <w:pPr>
        <w:spacing w:before="35" w:line="220" w:lineRule="auto"/>
        <w:ind w:left="967"/>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经营期限：</w:t>
      </w:r>
      <w:r>
        <w:rPr>
          <w:rFonts w:ascii="宋体" w:hAnsi="宋体" w:eastAsia="宋体" w:cs="宋体"/>
          <w:color w:val="auto"/>
          <w:sz w:val="24"/>
          <w:szCs w:val="24"/>
          <w:highlight w:val="none"/>
          <w:u w:val="single"/>
          <w:lang w:eastAsia="zh-CN"/>
        </w:rPr>
        <w:t xml:space="preserve">                                </w:t>
      </w:r>
    </w:p>
    <w:p w14:paraId="65348AA0">
      <w:pPr>
        <w:spacing w:before="281" w:line="429" w:lineRule="auto"/>
        <w:ind w:left="965" w:right="951"/>
        <w:jc w:val="both"/>
        <w:rPr>
          <w:rFonts w:ascii="宋体" w:hAnsi="宋体" w:eastAsia="宋体" w:cs="宋体"/>
          <w:color w:val="auto"/>
          <w:sz w:val="24"/>
          <w:szCs w:val="24"/>
          <w:highlight w:val="none"/>
        </w:rPr>
      </w:pPr>
      <w:r>
        <w:rPr>
          <w:rFonts w:ascii="宋体" w:hAnsi="宋体" w:eastAsia="宋体" w:cs="宋体"/>
          <w:color w:val="auto"/>
          <w:spacing w:val="-1"/>
          <w:sz w:val="24"/>
          <w:szCs w:val="24"/>
          <w:highlight w:val="none"/>
          <w:lang w:eastAsia="zh-CN"/>
        </w:rPr>
        <w:t>姓名：</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07"/>
          <w:sz w:val="24"/>
          <w:szCs w:val="24"/>
          <w:highlight w:val="none"/>
          <w:lang w:eastAsia="zh-CN"/>
        </w:rPr>
        <w:t xml:space="preserve"> </w:t>
      </w:r>
      <w:r>
        <w:rPr>
          <w:rFonts w:ascii="宋体" w:hAnsi="宋体" w:eastAsia="宋体" w:cs="宋体"/>
          <w:color w:val="auto"/>
          <w:spacing w:val="-1"/>
          <w:sz w:val="24"/>
          <w:szCs w:val="24"/>
          <w:highlight w:val="none"/>
          <w:lang w:eastAsia="zh-CN"/>
        </w:rPr>
        <w:t>性别：</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09"/>
          <w:sz w:val="24"/>
          <w:szCs w:val="24"/>
          <w:highlight w:val="none"/>
          <w:lang w:eastAsia="zh-CN"/>
        </w:rPr>
        <w:t xml:space="preserve"> </w:t>
      </w:r>
      <w:r>
        <w:rPr>
          <w:rFonts w:ascii="宋体" w:hAnsi="宋体" w:eastAsia="宋体" w:cs="宋体"/>
          <w:color w:val="auto"/>
          <w:spacing w:val="-1"/>
          <w:sz w:val="24"/>
          <w:szCs w:val="24"/>
          <w:highlight w:val="none"/>
          <w:lang w:eastAsia="zh-CN"/>
        </w:rPr>
        <w:t>年龄：</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1"/>
          <w:sz w:val="24"/>
          <w:szCs w:val="24"/>
          <w:highlight w:val="none"/>
          <w:lang w:eastAsia="zh-CN"/>
        </w:rPr>
        <w:t xml:space="preserve"> </w:t>
      </w:r>
      <w:r>
        <w:rPr>
          <w:rFonts w:ascii="宋体" w:hAnsi="宋体" w:eastAsia="宋体" w:cs="宋体"/>
          <w:color w:val="auto"/>
          <w:spacing w:val="-1"/>
          <w:sz w:val="24"/>
          <w:szCs w:val="24"/>
          <w:highlight w:val="none"/>
          <w:lang w:eastAsia="zh-CN"/>
        </w:rPr>
        <w:t>职务：</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19"/>
          <w:sz w:val="24"/>
          <w:szCs w:val="24"/>
          <w:highlight w:val="none"/>
          <w:lang w:eastAsia="zh-CN"/>
        </w:rPr>
        <w:t xml:space="preserve"> </w:t>
      </w:r>
      <w:r>
        <w:rPr>
          <w:rFonts w:ascii="宋体" w:hAnsi="宋体" w:eastAsia="宋体" w:cs="宋体"/>
          <w:color w:val="auto"/>
          <w:spacing w:val="-1"/>
          <w:sz w:val="24"/>
          <w:szCs w:val="24"/>
          <w:highlight w:val="none"/>
          <w:lang w:eastAsia="zh-CN"/>
        </w:rPr>
        <w:t>_</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系</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
          <w:sz w:val="24"/>
          <w:szCs w:val="24"/>
          <w:highlight w:val="none"/>
          <w:lang w:eastAsia="zh-CN"/>
        </w:rPr>
        <w:t>（</w:t>
      </w:r>
      <w:r>
        <w:rPr>
          <w:rFonts w:hint="eastAsia" w:ascii="宋体" w:hAnsi="宋体" w:eastAsia="宋体" w:cs="宋体"/>
          <w:color w:val="auto"/>
          <w:spacing w:val="-1"/>
          <w:sz w:val="24"/>
          <w:szCs w:val="24"/>
          <w:highlight w:val="none"/>
          <w:lang w:eastAsia="zh-CN"/>
        </w:rPr>
        <w:t>投标人</w:t>
      </w:r>
      <w:r>
        <w:rPr>
          <w:rFonts w:ascii="宋体" w:hAnsi="宋体" w:eastAsia="宋体" w:cs="宋体"/>
          <w:color w:val="auto"/>
          <w:spacing w:val="-1"/>
          <w:sz w:val="24"/>
          <w:szCs w:val="24"/>
          <w:highlight w:val="none"/>
          <w:lang w:eastAsia="zh-CN"/>
        </w:rPr>
        <w:t>名称）的法定</w:t>
      </w:r>
      <w:r>
        <w:rPr>
          <w:rFonts w:ascii="宋体" w:hAnsi="宋体" w:eastAsia="宋体" w:cs="宋体"/>
          <w:color w:val="auto"/>
          <w:spacing w:val="-2"/>
          <w:sz w:val="24"/>
          <w:szCs w:val="24"/>
          <w:highlight w:val="none"/>
          <w:lang w:eastAsia="zh-CN"/>
        </w:rPr>
        <w:t>代表人。</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rPr>
        <w:t>特此证明。</w:t>
      </w:r>
    </w:p>
    <w:p w14:paraId="2CF5FAA5">
      <w:pPr>
        <w:pStyle w:val="5"/>
        <w:spacing w:line="295" w:lineRule="auto"/>
        <w:rPr>
          <w:color w:val="auto"/>
          <w:highlight w:val="none"/>
        </w:rPr>
      </w:pPr>
      <w:r>
        <w:rPr>
          <w:color w:val="auto"/>
          <w:highlight w:val="none"/>
          <w:lang w:eastAsia="zh-CN"/>
        </w:rPr>
        <w:drawing>
          <wp:anchor distT="0" distB="0" distL="0" distR="0" simplePos="0" relativeHeight="251660288" behindDoc="1" locked="0" layoutInCell="1" allowOverlap="1">
            <wp:simplePos x="0" y="0"/>
            <wp:positionH relativeFrom="column">
              <wp:posOffset>0</wp:posOffset>
            </wp:positionH>
            <wp:positionV relativeFrom="paragraph">
              <wp:posOffset>187325</wp:posOffset>
            </wp:positionV>
            <wp:extent cx="5910580" cy="2284095"/>
            <wp:effectExtent l="0" t="0" r="0" b="0"/>
            <wp:wrapNone/>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51"/>
                    <a:stretch>
                      <a:fillRect/>
                    </a:stretch>
                  </pic:blipFill>
                  <pic:spPr>
                    <a:xfrm>
                      <a:off x="0" y="0"/>
                      <a:ext cx="5910580" cy="2284095"/>
                    </a:xfrm>
                    <a:prstGeom prst="rect">
                      <a:avLst/>
                    </a:prstGeom>
                  </pic:spPr>
                </pic:pic>
              </a:graphicData>
            </a:graphic>
          </wp:anchor>
        </w:drawing>
      </w:r>
    </w:p>
    <w:p w14:paraId="48E98C9D">
      <w:pPr>
        <w:pStyle w:val="5"/>
        <w:spacing w:line="295" w:lineRule="auto"/>
        <w:rPr>
          <w:color w:val="auto"/>
          <w:highlight w:val="none"/>
        </w:rPr>
      </w:pPr>
    </w:p>
    <w:p w14:paraId="1A5E25FA">
      <w:pPr>
        <w:pStyle w:val="5"/>
        <w:spacing w:line="295" w:lineRule="auto"/>
        <w:rPr>
          <w:color w:val="auto"/>
          <w:highlight w:val="none"/>
        </w:rPr>
      </w:pPr>
    </w:p>
    <w:p w14:paraId="7B8F1790">
      <w:pPr>
        <w:pStyle w:val="5"/>
        <w:spacing w:line="296" w:lineRule="auto"/>
        <w:rPr>
          <w:color w:val="auto"/>
          <w:highlight w:val="none"/>
        </w:rPr>
      </w:pPr>
    </w:p>
    <w:p w14:paraId="7BD6425F">
      <w:pPr>
        <w:spacing w:line="1222" w:lineRule="exact"/>
        <w:ind w:firstLine="4847"/>
        <w:rPr>
          <w:color w:val="auto"/>
          <w:highlight w:val="none"/>
        </w:rPr>
      </w:pPr>
      <w:r>
        <w:rPr>
          <w:color w:val="auto"/>
          <w:highlight w:val="none"/>
        </w:rPr>
        <w:pict>
          <v:group id="_x0000_s1032" o:spid="_x0000_s1032" o:spt="203" style="position:absolute;left:0pt;margin-left:15.1pt;margin-top:4.4pt;height:54.15pt;width:190pt;z-index:251663360;mso-width-relative:page;mso-height-relative:page;" coordsize="3800,1083">
            <o:lock v:ext="edit"/>
            <v:shape id="_x0000_s1034" o:spid="_x0000_s1034" o:spt="75" type="#_x0000_t75" style="position:absolute;left:0;top:0;height:1083;width:3800;" filled="f" o:preferrelative="t" stroked="f" coordsize="21600,21600">
              <v:path/>
              <v:fill on="f" focussize="0,0"/>
              <v:stroke on="f" joinstyle="miter"/>
              <v:imagedata r:id="rId52" o:title=""/>
              <o:lock v:ext="edit" aspectratio="t"/>
            </v:shape>
            <v:shape id="_x0000_s1033" o:spid="_x0000_s1033" o:spt="202" type="#_x0000_t202" style="position:absolute;left:-20;top:-20;height:1170;width:3840;" filled="f" stroked="f" coordsize="21600,21600">
              <v:path/>
              <v:fill on="f" focussize="0,0"/>
              <v:stroke on="f" joinstyle="miter"/>
              <v:imagedata o:title=""/>
              <o:lock v:ext="edit"/>
              <v:textbox inset="0mm,0mm,0mm,0mm">
                <w:txbxContent>
                  <w:p w14:paraId="59900058">
                    <w:pPr>
                      <w:spacing w:before="177" w:line="219" w:lineRule="auto"/>
                      <w:ind w:left="250"/>
                      <w:rPr>
                        <w:rFonts w:ascii="宋体" w:hAnsi="宋体" w:eastAsia="宋体" w:cs="宋体"/>
                        <w:sz w:val="24"/>
                        <w:szCs w:val="24"/>
                        <w:lang w:eastAsia="zh-CN"/>
                      </w:rPr>
                    </w:pPr>
                    <w:r>
                      <w:rPr>
                        <w:rFonts w:ascii="宋体" w:hAnsi="宋体" w:eastAsia="宋体" w:cs="宋体"/>
                        <w:spacing w:val="-1"/>
                        <w:sz w:val="24"/>
                        <w:szCs w:val="24"/>
                        <w:lang w:eastAsia="zh-CN"/>
                      </w:rPr>
                      <w:t>法定代表人身份证复印件粘贴处</w:t>
                    </w:r>
                  </w:p>
                  <w:p w14:paraId="5DB2C6D3">
                    <w:pPr>
                      <w:spacing w:before="93" w:line="221" w:lineRule="auto"/>
                      <w:ind w:left="1460"/>
                      <w:rPr>
                        <w:rFonts w:ascii="宋体" w:hAnsi="宋体" w:eastAsia="宋体" w:cs="宋体"/>
                        <w:sz w:val="24"/>
                        <w:szCs w:val="24"/>
                      </w:rPr>
                    </w:pPr>
                    <w:r>
                      <w:rPr>
                        <w:rFonts w:ascii="宋体" w:hAnsi="宋体" w:eastAsia="宋体" w:cs="宋体"/>
                        <w:spacing w:val="-6"/>
                        <w:sz w:val="24"/>
                        <w:szCs w:val="24"/>
                      </w:rPr>
                      <w:t>（正面）</w:t>
                    </w:r>
                  </w:p>
                </w:txbxContent>
              </v:textbox>
            </v:shape>
          </v:group>
        </w:pict>
      </w:r>
      <w:r>
        <w:rPr>
          <w:color w:val="auto"/>
          <w:position w:val="-24"/>
          <w:highlight w:val="none"/>
        </w:rPr>
        <w:pict>
          <v:group id="_x0000_s1029" o:spid="_x0000_s1029" o:spt="203" style="height:61.1pt;width:211.35pt;" coordsize="4227,1221">
            <o:lock v:ext="edit"/>
            <v:shape id="_x0000_s1031" o:spid="_x0000_s1031" o:spt="75" type="#_x0000_t75" style="position:absolute;left:0;top:0;height:1221;width:4227;" filled="f" o:preferrelative="t" stroked="f" coordsize="21600,21600">
              <v:path/>
              <v:fill on="f" focussize="0,0"/>
              <v:stroke on="f" joinstyle="miter"/>
              <v:imagedata r:id="rId53" o:title=""/>
              <o:lock v:ext="edit" aspectratio="t"/>
            </v:shape>
            <v:shape id="_x0000_s1030" o:spid="_x0000_s1030" o:spt="202" type="#_x0000_t202" style="position:absolute;left:-20;top:-20;height:1261;width:4267;" filled="f" stroked="f" coordsize="21600,21600">
              <v:path/>
              <v:fill on="f" focussize="0,0"/>
              <v:stroke on="f" joinstyle="miter"/>
              <v:imagedata o:title=""/>
              <o:lock v:ext="edit"/>
              <v:textbox inset="0mm,0mm,0mm,0mm">
                <w:txbxContent>
                  <w:p w14:paraId="499D34CF">
                    <w:pPr>
                      <w:spacing w:before="178" w:line="219" w:lineRule="auto"/>
                      <w:ind w:left="463"/>
                      <w:rPr>
                        <w:rFonts w:ascii="宋体" w:hAnsi="宋体" w:eastAsia="宋体" w:cs="宋体"/>
                        <w:sz w:val="24"/>
                        <w:szCs w:val="24"/>
                        <w:lang w:eastAsia="zh-CN"/>
                      </w:rPr>
                    </w:pPr>
                    <w:r>
                      <w:rPr>
                        <w:rFonts w:ascii="宋体" w:hAnsi="宋体" w:eastAsia="宋体" w:cs="宋体"/>
                        <w:spacing w:val="-1"/>
                        <w:sz w:val="24"/>
                        <w:szCs w:val="24"/>
                        <w:lang w:eastAsia="zh-CN"/>
                      </w:rPr>
                      <w:t>法定代表人身份证复印件粘贴处</w:t>
                    </w:r>
                  </w:p>
                  <w:p w14:paraId="2EEA104A">
                    <w:pPr>
                      <w:spacing w:before="94" w:line="219" w:lineRule="auto"/>
                      <w:ind w:left="1673"/>
                      <w:rPr>
                        <w:rFonts w:ascii="宋体" w:hAnsi="宋体" w:eastAsia="宋体" w:cs="宋体"/>
                        <w:sz w:val="24"/>
                        <w:szCs w:val="24"/>
                      </w:rPr>
                    </w:pPr>
                    <w:r>
                      <w:rPr>
                        <w:rFonts w:ascii="宋体" w:hAnsi="宋体" w:eastAsia="宋体" w:cs="宋体"/>
                        <w:spacing w:val="-6"/>
                        <w:sz w:val="24"/>
                        <w:szCs w:val="24"/>
                      </w:rPr>
                      <w:t>（背面）</w:t>
                    </w:r>
                  </w:p>
                </w:txbxContent>
              </v:textbox>
            </v:shape>
            <w10:wrap type="none"/>
            <w10:anchorlock/>
          </v:group>
        </w:pict>
      </w:r>
    </w:p>
    <w:p w14:paraId="28816380">
      <w:pPr>
        <w:pStyle w:val="5"/>
        <w:spacing w:line="243" w:lineRule="auto"/>
        <w:rPr>
          <w:color w:val="auto"/>
          <w:highlight w:val="none"/>
        </w:rPr>
      </w:pPr>
    </w:p>
    <w:p w14:paraId="5D9B50E8">
      <w:pPr>
        <w:pStyle w:val="5"/>
        <w:spacing w:line="243" w:lineRule="auto"/>
        <w:rPr>
          <w:color w:val="auto"/>
          <w:highlight w:val="none"/>
        </w:rPr>
      </w:pPr>
    </w:p>
    <w:p w14:paraId="623C5387">
      <w:pPr>
        <w:pStyle w:val="5"/>
        <w:spacing w:line="243" w:lineRule="auto"/>
        <w:rPr>
          <w:color w:val="auto"/>
          <w:highlight w:val="none"/>
        </w:rPr>
      </w:pPr>
    </w:p>
    <w:p w14:paraId="77894118">
      <w:pPr>
        <w:pStyle w:val="5"/>
        <w:spacing w:line="243" w:lineRule="auto"/>
        <w:rPr>
          <w:color w:val="auto"/>
          <w:highlight w:val="none"/>
        </w:rPr>
      </w:pPr>
    </w:p>
    <w:p w14:paraId="40429368">
      <w:pPr>
        <w:pStyle w:val="5"/>
        <w:spacing w:line="243" w:lineRule="auto"/>
        <w:rPr>
          <w:color w:val="auto"/>
          <w:highlight w:val="none"/>
        </w:rPr>
      </w:pPr>
    </w:p>
    <w:p w14:paraId="195C7CDA">
      <w:pPr>
        <w:pStyle w:val="5"/>
        <w:spacing w:line="244" w:lineRule="auto"/>
        <w:rPr>
          <w:color w:val="auto"/>
          <w:highlight w:val="none"/>
        </w:rPr>
      </w:pPr>
    </w:p>
    <w:p w14:paraId="42AD310D">
      <w:pPr>
        <w:pStyle w:val="5"/>
        <w:spacing w:line="244" w:lineRule="auto"/>
        <w:rPr>
          <w:color w:val="auto"/>
          <w:highlight w:val="none"/>
        </w:rPr>
      </w:pPr>
    </w:p>
    <w:p w14:paraId="10C81837">
      <w:pPr>
        <w:spacing w:before="78" w:line="219" w:lineRule="auto"/>
        <w:ind w:left="485"/>
        <w:rPr>
          <w:rFonts w:ascii="宋体" w:hAnsi="宋体" w:eastAsia="宋体" w:cs="宋体"/>
          <w:color w:val="auto"/>
          <w:sz w:val="24"/>
          <w:szCs w:val="24"/>
          <w:highlight w:val="none"/>
          <w:lang w:eastAsia="zh-CN"/>
        </w:rPr>
      </w:pP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16"/>
          <w:sz w:val="24"/>
          <w:szCs w:val="24"/>
          <w:highlight w:val="none"/>
          <w:lang w:eastAsia="zh-CN"/>
        </w:rPr>
        <w:t>：</w:t>
      </w:r>
      <w:r>
        <w:rPr>
          <w:rFonts w:ascii="宋体" w:hAnsi="宋体" w:eastAsia="宋体" w:cs="宋体"/>
          <w:color w:val="auto"/>
          <w:spacing w:val="1"/>
          <w:sz w:val="24"/>
          <w:szCs w:val="24"/>
          <w:highlight w:val="none"/>
          <w:lang w:eastAsia="zh-CN"/>
        </w:rPr>
        <w:t xml:space="preserve"> </w:t>
      </w:r>
      <w:r>
        <w:rPr>
          <w:rFonts w:ascii="宋体" w:hAnsi="宋体" w:eastAsia="宋体" w:cs="宋体"/>
          <w:color w:val="auto"/>
          <w:spacing w:val="-16"/>
          <w:sz w:val="24"/>
          <w:szCs w:val="24"/>
          <w:highlight w:val="none"/>
          <w:lang w:eastAsia="zh-CN"/>
        </w:rPr>
        <w:t>（</w:t>
      </w:r>
      <w:r>
        <w:rPr>
          <w:rFonts w:ascii="宋体" w:hAnsi="宋体" w:eastAsia="宋体" w:cs="宋体"/>
          <w:color w:val="auto"/>
          <w:spacing w:val="2"/>
          <w:sz w:val="24"/>
          <w:szCs w:val="24"/>
          <w:highlight w:val="none"/>
          <w:lang w:eastAsia="zh-CN"/>
        </w:rPr>
        <w:t>企业电子签章）</w:t>
      </w:r>
    </w:p>
    <w:p w14:paraId="3401FC71">
      <w:pPr>
        <w:pStyle w:val="5"/>
        <w:spacing w:line="257" w:lineRule="auto"/>
        <w:rPr>
          <w:color w:val="auto"/>
          <w:highlight w:val="none"/>
          <w:lang w:eastAsia="zh-CN"/>
        </w:rPr>
      </w:pPr>
    </w:p>
    <w:p w14:paraId="28837A39">
      <w:pPr>
        <w:pStyle w:val="5"/>
        <w:spacing w:line="257" w:lineRule="auto"/>
        <w:rPr>
          <w:color w:val="auto"/>
          <w:highlight w:val="none"/>
          <w:lang w:eastAsia="zh-CN"/>
        </w:rPr>
      </w:pPr>
    </w:p>
    <w:p w14:paraId="3CFDB8DC">
      <w:pPr>
        <w:pStyle w:val="5"/>
        <w:spacing w:line="257" w:lineRule="auto"/>
        <w:rPr>
          <w:color w:val="auto"/>
          <w:highlight w:val="none"/>
          <w:lang w:eastAsia="zh-CN"/>
        </w:rPr>
      </w:pPr>
    </w:p>
    <w:p w14:paraId="5CD360C3">
      <w:pPr>
        <w:spacing w:before="78" w:line="219" w:lineRule="auto"/>
        <w:ind w:left="6286"/>
        <w:rPr>
          <w:rFonts w:ascii="宋体" w:hAnsi="宋体" w:eastAsia="宋体" w:cs="宋体"/>
          <w:color w:val="auto"/>
          <w:sz w:val="24"/>
          <w:szCs w:val="24"/>
          <w:highlight w:val="none"/>
          <w:lang w:eastAsia="zh-CN"/>
        </w:rPr>
      </w:pPr>
      <w:r>
        <w:rPr>
          <w:rFonts w:ascii="宋体" w:hAnsi="宋体" w:eastAsia="宋体" w:cs="宋体"/>
          <w:color w:val="auto"/>
          <w:spacing w:val="-13"/>
          <w:sz w:val="24"/>
          <w:szCs w:val="24"/>
          <w:highlight w:val="none"/>
          <w:lang w:eastAsia="zh-CN"/>
        </w:rPr>
        <w:t>日期：</w:t>
      </w:r>
      <w:r>
        <w:rPr>
          <w:rFonts w:ascii="宋体" w:hAnsi="宋体" w:eastAsia="宋体" w:cs="宋体"/>
          <w:color w:val="auto"/>
          <w:spacing w:val="5"/>
          <w:sz w:val="24"/>
          <w:szCs w:val="24"/>
          <w:highlight w:val="none"/>
          <w:lang w:eastAsia="zh-CN"/>
        </w:rPr>
        <w:t xml:space="preserve">  </w:t>
      </w:r>
      <w:r>
        <w:rPr>
          <w:rFonts w:ascii="宋体" w:hAnsi="宋体" w:eastAsia="宋体" w:cs="宋体"/>
          <w:color w:val="auto"/>
          <w:spacing w:val="-13"/>
          <w:sz w:val="24"/>
          <w:szCs w:val="24"/>
          <w:highlight w:val="none"/>
          <w:lang w:eastAsia="zh-CN"/>
        </w:rPr>
        <w:t>年</w:t>
      </w:r>
      <w:r>
        <w:rPr>
          <w:rFonts w:ascii="宋体" w:hAnsi="宋体" w:eastAsia="宋体" w:cs="宋体"/>
          <w:color w:val="auto"/>
          <w:spacing w:val="4"/>
          <w:sz w:val="24"/>
          <w:szCs w:val="24"/>
          <w:highlight w:val="none"/>
          <w:lang w:eastAsia="zh-CN"/>
        </w:rPr>
        <w:t xml:space="preserve">    </w:t>
      </w:r>
      <w:r>
        <w:rPr>
          <w:rFonts w:ascii="宋体" w:hAnsi="宋体" w:eastAsia="宋体" w:cs="宋体"/>
          <w:color w:val="auto"/>
          <w:spacing w:val="-13"/>
          <w:sz w:val="24"/>
          <w:szCs w:val="24"/>
          <w:highlight w:val="none"/>
          <w:lang w:eastAsia="zh-CN"/>
        </w:rPr>
        <w:t>月</w:t>
      </w:r>
      <w:r>
        <w:rPr>
          <w:rFonts w:ascii="宋体" w:hAnsi="宋体" w:eastAsia="宋体" w:cs="宋体"/>
          <w:color w:val="auto"/>
          <w:spacing w:val="10"/>
          <w:sz w:val="24"/>
          <w:szCs w:val="24"/>
          <w:highlight w:val="none"/>
          <w:lang w:eastAsia="zh-CN"/>
        </w:rPr>
        <w:t xml:space="preserve">     </w:t>
      </w:r>
      <w:r>
        <w:rPr>
          <w:rFonts w:ascii="宋体" w:hAnsi="宋体" w:eastAsia="宋体" w:cs="宋体"/>
          <w:color w:val="auto"/>
          <w:spacing w:val="-13"/>
          <w:sz w:val="24"/>
          <w:szCs w:val="24"/>
          <w:highlight w:val="none"/>
          <w:lang w:eastAsia="zh-CN"/>
        </w:rPr>
        <w:t>日</w:t>
      </w:r>
    </w:p>
    <w:p w14:paraId="1CAD215F">
      <w:pPr>
        <w:spacing w:line="219" w:lineRule="auto"/>
        <w:rPr>
          <w:rFonts w:ascii="宋体" w:hAnsi="宋体" w:eastAsia="宋体" w:cs="宋体"/>
          <w:color w:val="auto"/>
          <w:sz w:val="24"/>
          <w:szCs w:val="24"/>
          <w:highlight w:val="none"/>
          <w:lang w:eastAsia="zh-CN"/>
        </w:rPr>
        <w:sectPr>
          <w:footerReference r:id="rId28" w:type="default"/>
          <w:pgSz w:w="11907" w:h="16840"/>
          <w:pgMar w:top="1431" w:right="1498" w:bottom="1139" w:left="1100" w:header="0" w:footer="977" w:gutter="0"/>
          <w:cols w:space="720" w:num="1"/>
        </w:sectPr>
      </w:pPr>
    </w:p>
    <w:p w14:paraId="68F1A687">
      <w:pPr>
        <w:spacing w:before="59" w:line="219" w:lineRule="auto"/>
        <w:ind w:left="4087"/>
        <w:outlineLvl w:val="1"/>
        <w:rPr>
          <w:rFonts w:ascii="宋体" w:hAnsi="宋体" w:eastAsia="宋体" w:cs="宋体"/>
          <w:color w:val="auto"/>
          <w:sz w:val="28"/>
          <w:szCs w:val="28"/>
          <w:highlight w:val="none"/>
          <w:lang w:eastAsia="zh-CN"/>
        </w:rPr>
      </w:pPr>
      <w:bookmarkStart w:id="120" w:name="_Toc6738"/>
      <w:r>
        <w:rPr>
          <w:rFonts w:ascii="宋体" w:hAnsi="宋体" w:eastAsia="宋体" w:cs="宋体"/>
          <w:b/>
          <w:bCs/>
          <w:color w:val="auto"/>
          <w:spacing w:val="-4"/>
          <w:sz w:val="28"/>
          <w:szCs w:val="28"/>
          <w:highlight w:val="none"/>
          <w:lang w:eastAsia="zh-CN"/>
        </w:rPr>
        <w:t>三、授权委托书</w:t>
      </w:r>
      <w:bookmarkEnd w:id="120"/>
    </w:p>
    <w:p w14:paraId="4E830D5E">
      <w:pPr>
        <w:pStyle w:val="5"/>
        <w:spacing w:line="460" w:lineRule="auto"/>
        <w:rPr>
          <w:color w:val="auto"/>
          <w:highlight w:val="none"/>
          <w:lang w:eastAsia="zh-CN"/>
        </w:rPr>
      </w:pPr>
    </w:p>
    <w:p w14:paraId="6C6A748C">
      <w:pPr>
        <w:spacing w:before="78" w:line="430" w:lineRule="auto"/>
        <w:ind w:left="664" w:right="377" w:firstLine="481"/>
        <w:jc w:val="both"/>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本人</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
          <w:sz w:val="24"/>
          <w:szCs w:val="24"/>
          <w:highlight w:val="none"/>
          <w:lang w:eastAsia="zh-CN"/>
        </w:rPr>
        <w:t>（姓名）系</w:t>
      </w:r>
      <w:r>
        <w:rPr>
          <w:rFonts w:ascii="宋体" w:hAnsi="宋体" w:eastAsia="宋体" w:cs="宋体"/>
          <w:color w:val="auto"/>
          <w:spacing w:val="-117"/>
          <w:sz w:val="24"/>
          <w:szCs w:val="24"/>
          <w:highlight w:val="non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z w:val="24"/>
          <w:szCs w:val="24"/>
          <w:highlight w:val="none"/>
          <w:u w:val="single"/>
          <w:lang w:eastAsia="zh-CN"/>
        </w:rPr>
        <w:t xml:space="preserve">      </w:t>
      </w:r>
      <w:r>
        <w:rPr>
          <w:rFonts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eastAsia="zh-CN"/>
        </w:rPr>
        <w:t>投标人</w:t>
      </w:r>
      <w:r>
        <w:rPr>
          <w:rFonts w:ascii="宋体" w:hAnsi="宋体" w:eastAsia="宋体" w:cs="宋体"/>
          <w:color w:val="auto"/>
          <w:sz w:val="24"/>
          <w:szCs w:val="24"/>
          <w:highlight w:val="none"/>
          <w:lang w:eastAsia="zh-CN"/>
        </w:rPr>
        <w:t xml:space="preserve">名称）的法定 </w:t>
      </w:r>
      <w:r>
        <w:rPr>
          <w:rFonts w:ascii="宋体" w:hAnsi="宋体" w:eastAsia="宋体" w:cs="宋体"/>
          <w:color w:val="auto"/>
          <w:spacing w:val="1"/>
          <w:sz w:val="24"/>
          <w:szCs w:val="24"/>
          <w:highlight w:val="none"/>
          <w:lang w:eastAsia="zh-CN"/>
        </w:rPr>
        <w:t>代表人，现委托</w:t>
      </w:r>
      <w:r>
        <w:rPr>
          <w:rFonts w:ascii="宋体" w:hAnsi="宋体" w:eastAsia="宋体" w:cs="宋体"/>
          <w:color w:val="auto"/>
          <w:spacing w:val="-120"/>
          <w:sz w:val="24"/>
          <w:szCs w:val="24"/>
          <w:highlight w:val="non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
          <w:sz w:val="24"/>
          <w:szCs w:val="24"/>
          <w:highlight w:val="none"/>
          <w:lang w:eastAsia="zh-CN"/>
        </w:rPr>
        <w:t>（姓名）为我方代理人。代理人根据授权，以</w:t>
      </w:r>
      <w:r>
        <w:rPr>
          <w:rFonts w:ascii="宋体" w:hAnsi="宋体" w:eastAsia="宋体" w:cs="宋体"/>
          <w:color w:val="auto"/>
          <w:sz w:val="24"/>
          <w:szCs w:val="24"/>
          <w:highlight w:val="none"/>
          <w:lang w:eastAsia="zh-CN"/>
        </w:rPr>
        <w:t xml:space="preserve">我方名 </w:t>
      </w:r>
      <w:r>
        <w:rPr>
          <w:rFonts w:ascii="宋体" w:hAnsi="宋体" w:eastAsia="宋体" w:cs="宋体"/>
          <w:color w:val="auto"/>
          <w:spacing w:val="-30"/>
          <w:sz w:val="24"/>
          <w:szCs w:val="24"/>
          <w:highlight w:val="none"/>
          <w:lang w:eastAsia="zh-CN"/>
        </w:rPr>
        <w:t>义签署、澄清、说明、补正、递交、撤回、修改</w:t>
      </w:r>
      <w:r>
        <w:rPr>
          <w:rFonts w:ascii="宋体" w:hAnsi="宋体" w:eastAsia="宋体" w:cs="宋体"/>
          <w:color w:val="auto"/>
          <w:spacing w:val="4"/>
          <w:sz w:val="24"/>
          <w:szCs w:val="24"/>
          <w:highlight w:val="none"/>
          <w:u w:val="single"/>
          <w:lang w:eastAsia="zh-CN"/>
        </w:rPr>
        <w:t xml:space="preserve">                                </w:t>
      </w:r>
      <w:r>
        <w:rPr>
          <w:rFonts w:ascii="宋体" w:hAnsi="宋体" w:eastAsia="宋体" w:cs="宋体"/>
          <w:color w:val="auto"/>
          <w:spacing w:val="-30"/>
          <w:sz w:val="24"/>
          <w:szCs w:val="24"/>
          <w:highlight w:val="none"/>
          <w:lang w:eastAsia="zh-CN"/>
        </w:rPr>
        <w:t>（项</w:t>
      </w:r>
      <w:r>
        <w:rPr>
          <w:rFonts w:ascii="宋体" w:hAnsi="宋体" w:eastAsia="宋体" w:cs="宋体"/>
          <w:color w:val="auto"/>
          <w:spacing w:val="2"/>
          <w:sz w:val="24"/>
          <w:szCs w:val="24"/>
          <w:highlight w:val="none"/>
          <w:lang w:eastAsia="zh-CN"/>
        </w:rPr>
        <w:t xml:space="preserve"> </w:t>
      </w:r>
      <w:r>
        <w:rPr>
          <w:rFonts w:ascii="宋体" w:hAnsi="宋体" w:eastAsia="宋体" w:cs="宋体"/>
          <w:color w:val="auto"/>
          <w:sz w:val="24"/>
          <w:szCs w:val="24"/>
          <w:highlight w:val="none"/>
          <w:lang w:eastAsia="zh-CN"/>
        </w:rPr>
        <w:t>目名称</w:t>
      </w:r>
      <w:r>
        <w:rPr>
          <w:rFonts w:ascii="宋体" w:hAnsi="宋体" w:eastAsia="宋体" w:cs="宋体"/>
          <w:color w:val="000000" w:themeColor="text1"/>
          <w:sz w:val="24"/>
          <w:highlight w:val="none"/>
          <w:u w:val="single"/>
          <w14:textFill>
            <w14:solidFill>
              <w14:schemeClr w14:val="tx1"/>
            </w14:solidFill>
          </w14:textFill>
        </w:rPr>
        <w:t xml:space="preserve">     </w:t>
      </w:r>
      <w:r>
        <w:rPr>
          <w:rFonts w:hint="eastAsia" w:ascii="宋体" w:hAnsi="宋体" w:eastAsia="宋体" w:cs="宋体"/>
          <w:color w:val="000000" w:themeColor="text1"/>
          <w:sz w:val="24"/>
          <w:highlight w:val="none"/>
          <w:lang w:val="en-US" w:eastAsia="zh-CN"/>
          <w14:textFill>
            <w14:solidFill>
              <w14:schemeClr w14:val="tx1"/>
            </w14:solidFill>
          </w14:textFill>
        </w:rPr>
        <w:t>标段</w:t>
      </w:r>
      <w:r>
        <w:rPr>
          <w:rFonts w:ascii="宋体" w:hAnsi="宋体" w:eastAsia="宋体" w:cs="宋体"/>
          <w:color w:val="auto"/>
          <w:sz w:val="24"/>
          <w:szCs w:val="24"/>
          <w:highlight w:val="none"/>
          <w:lang w:eastAsia="zh-CN"/>
        </w:rPr>
        <w:t>）项目响应文件、签订合同和处理有关事宜，其</w:t>
      </w:r>
      <w:r>
        <w:rPr>
          <w:rFonts w:ascii="宋体" w:hAnsi="宋体" w:eastAsia="宋体" w:cs="宋体"/>
          <w:color w:val="auto"/>
          <w:spacing w:val="-1"/>
          <w:sz w:val="24"/>
          <w:szCs w:val="24"/>
          <w:highlight w:val="none"/>
          <w:lang w:eastAsia="zh-CN"/>
        </w:rPr>
        <w:t>法律后果由我方承担。</w:t>
      </w:r>
    </w:p>
    <w:p w14:paraId="018BF743">
      <w:pPr>
        <w:spacing w:before="36" w:line="424" w:lineRule="auto"/>
        <w:ind w:left="1144" w:right="3668"/>
        <w:rPr>
          <w:rFonts w:ascii="宋体" w:hAnsi="宋体" w:eastAsia="宋体" w:cs="宋体"/>
          <w:color w:val="auto"/>
          <w:sz w:val="24"/>
          <w:szCs w:val="24"/>
          <w:highlight w:val="none"/>
          <w:lang w:eastAsia="zh-CN"/>
        </w:rPr>
      </w:pPr>
      <w:r>
        <w:rPr>
          <w:rFonts w:eastAsia="Arial"/>
          <w:color w:val="auto"/>
          <w:highlight w:val="none"/>
        </w:rPr>
        <w:pict>
          <v:group id="_x0000_s1026" o:spid="_x0000_s1026" o:spt="203" style="position:absolute;left:0pt;margin-left:273.6pt;margin-top:120.85pt;height:54.7pt;width:188.25pt;z-index:251664384;mso-width-relative:page;mso-height-relative:page;" coordsize="3765,1094">
            <o:lock v:ext="edit"/>
            <v:shape id="_x0000_s1028" o:spid="_x0000_s1028" o:spt="75" type="#_x0000_t75" style="position:absolute;left:0;top:0;height:1094;width:3765;" filled="f" o:preferrelative="t" stroked="f" coordsize="21600,21600">
              <v:path/>
              <v:fill on="f" focussize="0,0"/>
              <v:stroke on="f" joinstyle="miter"/>
              <v:imagedata r:id="rId54" o:title=""/>
              <o:lock v:ext="edit" aspectratio="t"/>
            </v:shape>
            <v:shape id="_x0000_s1027" o:spid="_x0000_s1027" o:spt="202" type="#_x0000_t202" style="position:absolute;left:-20;top:-20;height:1179;width:3805;" filled="f" stroked="f" coordsize="21600,21600">
              <v:path/>
              <v:fill on="f" focussize="0,0"/>
              <v:stroke on="f" joinstyle="miter"/>
              <v:imagedata o:title=""/>
              <o:lock v:ext="edit"/>
              <v:textbox inset="0mm,0mm,0mm,0mm">
                <w:txbxContent>
                  <w:p w14:paraId="07CBDC6D">
                    <w:pPr>
                      <w:spacing w:before="178" w:line="219" w:lineRule="auto"/>
                      <w:ind w:left="231"/>
                      <w:rPr>
                        <w:rFonts w:ascii="宋体" w:hAnsi="宋体" w:eastAsia="宋体" w:cs="宋体"/>
                        <w:sz w:val="24"/>
                        <w:szCs w:val="24"/>
                        <w:lang w:eastAsia="zh-CN"/>
                      </w:rPr>
                    </w:pPr>
                    <w:r>
                      <w:rPr>
                        <w:rFonts w:ascii="宋体" w:hAnsi="宋体" w:eastAsia="宋体" w:cs="宋体"/>
                        <w:spacing w:val="-1"/>
                        <w:sz w:val="24"/>
                        <w:szCs w:val="24"/>
                        <w:lang w:eastAsia="zh-CN"/>
                      </w:rPr>
                      <w:t>委托代理人身份证复印件粘贴处</w:t>
                    </w:r>
                  </w:p>
                  <w:p w14:paraId="0C1F7FA8">
                    <w:pPr>
                      <w:spacing w:before="92" w:line="219" w:lineRule="auto"/>
                      <w:ind w:left="1443"/>
                      <w:rPr>
                        <w:rFonts w:ascii="宋体" w:hAnsi="宋体" w:eastAsia="宋体" w:cs="宋体"/>
                        <w:sz w:val="24"/>
                        <w:szCs w:val="24"/>
                      </w:rPr>
                    </w:pPr>
                    <w:r>
                      <w:rPr>
                        <w:rFonts w:ascii="宋体" w:hAnsi="宋体" w:eastAsia="宋体" w:cs="宋体"/>
                        <w:spacing w:val="-6"/>
                        <w:sz w:val="24"/>
                        <w:szCs w:val="24"/>
                      </w:rPr>
                      <w:t>（背面）</w:t>
                    </w:r>
                  </w:p>
                </w:txbxContent>
              </v:textbox>
            </v:shape>
          </v:group>
        </w:pict>
      </w:r>
      <w:r>
        <w:rPr>
          <w:rFonts w:ascii="宋体" w:hAnsi="宋体" w:eastAsia="宋体" w:cs="宋体"/>
          <w:color w:val="auto"/>
          <w:sz w:val="24"/>
          <w:szCs w:val="24"/>
          <w:highlight w:val="none"/>
          <w:lang w:eastAsia="zh-CN"/>
        </w:rPr>
        <w:t>委托期限：</w:t>
      </w:r>
      <w:r>
        <w:rPr>
          <w:rFonts w:ascii="宋体" w:hAnsi="宋体" w:eastAsia="宋体" w:cs="宋体"/>
          <w:color w:val="auto"/>
          <w:sz w:val="24"/>
          <w:szCs w:val="24"/>
          <w:highlight w:val="none"/>
          <w:u w:val="singl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代理人无转委托权。</w:t>
      </w:r>
    </w:p>
    <w:p w14:paraId="1CA8F067">
      <w:pPr>
        <w:spacing w:before="3"/>
        <w:rPr>
          <w:color w:val="auto"/>
          <w:highlight w:val="none"/>
          <w:lang w:eastAsia="zh-CN"/>
        </w:rPr>
      </w:pPr>
    </w:p>
    <w:p w14:paraId="3ECDE5A1">
      <w:pPr>
        <w:spacing w:before="2"/>
        <w:rPr>
          <w:color w:val="auto"/>
          <w:highlight w:val="none"/>
          <w:lang w:eastAsia="zh-CN"/>
        </w:rPr>
      </w:pPr>
    </w:p>
    <w:p w14:paraId="66D8CC12">
      <w:pPr>
        <w:spacing w:before="2"/>
        <w:rPr>
          <w:color w:val="auto"/>
          <w:highlight w:val="none"/>
          <w:lang w:eastAsia="zh-CN"/>
        </w:rPr>
      </w:pPr>
    </w:p>
    <w:p w14:paraId="7CC95B0B">
      <w:pPr>
        <w:spacing w:before="2"/>
        <w:rPr>
          <w:color w:val="auto"/>
          <w:highlight w:val="none"/>
          <w:lang w:eastAsia="zh-CN"/>
        </w:rPr>
      </w:pPr>
    </w:p>
    <w:p w14:paraId="75765DBF">
      <w:pPr>
        <w:spacing w:before="2"/>
        <w:rPr>
          <w:color w:val="auto"/>
          <w:highlight w:val="none"/>
          <w:lang w:eastAsia="zh-CN"/>
        </w:rPr>
      </w:pPr>
    </w:p>
    <w:tbl>
      <w:tblPr>
        <w:tblStyle w:val="19"/>
        <w:tblW w:w="3699" w:type="dxa"/>
        <w:tblInd w:w="772"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3699"/>
      </w:tblGrid>
      <w:tr w14:paraId="40C22399">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1055" w:hRule="atLeast"/>
        </w:trPr>
        <w:tc>
          <w:tcPr>
            <w:tcW w:w="3699" w:type="dxa"/>
          </w:tcPr>
          <w:p w14:paraId="321FF146">
            <w:pPr>
              <w:pStyle w:val="20"/>
              <w:spacing w:before="147" w:line="219" w:lineRule="auto"/>
              <w:ind w:left="172"/>
              <w:rPr>
                <w:color w:val="auto"/>
                <w:highlight w:val="none"/>
                <w:lang w:eastAsia="zh-CN"/>
              </w:rPr>
            </w:pPr>
            <w:r>
              <w:rPr>
                <w:color w:val="auto"/>
                <w:highlight w:val="none"/>
                <w:lang w:eastAsia="zh-CN"/>
              </w:rPr>
              <w:drawing>
                <wp:anchor distT="0" distB="0" distL="0" distR="0" simplePos="0" relativeHeight="251661312" behindDoc="1" locked="0" layoutInCell="1" allowOverlap="1">
                  <wp:simplePos x="0" y="0"/>
                  <wp:positionH relativeFrom="column">
                    <wp:posOffset>-493395</wp:posOffset>
                  </wp:positionH>
                  <wp:positionV relativeFrom="paragraph">
                    <wp:posOffset>-708025</wp:posOffset>
                  </wp:positionV>
                  <wp:extent cx="6250940" cy="2265680"/>
                  <wp:effectExtent l="0" t="0" r="0" b="0"/>
                  <wp:wrapNone/>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55"/>
                          <a:stretch>
                            <a:fillRect/>
                          </a:stretch>
                        </pic:blipFill>
                        <pic:spPr>
                          <a:xfrm>
                            <a:off x="0" y="0"/>
                            <a:ext cx="6250940" cy="2265679"/>
                          </a:xfrm>
                          <a:prstGeom prst="rect">
                            <a:avLst/>
                          </a:prstGeom>
                        </pic:spPr>
                      </pic:pic>
                    </a:graphicData>
                  </a:graphic>
                </wp:anchor>
              </w:drawing>
            </w:r>
            <w:r>
              <w:rPr>
                <w:color w:val="auto"/>
                <w:spacing w:val="-1"/>
                <w:highlight w:val="none"/>
                <w:lang w:eastAsia="zh-CN"/>
              </w:rPr>
              <w:t>委托代理人身份证复印件粘贴处</w:t>
            </w:r>
          </w:p>
          <w:p w14:paraId="05E6E857">
            <w:pPr>
              <w:pStyle w:val="20"/>
              <w:spacing w:before="93" w:line="221" w:lineRule="auto"/>
              <w:ind w:left="1384"/>
              <w:rPr>
                <w:color w:val="auto"/>
                <w:highlight w:val="none"/>
              </w:rPr>
            </w:pPr>
            <w:r>
              <w:rPr>
                <w:color w:val="auto"/>
                <w:spacing w:val="-6"/>
                <w:highlight w:val="none"/>
              </w:rPr>
              <w:t>（正面）</w:t>
            </w:r>
          </w:p>
        </w:tc>
      </w:tr>
    </w:tbl>
    <w:p w14:paraId="6E886781">
      <w:pPr>
        <w:pStyle w:val="5"/>
        <w:spacing w:line="251" w:lineRule="auto"/>
        <w:rPr>
          <w:color w:val="auto"/>
          <w:highlight w:val="none"/>
        </w:rPr>
      </w:pPr>
    </w:p>
    <w:p w14:paraId="47525928">
      <w:pPr>
        <w:pStyle w:val="5"/>
        <w:spacing w:line="251" w:lineRule="auto"/>
        <w:rPr>
          <w:color w:val="auto"/>
          <w:highlight w:val="none"/>
        </w:rPr>
      </w:pPr>
    </w:p>
    <w:p w14:paraId="1CF26130">
      <w:pPr>
        <w:pStyle w:val="5"/>
        <w:spacing w:line="251" w:lineRule="auto"/>
        <w:rPr>
          <w:color w:val="auto"/>
          <w:highlight w:val="none"/>
        </w:rPr>
      </w:pPr>
    </w:p>
    <w:p w14:paraId="2E62F091">
      <w:pPr>
        <w:pStyle w:val="5"/>
        <w:spacing w:line="251" w:lineRule="auto"/>
        <w:rPr>
          <w:color w:val="auto"/>
          <w:highlight w:val="none"/>
        </w:rPr>
      </w:pPr>
    </w:p>
    <w:p w14:paraId="11E661F5">
      <w:pPr>
        <w:pStyle w:val="5"/>
        <w:spacing w:line="251" w:lineRule="auto"/>
        <w:rPr>
          <w:color w:val="auto"/>
          <w:highlight w:val="none"/>
        </w:rPr>
      </w:pPr>
    </w:p>
    <w:p w14:paraId="18F1BC60">
      <w:pPr>
        <w:pStyle w:val="5"/>
        <w:spacing w:line="251" w:lineRule="auto"/>
        <w:rPr>
          <w:color w:val="auto"/>
          <w:highlight w:val="none"/>
        </w:rPr>
      </w:pPr>
    </w:p>
    <w:p w14:paraId="7A002098">
      <w:pPr>
        <w:pStyle w:val="5"/>
        <w:spacing w:line="251" w:lineRule="auto"/>
        <w:rPr>
          <w:color w:val="auto"/>
          <w:highlight w:val="none"/>
        </w:rPr>
      </w:pPr>
    </w:p>
    <w:p w14:paraId="4BD59261">
      <w:pPr>
        <w:pStyle w:val="5"/>
        <w:spacing w:line="251" w:lineRule="auto"/>
        <w:rPr>
          <w:color w:val="auto"/>
          <w:highlight w:val="none"/>
        </w:rPr>
      </w:pPr>
    </w:p>
    <w:p w14:paraId="5CC5385F">
      <w:pPr>
        <w:pStyle w:val="5"/>
        <w:spacing w:line="251" w:lineRule="auto"/>
        <w:rPr>
          <w:color w:val="auto"/>
          <w:highlight w:val="none"/>
        </w:rPr>
      </w:pPr>
    </w:p>
    <w:p w14:paraId="36C116C7">
      <w:pPr>
        <w:pStyle w:val="5"/>
        <w:spacing w:line="251" w:lineRule="auto"/>
        <w:rPr>
          <w:color w:val="auto"/>
          <w:highlight w:val="none"/>
        </w:rPr>
      </w:pPr>
    </w:p>
    <w:p w14:paraId="166ADE07">
      <w:pPr>
        <w:pStyle w:val="5"/>
        <w:spacing w:line="251" w:lineRule="auto"/>
        <w:rPr>
          <w:color w:val="auto"/>
          <w:highlight w:val="none"/>
        </w:rPr>
      </w:pPr>
    </w:p>
    <w:p w14:paraId="70A7C4BC">
      <w:pPr>
        <w:spacing w:before="78" w:line="219" w:lineRule="auto"/>
        <w:ind w:left="1145"/>
        <w:rPr>
          <w:rFonts w:ascii="宋体" w:hAnsi="宋体" w:eastAsia="宋体" w:cs="宋体"/>
          <w:color w:val="auto"/>
          <w:sz w:val="24"/>
          <w:szCs w:val="24"/>
          <w:highlight w:val="none"/>
          <w:lang w:eastAsia="zh-CN"/>
        </w:rPr>
      </w:pP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16"/>
          <w:sz w:val="24"/>
          <w:szCs w:val="24"/>
          <w:highlight w:val="none"/>
          <w:lang w:eastAsia="zh-CN"/>
        </w:rPr>
        <w:t>：</w:t>
      </w:r>
      <w:r>
        <w:rPr>
          <w:rFonts w:ascii="宋体" w:hAnsi="宋体" w:eastAsia="宋体" w:cs="宋体"/>
          <w:color w:val="auto"/>
          <w:sz w:val="24"/>
          <w:szCs w:val="24"/>
          <w:highlight w:val="none"/>
          <w:u w:val="single"/>
          <w:lang w:eastAsia="zh-CN"/>
        </w:rPr>
        <w:t xml:space="preserve">              </w:t>
      </w:r>
      <w:r>
        <w:rPr>
          <w:rFonts w:ascii="宋体" w:hAnsi="宋体" w:eastAsia="宋体" w:cs="宋体"/>
          <w:color w:val="auto"/>
          <w:spacing w:val="-16"/>
          <w:sz w:val="24"/>
          <w:szCs w:val="24"/>
          <w:highlight w:val="none"/>
          <w:lang w:eastAsia="zh-CN"/>
        </w:rPr>
        <w:t>（</w:t>
      </w:r>
      <w:r>
        <w:rPr>
          <w:rFonts w:ascii="宋体" w:hAnsi="宋体" w:eastAsia="宋体" w:cs="宋体"/>
          <w:color w:val="auto"/>
          <w:spacing w:val="2"/>
          <w:sz w:val="24"/>
          <w:szCs w:val="24"/>
          <w:highlight w:val="none"/>
          <w:lang w:eastAsia="zh-CN"/>
        </w:rPr>
        <w:t>企业电子签章）</w:t>
      </w:r>
    </w:p>
    <w:p w14:paraId="12872EE7">
      <w:pPr>
        <w:spacing w:before="284" w:line="219" w:lineRule="auto"/>
        <w:ind w:left="1146"/>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法定代表人</w:t>
      </w:r>
      <w:r>
        <w:rPr>
          <w:rFonts w:ascii="宋体" w:hAnsi="宋体" w:eastAsia="宋体" w:cs="宋体"/>
          <w:color w:val="auto"/>
          <w:spacing w:val="-17"/>
          <w:sz w:val="24"/>
          <w:szCs w:val="24"/>
          <w:highlight w:val="none"/>
          <w:lang w:eastAsia="zh-CN"/>
        </w:rPr>
        <w:t>：</w:t>
      </w:r>
      <w:r>
        <w:rPr>
          <w:rFonts w:ascii="宋体" w:hAnsi="宋体" w:eastAsia="宋体" w:cs="宋体"/>
          <w:color w:val="auto"/>
          <w:spacing w:val="9"/>
          <w:sz w:val="24"/>
          <w:szCs w:val="24"/>
          <w:highlight w:val="none"/>
          <w:u w:val="single"/>
          <w:lang w:eastAsia="zh-CN"/>
        </w:rPr>
        <w:t xml:space="preserve">             </w:t>
      </w:r>
      <w:r>
        <w:rPr>
          <w:rFonts w:ascii="宋体" w:hAnsi="宋体" w:eastAsia="宋体" w:cs="宋体"/>
          <w:color w:val="auto"/>
          <w:spacing w:val="-17"/>
          <w:sz w:val="24"/>
          <w:szCs w:val="24"/>
          <w:highlight w:val="none"/>
          <w:lang w:eastAsia="zh-CN"/>
        </w:rPr>
        <w:t>（</w:t>
      </w:r>
      <w:r>
        <w:rPr>
          <w:rFonts w:ascii="宋体" w:hAnsi="宋体" w:eastAsia="宋体" w:cs="宋体"/>
          <w:color w:val="auto"/>
          <w:spacing w:val="2"/>
          <w:sz w:val="24"/>
          <w:szCs w:val="24"/>
          <w:highlight w:val="none"/>
          <w:lang w:eastAsia="zh-CN"/>
        </w:rPr>
        <w:t>签字或盖章）</w:t>
      </w:r>
    </w:p>
    <w:p w14:paraId="48248B2E">
      <w:pPr>
        <w:spacing w:before="284" w:line="219" w:lineRule="auto"/>
        <w:ind w:left="1144"/>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委托代理人</w:t>
      </w:r>
      <w:r>
        <w:rPr>
          <w:rFonts w:ascii="宋体" w:hAnsi="宋体" w:eastAsia="宋体" w:cs="宋体"/>
          <w:color w:val="auto"/>
          <w:spacing w:val="-16"/>
          <w:sz w:val="24"/>
          <w:szCs w:val="24"/>
          <w:highlight w:val="none"/>
          <w:lang w:eastAsia="zh-CN"/>
        </w:rPr>
        <w:t>：</w:t>
      </w:r>
      <w:r>
        <w:rPr>
          <w:rFonts w:ascii="宋体" w:hAnsi="宋体" w:eastAsia="宋体" w:cs="宋体"/>
          <w:color w:val="auto"/>
          <w:spacing w:val="8"/>
          <w:sz w:val="24"/>
          <w:szCs w:val="24"/>
          <w:highlight w:val="none"/>
          <w:u w:val="single"/>
          <w:lang w:eastAsia="zh-CN"/>
        </w:rPr>
        <w:t xml:space="preserve">               </w:t>
      </w:r>
      <w:r>
        <w:rPr>
          <w:rFonts w:ascii="宋体" w:hAnsi="宋体" w:eastAsia="宋体" w:cs="宋体"/>
          <w:color w:val="auto"/>
          <w:spacing w:val="-16"/>
          <w:sz w:val="24"/>
          <w:szCs w:val="24"/>
          <w:highlight w:val="none"/>
          <w:lang w:eastAsia="zh-CN"/>
        </w:rPr>
        <w:t>（</w:t>
      </w:r>
      <w:r>
        <w:rPr>
          <w:rFonts w:ascii="宋体" w:hAnsi="宋体" w:eastAsia="宋体" w:cs="宋体"/>
          <w:color w:val="auto"/>
          <w:spacing w:val="2"/>
          <w:sz w:val="24"/>
          <w:szCs w:val="24"/>
          <w:highlight w:val="none"/>
          <w:lang w:eastAsia="zh-CN"/>
        </w:rPr>
        <w:t>签字或盖章）</w:t>
      </w:r>
    </w:p>
    <w:p w14:paraId="0AECF2E4">
      <w:pPr>
        <w:pStyle w:val="5"/>
        <w:spacing w:line="292" w:lineRule="auto"/>
        <w:rPr>
          <w:color w:val="auto"/>
          <w:highlight w:val="none"/>
          <w:lang w:eastAsia="zh-CN"/>
        </w:rPr>
      </w:pPr>
    </w:p>
    <w:p w14:paraId="3CCA87D9">
      <w:pPr>
        <w:pStyle w:val="5"/>
        <w:spacing w:line="293" w:lineRule="auto"/>
        <w:rPr>
          <w:color w:val="auto"/>
          <w:highlight w:val="none"/>
          <w:lang w:eastAsia="zh-CN"/>
        </w:rPr>
      </w:pPr>
    </w:p>
    <w:p w14:paraId="45863F11">
      <w:pPr>
        <w:spacing w:before="78" w:line="219" w:lineRule="auto"/>
        <w:ind w:left="6106"/>
        <w:rPr>
          <w:rFonts w:ascii="宋体" w:hAnsi="宋体" w:eastAsia="宋体" w:cs="宋体"/>
          <w:color w:val="auto"/>
          <w:sz w:val="24"/>
          <w:szCs w:val="24"/>
          <w:highlight w:val="none"/>
          <w:lang w:eastAsia="zh-CN"/>
        </w:rPr>
      </w:pPr>
      <w:r>
        <w:rPr>
          <w:rFonts w:ascii="宋体" w:hAnsi="宋体" w:eastAsia="宋体" w:cs="宋体"/>
          <w:color w:val="auto"/>
          <w:spacing w:val="-13"/>
          <w:sz w:val="24"/>
          <w:szCs w:val="24"/>
          <w:highlight w:val="none"/>
          <w:lang w:eastAsia="zh-CN"/>
        </w:rPr>
        <w:t>日期：</w:t>
      </w:r>
      <w:r>
        <w:rPr>
          <w:rFonts w:ascii="宋体" w:hAnsi="宋体" w:eastAsia="宋体" w:cs="宋体"/>
          <w:color w:val="auto"/>
          <w:spacing w:val="5"/>
          <w:sz w:val="24"/>
          <w:szCs w:val="24"/>
          <w:highlight w:val="none"/>
          <w:lang w:eastAsia="zh-CN"/>
        </w:rPr>
        <w:t xml:space="preserve">  </w:t>
      </w:r>
      <w:r>
        <w:rPr>
          <w:rFonts w:ascii="宋体" w:hAnsi="宋体" w:eastAsia="宋体" w:cs="宋体"/>
          <w:color w:val="auto"/>
          <w:spacing w:val="-13"/>
          <w:sz w:val="24"/>
          <w:szCs w:val="24"/>
          <w:highlight w:val="none"/>
          <w:lang w:eastAsia="zh-CN"/>
        </w:rPr>
        <w:t>年</w:t>
      </w:r>
      <w:r>
        <w:rPr>
          <w:rFonts w:ascii="宋体" w:hAnsi="宋体" w:eastAsia="宋体" w:cs="宋体"/>
          <w:color w:val="auto"/>
          <w:spacing w:val="5"/>
          <w:sz w:val="24"/>
          <w:szCs w:val="24"/>
          <w:highlight w:val="none"/>
          <w:lang w:eastAsia="zh-CN"/>
        </w:rPr>
        <w:t xml:space="preserve">   </w:t>
      </w:r>
      <w:r>
        <w:rPr>
          <w:rFonts w:ascii="宋体" w:hAnsi="宋体" w:eastAsia="宋体" w:cs="宋体"/>
          <w:color w:val="auto"/>
          <w:spacing w:val="-13"/>
          <w:sz w:val="24"/>
          <w:szCs w:val="24"/>
          <w:highlight w:val="none"/>
          <w:lang w:eastAsia="zh-CN"/>
        </w:rPr>
        <w:t>月</w:t>
      </w:r>
      <w:r>
        <w:rPr>
          <w:rFonts w:ascii="宋体" w:hAnsi="宋体" w:eastAsia="宋体" w:cs="宋体"/>
          <w:color w:val="auto"/>
          <w:spacing w:val="13"/>
          <w:sz w:val="24"/>
          <w:szCs w:val="24"/>
          <w:highlight w:val="none"/>
          <w:lang w:eastAsia="zh-CN"/>
        </w:rPr>
        <w:t xml:space="preserve">    </w:t>
      </w:r>
      <w:r>
        <w:rPr>
          <w:rFonts w:ascii="宋体" w:hAnsi="宋体" w:eastAsia="宋体" w:cs="宋体"/>
          <w:color w:val="auto"/>
          <w:spacing w:val="-13"/>
          <w:sz w:val="24"/>
          <w:szCs w:val="24"/>
          <w:highlight w:val="none"/>
          <w:lang w:eastAsia="zh-CN"/>
        </w:rPr>
        <w:t>日</w:t>
      </w:r>
    </w:p>
    <w:p w14:paraId="502F85BF">
      <w:pPr>
        <w:spacing w:line="219" w:lineRule="auto"/>
        <w:rPr>
          <w:rFonts w:ascii="宋体" w:hAnsi="宋体" w:eastAsia="宋体" w:cs="宋体"/>
          <w:color w:val="auto"/>
          <w:sz w:val="24"/>
          <w:szCs w:val="24"/>
          <w:highlight w:val="none"/>
          <w:lang w:eastAsia="zh-CN"/>
        </w:rPr>
        <w:sectPr>
          <w:footerReference r:id="rId29" w:type="default"/>
          <w:pgSz w:w="11907" w:h="16840"/>
          <w:pgMar w:top="1431" w:right="1142" w:bottom="1139" w:left="920" w:header="0" w:footer="977" w:gutter="0"/>
          <w:cols w:space="720" w:num="1"/>
        </w:sectPr>
      </w:pPr>
    </w:p>
    <w:p w14:paraId="43E5DF62">
      <w:pPr>
        <w:spacing w:before="153" w:line="219" w:lineRule="auto"/>
        <w:ind w:left="2866"/>
        <w:outlineLvl w:val="1"/>
        <w:rPr>
          <w:rFonts w:ascii="宋体" w:hAnsi="宋体" w:eastAsia="宋体" w:cs="宋体"/>
          <w:color w:val="auto"/>
          <w:sz w:val="30"/>
          <w:szCs w:val="30"/>
          <w:highlight w:val="none"/>
          <w:lang w:eastAsia="zh-CN"/>
        </w:rPr>
      </w:pPr>
      <w:bookmarkStart w:id="121" w:name="_Toc17879"/>
      <w:r>
        <w:rPr>
          <w:rFonts w:ascii="宋体" w:hAnsi="宋体" w:eastAsia="宋体" w:cs="宋体"/>
          <w:b/>
          <w:bCs/>
          <w:color w:val="auto"/>
          <w:spacing w:val="-7"/>
          <w:sz w:val="30"/>
          <w:szCs w:val="30"/>
          <w:highlight w:val="none"/>
          <w:lang w:eastAsia="zh-CN"/>
        </w:rPr>
        <w:t>四、项目实施方案等</w:t>
      </w:r>
      <w:bookmarkEnd w:id="121"/>
    </w:p>
    <w:p w14:paraId="143B319B">
      <w:pPr>
        <w:spacing w:line="219" w:lineRule="auto"/>
        <w:rPr>
          <w:rFonts w:ascii="宋体" w:hAnsi="宋体" w:eastAsia="宋体" w:cs="宋体"/>
          <w:color w:val="auto"/>
          <w:sz w:val="30"/>
          <w:szCs w:val="30"/>
          <w:highlight w:val="none"/>
          <w:lang w:eastAsia="zh-CN"/>
        </w:rPr>
        <w:sectPr>
          <w:footerReference r:id="rId30" w:type="default"/>
          <w:pgSz w:w="11907" w:h="16840"/>
          <w:pgMar w:top="1431" w:right="1786" w:bottom="1139" w:left="1786" w:header="0" w:footer="977" w:gutter="0"/>
          <w:cols w:space="720" w:num="1"/>
        </w:sectPr>
      </w:pPr>
    </w:p>
    <w:p w14:paraId="4ADF8870">
      <w:pPr>
        <w:spacing w:before="162" w:line="219" w:lineRule="auto"/>
        <w:jc w:val="center"/>
        <w:rPr>
          <w:rFonts w:hint="eastAsia" w:ascii="宋体" w:hAnsi="宋体" w:eastAsia="宋体" w:cs="宋体"/>
          <w:b/>
          <w:bCs/>
          <w:color w:val="auto"/>
          <w:spacing w:val="-4"/>
          <w:sz w:val="28"/>
          <w:szCs w:val="28"/>
          <w:highlight w:val="none"/>
          <w:lang w:eastAsia="zh-CN"/>
        </w:rPr>
      </w:pPr>
      <w:r>
        <w:rPr>
          <w:rFonts w:ascii="宋体" w:hAnsi="宋体" w:eastAsia="宋体" w:cs="宋体"/>
          <w:b/>
          <w:bCs/>
          <w:color w:val="auto"/>
          <w:spacing w:val="-4"/>
          <w:sz w:val="28"/>
          <w:szCs w:val="28"/>
          <w:highlight w:val="none"/>
          <w:lang w:eastAsia="zh-CN"/>
        </w:rPr>
        <w:t>五、</w:t>
      </w:r>
      <w:r>
        <w:rPr>
          <w:rFonts w:hint="eastAsia" w:ascii="宋体" w:hAnsi="宋体" w:eastAsia="宋体" w:cs="宋体"/>
          <w:b/>
          <w:bCs/>
          <w:color w:val="auto"/>
          <w:spacing w:val="-4"/>
          <w:sz w:val="28"/>
          <w:szCs w:val="28"/>
          <w:highlight w:val="none"/>
          <w:lang w:eastAsia="zh-CN"/>
        </w:rPr>
        <w:t>政府采购</w:t>
      </w:r>
      <w:r>
        <w:rPr>
          <w:rFonts w:hint="eastAsia" w:ascii="宋体" w:hAnsi="宋体" w:eastAsia="宋体" w:cs="宋体"/>
          <w:b/>
          <w:bCs/>
          <w:color w:val="auto"/>
          <w:spacing w:val="-4"/>
          <w:sz w:val="28"/>
          <w:szCs w:val="28"/>
          <w:highlight w:val="none"/>
          <w:lang w:val="en-US" w:eastAsia="zh-CN"/>
        </w:rPr>
        <w:t>供应商</w:t>
      </w:r>
      <w:r>
        <w:rPr>
          <w:rFonts w:hint="eastAsia" w:ascii="宋体" w:hAnsi="宋体" w:eastAsia="宋体" w:cs="宋体"/>
          <w:b/>
          <w:bCs/>
          <w:color w:val="auto"/>
          <w:spacing w:val="-4"/>
          <w:sz w:val="28"/>
          <w:szCs w:val="28"/>
          <w:highlight w:val="none"/>
          <w:lang w:eastAsia="zh-CN"/>
        </w:rPr>
        <w:t>资格信用承诺函</w:t>
      </w:r>
    </w:p>
    <w:p w14:paraId="736C4EAA">
      <w:pPr>
        <w:spacing w:before="162" w:line="219" w:lineRule="auto"/>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致（采购人</w:t>
      </w:r>
      <w:r>
        <w:rPr>
          <w:rFonts w:ascii="宋体" w:hAnsi="宋体" w:eastAsia="宋体" w:cs="宋体"/>
          <w:color w:val="auto"/>
          <w:sz w:val="24"/>
          <w:szCs w:val="24"/>
          <w:highlight w:val="none"/>
          <w:lang w:eastAsia="zh-CN"/>
        </w:rPr>
        <w:t>） ：</w:t>
      </w:r>
    </w:p>
    <w:p w14:paraId="6AE40CFB">
      <w:pPr>
        <w:spacing w:before="178" w:line="344" w:lineRule="auto"/>
        <w:ind w:left="480" w:right="3288"/>
        <w:rPr>
          <w:rFonts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供应商</w:t>
      </w:r>
      <w:r>
        <w:rPr>
          <w:rFonts w:ascii="宋体" w:hAnsi="宋体" w:eastAsia="宋体" w:cs="宋体"/>
          <w:color w:val="auto"/>
          <w:sz w:val="24"/>
          <w:szCs w:val="24"/>
          <w:highlight w:val="none"/>
          <w:lang w:eastAsia="zh-CN"/>
        </w:rPr>
        <w:t>名称：</w:t>
      </w:r>
      <w:r>
        <w:rPr>
          <w:rFonts w:ascii="宋体" w:hAnsi="宋体" w:eastAsia="宋体" w:cs="宋体"/>
          <w:color w:val="auto"/>
          <w:sz w:val="24"/>
          <w:szCs w:val="24"/>
          <w:highlight w:val="none"/>
          <w:u w:val="singl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z w:val="24"/>
          <w:szCs w:val="24"/>
          <w:highlight w:val="none"/>
          <w:lang w:eastAsia="zh-CN"/>
        </w:rPr>
        <w:t xml:space="preserve">  统一社会信用代码：</w:t>
      </w:r>
      <w:r>
        <w:rPr>
          <w:rFonts w:ascii="宋体" w:hAnsi="宋体" w:eastAsia="宋体" w:cs="宋体"/>
          <w:color w:val="auto"/>
          <w:sz w:val="24"/>
          <w:szCs w:val="24"/>
          <w:highlight w:val="none"/>
          <w:u w:val="singl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z w:val="24"/>
          <w:szCs w:val="24"/>
          <w:highlight w:val="none"/>
          <w:lang w:eastAsia="zh-CN"/>
        </w:rPr>
        <w:t xml:space="preserve">  </w:t>
      </w:r>
      <w:r>
        <w:rPr>
          <w:rFonts w:hint="eastAsia" w:ascii="宋体" w:hAnsi="宋体" w:eastAsia="宋体" w:cs="宋体"/>
          <w:color w:val="auto"/>
          <w:spacing w:val="-2"/>
          <w:sz w:val="24"/>
          <w:szCs w:val="24"/>
          <w:highlight w:val="none"/>
          <w:lang w:val="en-US" w:eastAsia="zh-CN"/>
        </w:rPr>
        <w:t>供应商</w:t>
      </w:r>
      <w:r>
        <w:rPr>
          <w:rFonts w:ascii="宋体" w:hAnsi="宋体" w:eastAsia="宋体" w:cs="宋体"/>
          <w:color w:val="auto"/>
          <w:spacing w:val="-2"/>
          <w:sz w:val="24"/>
          <w:szCs w:val="24"/>
          <w:highlight w:val="none"/>
          <w:lang w:eastAsia="zh-CN"/>
        </w:rPr>
        <w:t>地址：</w:t>
      </w:r>
      <w:r>
        <w:rPr>
          <w:rFonts w:ascii="宋体" w:hAnsi="宋体" w:eastAsia="宋体" w:cs="宋体"/>
          <w:color w:val="auto"/>
          <w:sz w:val="24"/>
          <w:szCs w:val="24"/>
          <w:highlight w:val="none"/>
          <w:u w:val="single"/>
          <w:lang w:eastAsia="zh-CN"/>
        </w:rPr>
        <w:t xml:space="preserve">                              </w:t>
      </w:r>
    </w:p>
    <w:p w14:paraId="6C4E942F">
      <w:pPr>
        <w:spacing w:before="35" w:line="345" w:lineRule="auto"/>
        <w:ind w:right="220" w:firstLine="482"/>
        <w:jc w:val="both"/>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我单位自愿参加本次政府采购活动，严格遵守《中华人民共和国政府采购法》</w:t>
      </w:r>
      <w:r>
        <w:rPr>
          <w:rFonts w:ascii="宋体" w:hAnsi="宋体" w:eastAsia="宋体" w:cs="宋体"/>
          <w:color w:val="auto"/>
          <w:spacing w:val="2"/>
          <w:sz w:val="24"/>
          <w:szCs w:val="24"/>
          <w:highlight w:val="none"/>
          <w:lang w:eastAsia="zh-CN"/>
        </w:rPr>
        <w:t xml:space="preserve"> 及相关法律法规，依法诚信经营，无条件遵守本次政府采购活动的各项规定。我</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单位郑重承诺：</w:t>
      </w:r>
    </w:p>
    <w:p w14:paraId="3D9E8284">
      <w:pPr>
        <w:spacing w:before="36" w:line="219" w:lineRule="auto"/>
        <w:ind w:left="484"/>
        <w:outlineLvl w:val="1"/>
        <w:rPr>
          <w:rFonts w:ascii="宋体" w:hAnsi="宋体" w:eastAsia="宋体" w:cs="宋体"/>
          <w:color w:val="auto"/>
          <w:sz w:val="24"/>
          <w:szCs w:val="24"/>
          <w:highlight w:val="none"/>
          <w:lang w:eastAsia="zh-CN"/>
        </w:rPr>
      </w:pPr>
      <w:bookmarkStart w:id="122" w:name="_Toc29"/>
      <w:r>
        <w:rPr>
          <w:rFonts w:ascii="宋体" w:hAnsi="宋体" w:eastAsia="宋体" w:cs="宋体"/>
          <w:color w:val="auto"/>
          <w:spacing w:val="-1"/>
          <w:sz w:val="24"/>
          <w:szCs w:val="24"/>
          <w:highlight w:val="none"/>
          <w:lang w:eastAsia="zh-CN"/>
        </w:rPr>
        <w:t>一、我单位具有有效的营业执照（三证合一</w:t>
      </w:r>
      <w:r>
        <w:rPr>
          <w:rFonts w:ascii="宋体" w:hAnsi="宋体" w:eastAsia="宋体" w:cs="宋体"/>
          <w:color w:val="auto"/>
          <w:spacing w:val="2"/>
          <w:sz w:val="24"/>
          <w:szCs w:val="24"/>
          <w:highlight w:val="none"/>
          <w:lang w:eastAsia="zh-CN"/>
        </w:rPr>
        <w:t>）；</w:t>
      </w:r>
      <w:bookmarkEnd w:id="122"/>
    </w:p>
    <w:p w14:paraId="124F92AD">
      <w:pPr>
        <w:spacing w:before="280" w:line="287" w:lineRule="auto"/>
        <w:ind w:left="497" w:right="708" w:hanging="13"/>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二、我单位符合《中华人民共和国政府采购法》</w:t>
      </w:r>
      <w:r>
        <w:rPr>
          <w:rFonts w:ascii="宋体" w:hAnsi="宋体" w:eastAsia="宋体" w:cs="宋体"/>
          <w:color w:val="auto"/>
          <w:spacing w:val="-3"/>
          <w:sz w:val="24"/>
          <w:szCs w:val="24"/>
          <w:highlight w:val="none"/>
          <w:lang w:eastAsia="zh-CN"/>
        </w:rPr>
        <w:t>第二十二条规定的条件：</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1.我单位具有符合采购文件资格要求独立承担民事责任的能力。</w:t>
      </w:r>
    </w:p>
    <w:p w14:paraId="6A60EF4B">
      <w:pPr>
        <w:spacing w:before="177" w:line="218" w:lineRule="auto"/>
        <w:ind w:left="483"/>
        <w:outlineLvl w:val="2"/>
        <w:rPr>
          <w:rFonts w:ascii="宋体" w:hAnsi="宋体" w:eastAsia="宋体" w:cs="宋体"/>
          <w:color w:val="auto"/>
          <w:sz w:val="24"/>
          <w:szCs w:val="24"/>
          <w:highlight w:val="none"/>
          <w:lang w:eastAsia="zh-CN"/>
        </w:rPr>
      </w:pPr>
      <w:bookmarkStart w:id="123" w:name="_Toc16640"/>
      <w:r>
        <w:rPr>
          <w:rFonts w:ascii="宋体" w:hAnsi="宋体" w:eastAsia="宋体" w:cs="宋体"/>
          <w:color w:val="auto"/>
          <w:spacing w:val="-1"/>
          <w:sz w:val="24"/>
          <w:szCs w:val="24"/>
          <w:highlight w:val="none"/>
          <w:lang w:eastAsia="zh-CN"/>
        </w:rPr>
        <w:t>2.我单位具有符合采购文件资格要求的财务状况报告。</w:t>
      </w:r>
      <w:bookmarkEnd w:id="123"/>
    </w:p>
    <w:p w14:paraId="588278A3">
      <w:pPr>
        <w:spacing w:before="176" w:line="342" w:lineRule="auto"/>
        <w:ind w:right="329" w:firstLine="485"/>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3.我单位具有符合采购文件资格要求的依法缴纳税收和社会保障</w:t>
      </w:r>
      <w:r>
        <w:rPr>
          <w:rFonts w:ascii="宋体" w:hAnsi="宋体" w:eastAsia="宋体" w:cs="宋体"/>
          <w:color w:val="auto"/>
          <w:spacing w:val="1"/>
          <w:sz w:val="24"/>
          <w:szCs w:val="24"/>
          <w:highlight w:val="none"/>
          <w:lang w:eastAsia="zh-CN"/>
        </w:rPr>
        <w:t>记录的良好</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记录。</w:t>
      </w:r>
    </w:p>
    <w:p w14:paraId="4A324C46">
      <w:pPr>
        <w:spacing w:before="31" w:line="339" w:lineRule="auto"/>
        <w:ind w:left="485" w:right="128" w:hanging="5"/>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4.我单位具有符合采购文件资格要求履行合同所必需的设备和专</w:t>
      </w:r>
      <w:r>
        <w:rPr>
          <w:rFonts w:ascii="宋体" w:hAnsi="宋体" w:eastAsia="宋体" w:cs="宋体"/>
          <w:color w:val="auto"/>
          <w:sz w:val="24"/>
          <w:szCs w:val="24"/>
          <w:highlight w:val="none"/>
          <w:lang w:eastAsia="zh-CN"/>
        </w:rPr>
        <w:t xml:space="preserve">业技术能力。 </w:t>
      </w:r>
      <w:r>
        <w:rPr>
          <w:rFonts w:ascii="宋体" w:hAnsi="宋体" w:eastAsia="宋体" w:cs="宋体"/>
          <w:color w:val="auto"/>
          <w:spacing w:val="-1"/>
          <w:sz w:val="24"/>
          <w:szCs w:val="24"/>
          <w:highlight w:val="none"/>
          <w:lang w:eastAsia="zh-CN"/>
        </w:rPr>
        <w:t>5.参加政府采购活动前三年内，在经营活动中没有重大违法记录。</w:t>
      </w:r>
    </w:p>
    <w:p w14:paraId="39BA4502">
      <w:pPr>
        <w:spacing w:before="38" w:line="219" w:lineRule="auto"/>
        <w:ind w:left="481"/>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若我单位承诺不实，</w:t>
      </w:r>
      <w:r>
        <w:rPr>
          <w:rFonts w:ascii="宋体" w:hAnsi="宋体" w:eastAsia="宋体" w:cs="宋体"/>
          <w:color w:val="auto"/>
          <w:spacing w:val="-68"/>
          <w:sz w:val="24"/>
          <w:szCs w:val="24"/>
          <w:highlight w:val="none"/>
          <w:lang w:eastAsia="zh-CN"/>
        </w:rPr>
        <w:t xml:space="preserve"> </w:t>
      </w:r>
      <w:r>
        <w:rPr>
          <w:rFonts w:ascii="宋体" w:hAnsi="宋体" w:eastAsia="宋体" w:cs="宋体"/>
          <w:color w:val="auto"/>
          <w:spacing w:val="-2"/>
          <w:sz w:val="24"/>
          <w:szCs w:val="24"/>
          <w:highlight w:val="none"/>
          <w:lang w:eastAsia="zh-CN"/>
        </w:rPr>
        <w:t>自愿承担提供虚假材料谋取中标、成交的法律责任。</w:t>
      </w:r>
    </w:p>
    <w:p w14:paraId="30FF3AA4">
      <w:pPr>
        <w:pStyle w:val="5"/>
        <w:spacing w:line="276" w:lineRule="auto"/>
        <w:rPr>
          <w:color w:val="auto"/>
          <w:highlight w:val="none"/>
          <w:lang w:eastAsia="zh-CN"/>
        </w:rPr>
      </w:pPr>
    </w:p>
    <w:p w14:paraId="35211361">
      <w:pPr>
        <w:pStyle w:val="5"/>
        <w:spacing w:line="277" w:lineRule="auto"/>
        <w:rPr>
          <w:color w:val="auto"/>
          <w:highlight w:val="none"/>
          <w:lang w:eastAsia="zh-CN"/>
        </w:rPr>
      </w:pPr>
    </w:p>
    <w:p w14:paraId="1CD50246">
      <w:pPr>
        <w:spacing w:before="78" w:line="219" w:lineRule="auto"/>
        <w:ind w:left="312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承诺</w:t>
      </w:r>
      <w:r>
        <w:rPr>
          <w:rFonts w:hint="eastAsia" w:ascii="宋体" w:hAnsi="宋体" w:eastAsia="宋体" w:cs="宋体"/>
          <w:color w:val="auto"/>
          <w:spacing w:val="-1"/>
          <w:sz w:val="24"/>
          <w:szCs w:val="24"/>
          <w:highlight w:val="none"/>
          <w:lang w:val="en-US" w:eastAsia="zh-CN"/>
        </w:rPr>
        <w:t>供应商</w:t>
      </w:r>
      <w:r>
        <w:rPr>
          <w:rFonts w:ascii="宋体" w:hAnsi="宋体" w:eastAsia="宋体" w:cs="宋体"/>
          <w:color w:val="auto"/>
          <w:spacing w:val="-1"/>
          <w:sz w:val="24"/>
          <w:szCs w:val="24"/>
          <w:highlight w:val="none"/>
          <w:lang w:eastAsia="zh-CN"/>
        </w:rPr>
        <w:t>（全称并加盖公章</w:t>
      </w:r>
      <w:r>
        <w:rPr>
          <w:rFonts w:ascii="宋体" w:hAnsi="宋体" w:eastAsia="宋体" w:cs="宋体"/>
          <w:color w:val="auto"/>
          <w:spacing w:val="1"/>
          <w:sz w:val="24"/>
          <w:szCs w:val="24"/>
          <w:highlight w:val="none"/>
          <w:lang w:eastAsia="zh-CN"/>
        </w:rPr>
        <w:t>）：</w:t>
      </w:r>
    </w:p>
    <w:p w14:paraId="66706E84">
      <w:pPr>
        <w:spacing w:before="176" w:line="184" w:lineRule="auto"/>
        <w:ind w:left="3121"/>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法定代表人或授权代表</w:t>
      </w:r>
      <w:r>
        <w:rPr>
          <w:rFonts w:ascii="Segoe Print" w:hAnsi="Segoe Print" w:eastAsia="Segoe Print" w:cs="Segoe Print"/>
          <w:color w:val="auto"/>
          <w:spacing w:val="-1"/>
          <w:sz w:val="24"/>
          <w:szCs w:val="24"/>
          <w:highlight w:val="none"/>
          <w:lang w:eastAsia="zh-CN"/>
        </w:rPr>
        <w:t>(</w:t>
      </w:r>
      <w:r>
        <w:rPr>
          <w:rFonts w:ascii="宋体" w:hAnsi="宋体" w:eastAsia="宋体" w:cs="宋体"/>
          <w:color w:val="auto"/>
          <w:spacing w:val="-1"/>
          <w:sz w:val="24"/>
          <w:szCs w:val="24"/>
          <w:highlight w:val="none"/>
          <w:lang w:eastAsia="zh-CN"/>
        </w:rPr>
        <w:t>签字或签章</w:t>
      </w:r>
      <w:r>
        <w:rPr>
          <w:rFonts w:ascii="Segoe Print" w:hAnsi="Segoe Print" w:eastAsia="Segoe Print" w:cs="Segoe Print"/>
          <w:color w:val="auto"/>
          <w:spacing w:val="-1"/>
          <w:sz w:val="24"/>
          <w:szCs w:val="24"/>
          <w:highlight w:val="none"/>
          <w:lang w:eastAsia="zh-CN"/>
        </w:rPr>
        <w:t>)</w:t>
      </w:r>
      <w:r>
        <w:rPr>
          <w:rFonts w:ascii="宋体" w:hAnsi="宋体" w:eastAsia="宋体" w:cs="宋体"/>
          <w:color w:val="auto"/>
          <w:spacing w:val="-1"/>
          <w:sz w:val="24"/>
          <w:szCs w:val="24"/>
          <w:highlight w:val="none"/>
          <w:lang w:eastAsia="zh-CN"/>
        </w:rPr>
        <w:t>：</w:t>
      </w:r>
    </w:p>
    <w:p w14:paraId="12974123">
      <w:pPr>
        <w:spacing w:before="137" w:line="219" w:lineRule="auto"/>
        <w:ind w:left="4842"/>
        <w:rPr>
          <w:rFonts w:ascii="宋体" w:hAnsi="宋体" w:eastAsia="宋体" w:cs="宋体"/>
          <w:color w:val="auto"/>
          <w:sz w:val="24"/>
          <w:szCs w:val="24"/>
          <w:highlight w:val="none"/>
          <w:lang w:eastAsia="zh-CN"/>
        </w:rPr>
      </w:pPr>
      <w:r>
        <w:rPr>
          <w:rFonts w:ascii="宋体" w:hAnsi="宋体" w:eastAsia="宋体" w:cs="宋体"/>
          <w:color w:val="auto"/>
          <w:spacing w:val="-13"/>
          <w:sz w:val="24"/>
          <w:szCs w:val="24"/>
          <w:highlight w:val="none"/>
          <w:lang w:eastAsia="zh-CN"/>
        </w:rPr>
        <w:t>日期：</w:t>
      </w:r>
      <w:r>
        <w:rPr>
          <w:rFonts w:ascii="宋体" w:hAnsi="宋体" w:eastAsia="宋体" w:cs="宋体"/>
          <w:color w:val="auto"/>
          <w:spacing w:val="11"/>
          <w:sz w:val="24"/>
          <w:szCs w:val="24"/>
          <w:highlight w:val="none"/>
          <w:lang w:eastAsia="zh-CN"/>
        </w:rPr>
        <w:t xml:space="preserve"> </w:t>
      </w:r>
      <w:r>
        <w:rPr>
          <w:rFonts w:ascii="宋体" w:hAnsi="宋体" w:eastAsia="宋体" w:cs="宋体"/>
          <w:color w:val="auto"/>
          <w:spacing w:val="-13"/>
          <w:sz w:val="24"/>
          <w:szCs w:val="24"/>
          <w:highlight w:val="none"/>
          <w:lang w:eastAsia="zh-CN"/>
        </w:rPr>
        <w:t>年</w:t>
      </w:r>
      <w:r>
        <w:rPr>
          <w:rFonts w:ascii="宋体" w:hAnsi="宋体" w:eastAsia="宋体" w:cs="宋体"/>
          <w:color w:val="auto"/>
          <w:spacing w:val="15"/>
          <w:sz w:val="24"/>
          <w:szCs w:val="24"/>
          <w:highlight w:val="none"/>
          <w:lang w:eastAsia="zh-CN"/>
        </w:rPr>
        <w:t xml:space="preserve"> </w:t>
      </w:r>
      <w:r>
        <w:rPr>
          <w:rFonts w:ascii="宋体" w:hAnsi="宋体" w:eastAsia="宋体" w:cs="宋体"/>
          <w:color w:val="auto"/>
          <w:spacing w:val="-13"/>
          <w:sz w:val="24"/>
          <w:szCs w:val="24"/>
          <w:highlight w:val="none"/>
          <w:lang w:eastAsia="zh-CN"/>
        </w:rPr>
        <w:t>月</w:t>
      </w:r>
      <w:r>
        <w:rPr>
          <w:rFonts w:ascii="宋体" w:hAnsi="宋体" w:eastAsia="宋体" w:cs="宋体"/>
          <w:color w:val="auto"/>
          <w:spacing w:val="51"/>
          <w:sz w:val="24"/>
          <w:szCs w:val="24"/>
          <w:highlight w:val="none"/>
          <w:lang w:eastAsia="zh-CN"/>
        </w:rPr>
        <w:t xml:space="preserve"> </w:t>
      </w:r>
      <w:r>
        <w:rPr>
          <w:rFonts w:ascii="宋体" w:hAnsi="宋体" w:eastAsia="宋体" w:cs="宋体"/>
          <w:color w:val="auto"/>
          <w:spacing w:val="-13"/>
          <w:sz w:val="24"/>
          <w:szCs w:val="24"/>
          <w:highlight w:val="none"/>
          <w:lang w:eastAsia="zh-CN"/>
        </w:rPr>
        <w:t>日</w:t>
      </w:r>
    </w:p>
    <w:p w14:paraId="3F6C5D89">
      <w:pPr>
        <w:pStyle w:val="5"/>
        <w:spacing w:line="265" w:lineRule="auto"/>
        <w:rPr>
          <w:color w:val="auto"/>
          <w:highlight w:val="none"/>
          <w:lang w:eastAsia="zh-CN"/>
        </w:rPr>
      </w:pPr>
    </w:p>
    <w:p w14:paraId="1B1430F0">
      <w:pPr>
        <w:pStyle w:val="5"/>
        <w:spacing w:line="265" w:lineRule="auto"/>
        <w:rPr>
          <w:color w:val="auto"/>
          <w:highlight w:val="none"/>
          <w:lang w:eastAsia="zh-CN"/>
        </w:rPr>
      </w:pPr>
    </w:p>
    <w:p w14:paraId="5F794ADC">
      <w:pPr>
        <w:pStyle w:val="5"/>
        <w:spacing w:line="265" w:lineRule="auto"/>
        <w:rPr>
          <w:color w:val="auto"/>
          <w:highlight w:val="none"/>
          <w:lang w:eastAsia="zh-CN"/>
        </w:rPr>
      </w:pPr>
    </w:p>
    <w:p w14:paraId="7C58D0F7">
      <w:pPr>
        <w:spacing w:before="78" w:line="219" w:lineRule="auto"/>
        <w:jc w:val="right"/>
        <w:outlineLvl w:val="1"/>
        <w:rPr>
          <w:rFonts w:ascii="宋体" w:hAnsi="宋体" w:eastAsia="宋体" w:cs="宋体"/>
          <w:color w:val="auto"/>
          <w:sz w:val="24"/>
          <w:szCs w:val="24"/>
          <w:highlight w:val="none"/>
          <w:lang w:eastAsia="zh-CN"/>
        </w:rPr>
      </w:pPr>
      <w:bookmarkStart w:id="124" w:name="_Toc31912"/>
      <w:r>
        <w:rPr>
          <w:rFonts w:ascii="宋体" w:hAnsi="宋体" w:eastAsia="宋体" w:cs="宋体"/>
          <w:b/>
          <w:bCs/>
          <w:color w:val="auto"/>
          <w:spacing w:val="-5"/>
          <w:sz w:val="24"/>
          <w:szCs w:val="24"/>
          <w:highlight w:val="none"/>
          <w:lang w:eastAsia="zh-CN"/>
        </w:rPr>
        <w:t>注：</w:t>
      </w:r>
      <w:r>
        <w:rPr>
          <w:rFonts w:hint="eastAsia" w:ascii="宋体" w:hAnsi="宋体" w:eastAsia="宋体" w:cs="宋体"/>
          <w:b/>
          <w:bCs/>
          <w:color w:val="auto"/>
          <w:spacing w:val="-5"/>
          <w:sz w:val="24"/>
          <w:szCs w:val="24"/>
          <w:highlight w:val="none"/>
          <w:lang w:val="en-US" w:eastAsia="zh-CN"/>
        </w:rPr>
        <w:t>供应商</w:t>
      </w:r>
      <w:r>
        <w:rPr>
          <w:rFonts w:ascii="宋体" w:hAnsi="宋体" w:eastAsia="宋体" w:cs="宋体"/>
          <w:b/>
          <w:bCs/>
          <w:color w:val="auto"/>
          <w:spacing w:val="-5"/>
          <w:sz w:val="24"/>
          <w:szCs w:val="24"/>
          <w:highlight w:val="none"/>
          <w:lang w:eastAsia="zh-CN"/>
        </w:rPr>
        <w:t>须在投标文件中按此模板提供承诺函，未提供视为未实质性响应招标文</w:t>
      </w:r>
      <w:bookmarkEnd w:id="124"/>
    </w:p>
    <w:p w14:paraId="75DC9E28">
      <w:pPr>
        <w:spacing w:before="156" w:line="219" w:lineRule="auto"/>
        <w:rPr>
          <w:rFonts w:ascii="宋体" w:hAnsi="宋体" w:eastAsia="宋体" w:cs="宋体"/>
          <w:color w:val="auto"/>
          <w:sz w:val="24"/>
          <w:szCs w:val="24"/>
          <w:highlight w:val="none"/>
          <w:lang w:eastAsia="zh-CN"/>
        </w:rPr>
      </w:pPr>
      <w:r>
        <w:rPr>
          <w:rFonts w:ascii="宋体" w:hAnsi="宋体" w:eastAsia="宋体" w:cs="宋体"/>
          <w:b/>
          <w:bCs/>
          <w:color w:val="auto"/>
          <w:spacing w:val="-3"/>
          <w:sz w:val="24"/>
          <w:szCs w:val="24"/>
          <w:highlight w:val="none"/>
          <w:lang w:eastAsia="zh-CN"/>
        </w:rPr>
        <w:t>件要求，按无效投标处理。</w:t>
      </w:r>
    </w:p>
    <w:p w14:paraId="45B009AA">
      <w:pPr>
        <w:spacing w:line="219" w:lineRule="auto"/>
        <w:rPr>
          <w:rFonts w:ascii="宋体" w:hAnsi="宋体" w:eastAsia="宋体" w:cs="宋体"/>
          <w:color w:val="auto"/>
          <w:sz w:val="24"/>
          <w:szCs w:val="24"/>
          <w:highlight w:val="none"/>
          <w:lang w:eastAsia="zh-CN"/>
        </w:rPr>
        <w:sectPr>
          <w:footerReference r:id="rId31" w:type="default"/>
          <w:pgSz w:w="11907" w:h="16840"/>
          <w:pgMar w:top="1431" w:right="1522" w:bottom="1139" w:left="1585" w:header="0" w:footer="977" w:gutter="0"/>
          <w:cols w:space="720" w:num="1"/>
        </w:sectPr>
      </w:pPr>
    </w:p>
    <w:p w14:paraId="2E74CC17">
      <w:pPr>
        <w:spacing w:before="152" w:line="219" w:lineRule="auto"/>
        <w:ind w:left="2087"/>
        <w:outlineLvl w:val="1"/>
        <w:rPr>
          <w:rFonts w:ascii="宋体" w:hAnsi="宋体" w:eastAsia="宋体" w:cs="宋体"/>
          <w:color w:val="auto"/>
          <w:sz w:val="30"/>
          <w:szCs w:val="30"/>
          <w:highlight w:val="none"/>
          <w:lang w:eastAsia="zh-CN"/>
        </w:rPr>
      </w:pPr>
      <w:bookmarkStart w:id="125" w:name="_Toc9832"/>
      <w:r>
        <w:rPr>
          <w:rFonts w:ascii="宋体" w:hAnsi="宋体" w:eastAsia="宋体" w:cs="宋体"/>
          <w:b/>
          <w:bCs/>
          <w:color w:val="auto"/>
          <w:spacing w:val="-4"/>
          <w:sz w:val="30"/>
          <w:szCs w:val="30"/>
          <w:highlight w:val="none"/>
          <w:lang w:eastAsia="zh-CN"/>
        </w:rPr>
        <w:t>六、</w:t>
      </w:r>
      <w:r>
        <w:rPr>
          <w:rFonts w:hint="eastAsia" w:ascii="宋体" w:hAnsi="宋体" w:eastAsia="宋体" w:cs="宋体"/>
          <w:b/>
          <w:bCs/>
          <w:color w:val="auto"/>
          <w:spacing w:val="-4"/>
          <w:sz w:val="30"/>
          <w:szCs w:val="30"/>
          <w:highlight w:val="none"/>
          <w:lang w:eastAsia="zh-CN"/>
        </w:rPr>
        <w:t>投标人</w:t>
      </w:r>
      <w:r>
        <w:rPr>
          <w:rFonts w:ascii="宋体" w:hAnsi="宋体" w:eastAsia="宋体" w:cs="宋体"/>
          <w:b/>
          <w:bCs/>
          <w:color w:val="auto"/>
          <w:spacing w:val="-4"/>
          <w:sz w:val="30"/>
          <w:szCs w:val="30"/>
          <w:highlight w:val="none"/>
          <w:lang w:eastAsia="zh-CN"/>
        </w:rPr>
        <w:t>服务承诺和优惠承诺</w:t>
      </w:r>
      <w:bookmarkEnd w:id="125"/>
    </w:p>
    <w:p w14:paraId="6D72D0A7">
      <w:pPr>
        <w:spacing w:line="219" w:lineRule="auto"/>
        <w:rPr>
          <w:rFonts w:ascii="宋体" w:hAnsi="宋体" w:eastAsia="宋体" w:cs="宋体"/>
          <w:color w:val="auto"/>
          <w:sz w:val="30"/>
          <w:szCs w:val="30"/>
          <w:highlight w:val="none"/>
          <w:lang w:eastAsia="zh-CN"/>
        </w:rPr>
        <w:sectPr>
          <w:footerReference r:id="rId32" w:type="default"/>
          <w:pgSz w:w="11907" w:h="16840"/>
          <w:pgMar w:top="1431" w:right="1786" w:bottom="1139" w:left="1786" w:header="0" w:footer="977" w:gutter="0"/>
          <w:cols w:space="720" w:num="1"/>
        </w:sectPr>
      </w:pPr>
    </w:p>
    <w:p w14:paraId="2B0AE9BA">
      <w:pPr>
        <w:spacing w:before="152" w:line="219" w:lineRule="auto"/>
        <w:jc w:val="right"/>
        <w:outlineLvl w:val="1"/>
        <w:rPr>
          <w:rFonts w:ascii="宋体" w:hAnsi="宋体" w:eastAsia="宋体" w:cs="宋体"/>
          <w:color w:val="auto"/>
          <w:sz w:val="30"/>
          <w:szCs w:val="30"/>
          <w:highlight w:val="none"/>
          <w:lang w:eastAsia="zh-CN"/>
        </w:rPr>
      </w:pPr>
      <w:bookmarkStart w:id="126" w:name="_Toc19436"/>
      <w:r>
        <w:rPr>
          <w:rFonts w:ascii="宋体" w:hAnsi="宋体" w:eastAsia="宋体" w:cs="宋体"/>
          <w:b/>
          <w:bCs/>
          <w:color w:val="auto"/>
          <w:spacing w:val="-3"/>
          <w:sz w:val="30"/>
          <w:szCs w:val="30"/>
          <w:highlight w:val="none"/>
          <w:lang w:eastAsia="zh-CN"/>
        </w:rPr>
        <w:t>七、</w:t>
      </w:r>
      <w:r>
        <w:rPr>
          <w:rFonts w:hint="eastAsia" w:ascii="宋体" w:hAnsi="宋体" w:eastAsia="宋体" w:cs="宋体"/>
          <w:b/>
          <w:bCs/>
          <w:color w:val="auto"/>
          <w:spacing w:val="-3"/>
          <w:sz w:val="30"/>
          <w:szCs w:val="30"/>
          <w:highlight w:val="none"/>
          <w:lang w:eastAsia="zh-CN"/>
        </w:rPr>
        <w:t>投标人</w:t>
      </w:r>
      <w:r>
        <w:rPr>
          <w:rFonts w:ascii="宋体" w:hAnsi="宋体" w:eastAsia="宋体" w:cs="宋体"/>
          <w:b/>
          <w:bCs/>
          <w:color w:val="auto"/>
          <w:spacing w:val="-3"/>
          <w:sz w:val="30"/>
          <w:szCs w:val="30"/>
          <w:highlight w:val="none"/>
          <w:lang w:eastAsia="zh-CN"/>
        </w:rPr>
        <w:t>所投产品属于当期政府采购清单规定的节能环保产品的</w:t>
      </w:r>
      <w:bookmarkEnd w:id="126"/>
    </w:p>
    <w:p w14:paraId="3E88D6D3">
      <w:pPr>
        <w:spacing w:before="263" w:line="219" w:lineRule="auto"/>
        <w:ind w:left="3188"/>
        <w:outlineLvl w:val="2"/>
        <w:rPr>
          <w:rFonts w:ascii="宋体" w:hAnsi="宋体" w:eastAsia="宋体" w:cs="宋体"/>
          <w:color w:val="auto"/>
          <w:sz w:val="30"/>
          <w:szCs w:val="30"/>
          <w:highlight w:val="none"/>
          <w:lang w:eastAsia="zh-CN"/>
        </w:rPr>
      </w:pPr>
      <w:bookmarkStart w:id="127" w:name="_Toc2118"/>
      <w:r>
        <w:rPr>
          <w:rFonts w:ascii="宋体" w:hAnsi="宋体" w:eastAsia="宋体" w:cs="宋体"/>
          <w:b/>
          <w:bCs/>
          <w:color w:val="auto"/>
          <w:spacing w:val="-4"/>
          <w:sz w:val="30"/>
          <w:szCs w:val="30"/>
          <w:highlight w:val="none"/>
          <w:lang w:eastAsia="zh-CN"/>
        </w:rPr>
        <w:t>证明材料（如有）</w:t>
      </w:r>
      <w:bookmarkEnd w:id="127"/>
    </w:p>
    <w:p w14:paraId="673DEDC0">
      <w:pPr>
        <w:spacing w:line="219" w:lineRule="auto"/>
        <w:rPr>
          <w:rFonts w:ascii="宋体" w:hAnsi="宋体" w:eastAsia="宋体" w:cs="宋体"/>
          <w:color w:val="auto"/>
          <w:sz w:val="30"/>
          <w:szCs w:val="30"/>
          <w:highlight w:val="none"/>
          <w:lang w:eastAsia="zh-CN"/>
        </w:rPr>
        <w:sectPr>
          <w:footerReference r:id="rId33" w:type="default"/>
          <w:pgSz w:w="11907" w:h="16840"/>
          <w:pgMar w:top="1431" w:right="1596" w:bottom="1139" w:left="1587" w:header="0" w:footer="977" w:gutter="0"/>
          <w:cols w:space="720" w:num="1"/>
        </w:sectPr>
      </w:pPr>
    </w:p>
    <w:p w14:paraId="6303B732">
      <w:pPr>
        <w:spacing w:before="153" w:line="219" w:lineRule="auto"/>
        <w:ind w:left="2450"/>
        <w:outlineLvl w:val="1"/>
        <w:rPr>
          <w:rFonts w:ascii="宋体" w:hAnsi="宋体" w:eastAsia="宋体" w:cs="宋体"/>
          <w:color w:val="auto"/>
          <w:sz w:val="30"/>
          <w:szCs w:val="30"/>
          <w:highlight w:val="none"/>
          <w:lang w:eastAsia="zh-CN"/>
        </w:rPr>
      </w:pPr>
      <w:bookmarkStart w:id="128" w:name="_Toc19705"/>
      <w:r>
        <w:rPr>
          <w:rFonts w:ascii="宋体" w:hAnsi="宋体" w:eastAsia="宋体" w:cs="宋体"/>
          <w:b/>
          <w:bCs/>
          <w:color w:val="auto"/>
          <w:spacing w:val="-4"/>
          <w:sz w:val="30"/>
          <w:szCs w:val="30"/>
          <w:highlight w:val="none"/>
          <w:lang w:eastAsia="zh-CN"/>
        </w:rPr>
        <w:t>八、中小企业声明函（如有）</w:t>
      </w:r>
      <w:bookmarkEnd w:id="128"/>
    </w:p>
    <w:p w14:paraId="1C211115">
      <w:pPr>
        <w:pStyle w:val="5"/>
        <w:spacing w:line="284" w:lineRule="auto"/>
        <w:rPr>
          <w:color w:val="auto"/>
          <w:highlight w:val="none"/>
          <w:lang w:eastAsia="zh-CN"/>
        </w:rPr>
      </w:pPr>
    </w:p>
    <w:p w14:paraId="44BFD61D">
      <w:pPr>
        <w:spacing w:before="78" w:line="424" w:lineRule="auto"/>
        <w:ind w:left="8" w:right="61" w:firstLine="482"/>
        <w:jc w:val="both"/>
        <w:rPr>
          <w:rFonts w:ascii="宋体" w:hAnsi="宋体" w:eastAsia="宋体" w:cs="宋体"/>
          <w:color w:val="auto"/>
          <w:sz w:val="24"/>
          <w:szCs w:val="24"/>
          <w:highlight w:val="none"/>
          <w:lang w:eastAsia="zh-CN"/>
        </w:rPr>
      </w:pPr>
      <w:r>
        <w:rPr>
          <w:rFonts w:ascii="宋体" w:hAnsi="宋体" w:eastAsia="宋体" w:cs="宋体"/>
          <w:color w:val="auto"/>
          <w:spacing w:val="-6"/>
          <w:sz w:val="24"/>
          <w:szCs w:val="24"/>
          <w:highlight w:val="none"/>
          <w:lang w:eastAsia="zh-CN"/>
        </w:rPr>
        <w:t>本公司（联合体）郑重声明，根据《政府采购促进中小企业发展管理办法》（财</w:t>
      </w:r>
      <w:r>
        <w:rPr>
          <w:rFonts w:ascii="宋体" w:hAnsi="宋体" w:eastAsia="宋体" w:cs="宋体"/>
          <w:color w:val="auto"/>
          <w:spacing w:val="15"/>
          <w:sz w:val="24"/>
          <w:szCs w:val="24"/>
          <w:highlight w:val="none"/>
          <w:lang w:eastAsia="zh-CN"/>
        </w:rPr>
        <w:t xml:space="preserve"> </w:t>
      </w:r>
      <w:r>
        <w:rPr>
          <w:rFonts w:ascii="宋体" w:hAnsi="宋体" w:eastAsia="宋体" w:cs="宋体"/>
          <w:color w:val="auto"/>
          <w:spacing w:val="-2"/>
          <w:sz w:val="24"/>
          <w:szCs w:val="24"/>
          <w:highlight w:val="none"/>
          <w:lang w:eastAsia="zh-CN"/>
        </w:rPr>
        <w:t>库﹝2020﹞46 号）的规定，本公司 （联合体）参加</w:t>
      </w:r>
      <w:r>
        <w:rPr>
          <w:rFonts w:ascii="宋体" w:hAnsi="宋体" w:eastAsia="宋体" w:cs="宋体"/>
          <w:color w:val="auto"/>
          <w:spacing w:val="-2"/>
          <w:sz w:val="24"/>
          <w:szCs w:val="24"/>
          <w:highlight w:val="none"/>
          <w:u w:val="single"/>
          <w:lang w:eastAsia="zh-CN"/>
        </w:rPr>
        <w:t>（单位名称）</w:t>
      </w:r>
      <w:r>
        <w:rPr>
          <w:rFonts w:ascii="宋体" w:hAnsi="宋体" w:eastAsia="宋体" w:cs="宋体"/>
          <w:color w:val="auto"/>
          <w:spacing w:val="-2"/>
          <w:sz w:val="24"/>
          <w:szCs w:val="24"/>
          <w:highlight w:val="none"/>
          <w:lang w:eastAsia="zh-CN"/>
        </w:rPr>
        <w:t>的</w:t>
      </w:r>
      <w:r>
        <w:rPr>
          <w:rFonts w:ascii="宋体" w:hAnsi="宋体" w:eastAsia="宋体" w:cs="宋体"/>
          <w:color w:val="auto"/>
          <w:spacing w:val="-2"/>
          <w:sz w:val="24"/>
          <w:szCs w:val="24"/>
          <w:highlight w:val="none"/>
          <w:u w:val="single"/>
          <w:lang w:eastAsia="zh-CN"/>
        </w:rPr>
        <w:t>（项目名称</w:t>
      </w:r>
      <w:r>
        <w:rPr>
          <w:rFonts w:hint="eastAsia" w:ascii="宋体" w:hAnsi="宋体" w:eastAsia="宋体" w:cs="宋体"/>
          <w:color w:val="auto"/>
          <w:spacing w:val="-2"/>
          <w:sz w:val="24"/>
          <w:szCs w:val="24"/>
          <w:highlight w:val="none"/>
          <w:u w:val="single"/>
          <w:lang w:val="en-US" w:eastAsia="zh-CN"/>
        </w:rPr>
        <w:t>+标段</w:t>
      </w:r>
      <w:r>
        <w:rPr>
          <w:rFonts w:ascii="宋体" w:hAnsi="宋体" w:eastAsia="宋体" w:cs="宋体"/>
          <w:color w:val="auto"/>
          <w:spacing w:val="-2"/>
          <w:sz w:val="24"/>
          <w:szCs w:val="24"/>
          <w:highlight w:val="none"/>
          <w:u w:val="single"/>
          <w:lang w:eastAsia="zh-CN"/>
        </w:rPr>
        <w:t>）</w:t>
      </w:r>
      <w:r>
        <w:rPr>
          <w:rFonts w:ascii="宋体" w:hAnsi="宋体" w:eastAsia="宋体" w:cs="宋体"/>
          <w:color w:val="auto"/>
          <w:spacing w:val="-2"/>
          <w:sz w:val="24"/>
          <w:szCs w:val="24"/>
          <w:highlight w:val="none"/>
          <w:lang w:eastAsia="zh-CN"/>
        </w:rPr>
        <w:t>采</w:t>
      </w:r>
      <w:r>
        <w:rPr>
          <w:rFonts w:ascii="宋体" w:hAnsi="宋体" w:eastAsia="宋体" w:cs="宋体"/>
          <w:color w:val="auto"/>
          <w:spacing w:val="1"/>
          <w:sz w:val="24"/>
          <w:szCs w:val="24"/>
          <w:highlight w:val="none"/>
          <w:lang w:eastAsia="zh-CN"/>
        </w:rPr>
        <w:t>购活动，提供的货物全部由符合政策要求的中小企业制造。相关企业 （含联合体中</w:t>
      </w:r>
      <w:r>
        <w:rPr>
          <w:rFonts w:ascii="宋体" w:hAnsi="宋体" w:eastAsia="宋体" w:cs="宋体"/>
          <w:color w:val="auto"/>
          <w:spacing w:val="4"/>
          <w:sz w:val="24"/>
          <w:szCs w:val="24"/>
          <w:highlight w:val="none"/>
          <w:lang w:eastAsia="zh-CN"/>
        </w:rPr>
        <w:t xml:space="preserve"> </w:t>
      </w:r>
      <w:r>
        <w:rPr>
          <w:rFonts w:ascii="宋体" w:hAnsi="宋体" w:eastAsia="宋体" w:cs="宋体"/>
          <w:color w:val="auto"/>
          <w:sz w:val="24"/>
          <w:szCs w:val="24"/>
          <w:highlight w:val="none"/>
          <w:lang w:eastAsia="zh-CN"/>
        </w:rPr>
        <w:t>的中小企业、签订分包意向协议的中小企业）</w:t>
      </w:r>
      <w:r>
        <w:rPr>
          <w:rFonts w:ascii="宋体" w:hAnsi="宋体" w:eastAsia="宋体" w:cs="宋体"/>
          <w:color w:val="auto"/>
          <w:spacing w:val="-1"/>
          <w:sz w:val="24"/>
          <w:szCs w:val="24"/>
          <w:highlight w:val="none"/>
          <w:lang w:eastAsia="zh-CN"/>
        </w:rPr>
        <w:t xml:space="preserve"> 的具体情况如下：</w:t>
      </w:r>
    </w:p>
    <w:p w14:paraId="764D3734">
      <w:pPr>
        <w:tabs>
          <w:tab w:val="left" w:pos="136"/>
        </w:tabs>
        <w:spacing w:before="33" w:line="422" w:lineRule="auto"/>
        <w:ind w:right="61" w:firstLine="627"/>
        <w:jc w:val="both"/>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 xml:space="preserve">1. </w:t>
      </w:r>
      <w:r>
        <w:rPr>
          <w:rFonts w:ascii="宋体" w:hAnsi="宋体" w:eastAsia="宋体" w:cs="宋体"/>
          <w:color w:val="auto"/>
          <w:spacing w:val="-3"/>
          <w:sz w:val="24"/>
          <w:szCs w:val="24"/>
          <w:highlight w:val="none"/>
          <w:u w:val="single"/>
          <w:lang w:eastAsia="zh-CN"/>
        </w:rPr>
        <w:t>（标的名称</w:t>
      </w:r>
      <w:r>
        <w:rPr>
          <w:rFonts w:ascii="宋体" w:hAnsi="宋体" w:eastAsia="宋体" w:cs="宋体"/>
          <w:color w:val="auto"/>
          <w:spacing w:val="-13"/>
          <w:sz w:val="24"/>
          <w:szCs w:val="24"/>
          <w:highlight w:val="none"/>
          <w:u w:val="single"/>
          <w:lang w:eastAsia="zh-CN"/>
        </w:rPr>
        <w:t>）</w:t>
      </w:r>
      <w:r>
        <w:rPr>
          <w:rFonts w:ascii="宋体" w:hAnsi="宋体" w:eastAsia="宋体" w:cs="宋体"/>
          <w:color w:val="auto"/>
          <w:spacing w:val="30"/>
          <w:sz w:val="24"/>
          <w:szCs w:val="24"/>
          <w:highlight w:val="none"/>
          <w:lang w:eastAsia="zh-CN"/>
        </w:rPr>
        <w:t xml:space="preserve"> </w:t>
      </w:r>
      <w:r>
        <w:rPr>
          <w:rFonts w:ascii="宋体" w:hAnsi="宋体" w:eastAsia="宋体" w:cs="宋体"/>
          <w:color w:val="auto"/>
          <w:spacing w:val="-13"/>
          <w:sz w:val="24"/>
          <w:szCs w:val="24"/>
          <w:highlight w:val="none"/>
          <w:lang w:eastAsia="zh-CN"/>
        </w:rPr>
        <w:t>，</w:t>
      </w:r>
      <w:r>
        <w:rPr>
          <w:rFonts w:ascii="宋体" w:hAnsi="宋体" w:eastAsia="宋体" w:cs="宋体"/>
          <w:color w:val="auto"/>
          <w:spacing w:val="-3"/>
          <w:sz w:val="24"/>
          <w:szCs w:val="24"/>
          <w:highlight w:val="none"/>
          <w:lang w:eastAsia="zh-CN"/>
        </w:rPr>
        <w:t>属于</w:t>
      </w:r>
      <w:r>
        <w:rPr>
          <w:rFonts w:ascii="宋体" w:hAnsi="宋体" w:eastAsia="宋体" w:cs="宋体"/>
          <w:color w:val="auto"/>
          <w:spacing w:val="-3"/>
          <w:sz w:val="24"/>
          <w:szCs w:val="24"/>
          <w:highlight w:val="none"/>
          <w:u w:val="single"/>
          <w:lang w:eastAsia="zh-CN"/>
        </w:rPr>
        <w:t>（采购文件中明确的所属行业）</w:t>
      </w:r>
      <w:r>
        <w:rPr>
          <w:rFonts w:ascii="宋体" w:hAnsi="宋体" w:eastAsia="宋体" w:cs="宋体"/>
          <w:color w:val="auto"/>
          <w:spacing w:val="-3"/>
          <w:sz w:val="24"/>
          <w:szCs w:val="24"/>
          <w:highlight w:val="none"/>
          <w:lang w:eastAsia="zh-CN"/>
        </w:rPr>
        <w:t xml:space="preserve"> 行业；制造商为</w:t>
      </w:r>
      <w:r>
        <w:rPr>
          <w:rFonts w:ascii="宋体" w:hAnsi="宋体" w:eastAsia="宋体" w:cs="宋体"/>
          <w:color w:val="auto"/>
          <w:spacing w:val="-3"/>
          <w:sz w:val="24"/>
          <w:szCs w:val="24"/>
          <w:highlight w:val="none"/>
          <w:u w:val="single"/>
          <w:lang w:eastAsia="zh-CN"/>
        </w:rPr>
        <w:t>（企</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u w:val="single"/>
          <w:lang w:eastAsia="zh-CN"/>
        </w:rPr>
        <w:t>业名称</w:t>
      </w:r>
      <w:r>
        <w:rPr>
          <w:rFonts w:ascii="宋体" w:hAnsi="宋体" w:eastAsia="宋体" w:cs="宋体"/>
          <w:color w:val="auto"/>
          <w:spacing w:val="13"/>
          <w:sz w:val="24"/>
          <w:szCs w:val="24"/>
          <w:highlight w:val="none"/>
          <w:u w:val="single"/>
          <w:lang w:eastAsia="zh-CN"/>
        </w:rPr>
        <w:t>）</w:t>
      </w:r>
      <w:r>
        <w:rPr>
          <w:rFonts w:ascii="宋体" w:hAnsi="宋体" w:eastAsia="宋体" w:cs="宋体"/>
          <w:color w:val="auto"/>
          <w:spacing w:val="13"/>
          <w:sz w:val="24"/>
          <w:szCs w:val="24"/>
          <w:highlight w:val="none"/>
          <w:lang w:eastAsia="zh-CN"/>
        </w:rPr>
        <w:t>，</w:t>
      </w:r>
      <w:r>
        <w:rPr>
          <w:rFonts w:ascii="宋体" w:hAnsi="宋体" w:eastAsia="宋体" w:cs="宋体"/>
          <w:color w:val="auto"/>
          <w:spacing w:val="-2"/>
          <w:sz w:val="24"/>
          <w:szCs w:val="24"/>
          <w:highlight w:val="none"/>
          <w:lang w:eastAsia="zh-CN"/>
        </w:rPr>
        <w:t>从业人员</w:t>
      </w:r>
      <w:r>
        <w:rPr>
          <w:rFonts w:ascii="宋体" w:hAnsi="宋体" w:eastAsia="宋体" w:cs="宋体"/>
          <w:color w:val="auto"/>
          <w:spacing w:val="-118"/>
          <w:sz w:val="24"/>
          <w:szCs w:val="24"/>
          <w:highlight w:val="non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07"/>
          <w:sz w:val="24"/>
          <w:szCs w:val="24"/>
          <w:highlight w:val="none"/>
          <w:lang w:eastAsia="zh-CN"/>
        </w:rPr>
        <w:t xml:space="preserve"> </w:t>
      </w:r>
      <w:r>
        <w:rPr>
          <w:rFonts w:ascii="宋体" w:hAnsi="宋体" w:eastAsia="宋体" w:cs="宋体"/>
          <w:color w:val="auto"/>
          <w:spacing w:val="-2"/>
          <w:sz w:val="24"/>
          <w:szCs w:val="24"/>
          <w:highlight w:val="none"/>
          <w:lang w:eastAsia="zh-CN"/>
        </w:rPr>
        <w:t>人，营业收入为</w:t>
      </w:r>
      <w:r>
        <w:rPr>
          <w:rFonts w:ascii="宋体" w:hAnsi="宋体" w:eastAsia="宋体" w:cs="宋体"/>
          <w:color w:val="auto"/>
          <w:spacing w:val="-119"/>
          <w:sz w:val="24"/>
          <w:szCs w:val="24"/>
          <w:highlight w:val="none"/>
          <w:lang w:eastAsia="zh-CN"/>
        </w:rPr>
        <w:t xml:space="preserve"> </w:t>
      </w:r>
      <w:r>
        <w:rPr>
          <w:rFonts w:ascii="宋体" w:hAnsi="宋体" w:eastAsia="宋体" w:cs="宋体"/>
          <w:color w:val="auto"/>
          <w:spacing w:val="1"/>
          <w:sz w:val="24"/>
          <w:szCs w:val="24"/>
          <w:highlight w:val="none"/>
          <w:u w:val="single"/>
          <w:lang w:eastAsia="zh-CN"/>
        </w:rPr>
        <w:t xml:space="preserve">     </w:t>
      </w:r>
      <w:r>
        <w:rPr>
          <w:rFonts w:ascii="宋体" w:hAnsi="宋体" w:eastAsia="宋体" w:cs="宋体"/>
          <w:color w:val="auto"/>
          <w:spacing w:val="-104"/>
          <w:sz w:val="24"/>
          <w:szCs w:val="24"/>
          <w:highlight w:val="none"/>
          <w:lang w:eastAsia="zh-CN"/>
        </w:rPr>
        <w:t xml:space="preserve"> </w:t>
      </w:r>
      <w:r>
        <w:rPr>
          <w:rFonts w:ascii="宋体" w:hAnsi="宋体" w:eastAsia="宋体" w:cs="宋体"/>
          <w:color w:val="auto"/>
          <w:spacing w:val="-2"/>
          <w:sz w:val="24"/>
          <w:szCs w:val="24"/>
          <w:highlight w:val="none"/>
          <w:lang w:eastAsia="zh-CN"/>
        </w:rPr>
        <w:t>万元，资产总额为</w:t>
      </w:r>
      <w:r>
        <w:rPr>
          <w:rFonts w:ascii="宋体" w:hAnsi="宋体" w:eastAsia="宋体" w:cs="宋体"/>
          <w:color w:val="auto"/>
          <w:spacing w:val="-2"/>
          <w:sz w:val="24"/>
          <w:szCs w:val="24"/>
          <w:highlight w:val="none"/>
          <w:u w:val="single"/>
          <w:lang w:eastAsia="zh-CN"/>
        </w:rPr>
        <w:t xml:space="preserve">     </w:t>
      </w:r>
      <w:r>
        <w:rPr>
          <w:rFonts w:ascii="宋体" w:hAnsi="宋体" w:eastAsia="宋体" w:cs="宋体"/>
          <w:color w:val="auto"/>
          <w:spacing w:val="-105"/>
          <w:sz w:val="24"/>
          <w:szCs w:val="24"/>
          <w:highlight w:val="none"/>
          <w:lang w:eastAsia="zh-CN"/>
        </w:rPr>
        <w:t xml:space="preserve"> </w:t>
      </w:r>
      <w:r>
        <w:rPr>
          <w:rFonts w:ascii="宋体" w:hAnsi="宋体" w:eastAsia="宋体" w:cs="宋体"/>
          <w:color w:val="auto"/>
          <w:spacing w:val="-2"/>
          <w:sz w:val="24"/>
          <w:szCs w:val="24"/>
          <w:highlight w:val="none"/>
          <w:lang w:eastAsia="zh-CN"/>
        </w:rPr>
        <w:t>万元</w:t>
      </w:r>
      <w:r>
        <w:rPr>
          <w:rFonts w:ascii="宋体" w:hAnsi="宋体" w:eastAsia="宋体" w:cs="宋体"/>
          <w:color w:val="auto"/>
          <w:spacing w:val="32"/>
          <w:sz w:val="24"/>
          <w:szCs w:val="24"/>
          <w:highlight w:val="none"/>
          <w:lang w:eastAsia="zh-CN"/>
        </w:rPr>
        <w:t xml:space="preserve"> </w:t>
      </w:r>
      <w:r>
        <w:rPr>
          <w:rFonts w:ascii="宋体" w:hAnsi="宋体" w:eastAsia="宋体" w:cs="宋体"/>
          <w:color w:val="auto"/>
          <w:spacing w:val="-2"/>
          <w:sz w:val="24"/>
          <w:szCs w:val="24"/>
          <w:highlight w:val="none"/>
          <w:lang w:eastAsia="zh-CN"/>
        </w:rPr>
        <w:t>，属于</w:t>
      </w:r>
      <w:r>
        <w:rPr>
          <w:rFonts w:ascii="宋体" w:hAnsi="宋体" w:eastAsia="宋体" w:cs="宋体"/>
          <w:color w:val="auto"/>
          <w:sz w:val="24"/>
          <w:szCs w:val="24"/>
          <w:highlight w:val="none"/>
          <w:lang w:eastAsia="zh-CN"/>
        </w:rPr>
        <w:t xml:space="preserve"> </w:t>
      </w:r>
      <w:r>
        <w:rPr>
          <w:rFonts w:ascii="宋体" w:hAnsi="宋体" w:eastAsia="宋体" w:cs="宋体"/>
          <w:color w:val="auto"/>
          <w:sz w:val="24"/>
          <w:szCs w:val="24"/>
          <w:highlight w:val="none"/>
          <w:u w:val="single"/>
          <w:lang w:eastAsia="zh-CN"/>
        </w:rPr>
        <w:tab/>
      </w:r>
      <w:r>
        <w:rPr>
          <w:rFonts w:ascii="宋体" w:hAnsi="宋体" w:eastAsia="宋体" w:cs="宋体"/>
          <w:color w:val="auto"/>
          <w:spacing w:val="-9"/>
          <w:sz w:val="24"/>
          <w:szCs w:val="24"/>
          <w:highlight w:val="none"/>
          <w:u w:val="single"/>
          <w:lang w:eastAsia="zh-CN"/>
        </w:rPr>
        <w:t>（中型企业、小 型企业、微型企业</w:t>
      </w:r>
      <w:r>
        <w:rPr>
          <w:rFonts w:ascii="宋体" w:hAnsi="宋体" w:eastAsia="宋体" w:cs="宋体"/>
          <w:color w:val="auto"/>
          <w:spacing w:val="3"/>
          <w:sz w:val="24"/>
          <w:szCs w:val="24"/>
          <w:highlight w:val="none"/>
          <w:u w:val="single"/>
          <w:lang w:eastAsia="zh-CN"/>
        </w:rPr>
        <w:t>）</w:t>
      </w:r>
      <w:r>
        <w:rPr>
          <w:rFonts w:ascii="宋体" w:hAnsi="宋体" w:eastAsia="宋体" w:cs="宋体"/>
          <w:color w:val="auto"/>
          <w:spacing w:val="3"/>
          <w:sz w:val="24"/>
          <w:szCs w:val="24"/>
          <w:highlight w:val="none"/>
          <w:lang w:eastAsia="zh-CN"/>
        </w:rPr>
        <w:t>；</w:t>
      </w:r>
    </w:p>
    <w:p w14:paraId="425921D0">
      <w:pPr>
        <w:spacing w:before="34" w:line="422" w:lineRule="auto"/>
        <w:ind w:left="9" w:right="61" w:firstLine="603"/>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 xml:space="preserve">2. </w:t>
      </w:r>
      <w:r>
        <w:rPr>
          <w:rFonts w:ascii="宋体" w:hAnsi="宋体" w:eastAsia="宋体" w:cs="宋体"/>
          <w:color w:val="auto"/>
          <w:spacing w:val="-2"/>
          <w:sz w:val="24"/>
          <w:szCs w:val="24"/>
          <w:highlight w:val="none"/>
          <w:u w:val="single"/>
          <w:lang w:eastAsia="zh-CN"/>
        </w:rPr>
        <w:t>（标的名称</w:t>
      </w:r>
      <w:r>
        <w:rPr>
          <w:rFonts w:ascii="宋体" w:hAnsi="宋体" w:eastAsia="宋体" w:cs="宋体"/>
          <w:color w:val="auto"/>
          <w:spacing w:val="-15"/>
          <w:sz w:val="24"/>
          <w:szCs w:val="24"/>
          <w:highlight w:val="none"/>
          <w:u w:val="single"/>
          <w:lang w:eastAsia="zh-CN"/>
        </w:rPr>
        <w:t>）</w:t>
      </w:r>
      <w:r>
        <w:rPr>
          <w:rFonts w:ascii="宋体" w:hAnsi="宋体" w:eastAsia="宋体" w:cs="宋体"/>
          <w:color w:val="auto"/>
          <w:spacing w:val="-12"/>
          <w:sz w:val="24"/>
          <w:szCs w:val="24"/>
          <w:highlight w:val="none"/>
          <w:u w:val="single"/>
          <w:lang w:eastAsia="zh-CN"/>
        </w:rPr>
        <w:t xml:space="preserve"> </w:t>
      </w:r>
      <w:r>
        <w:rPr>
          <w:rFonts w:ascii="宋体" w:hAnsi="宋体" w:eastAsia="宋体" w:cs="宋体"/>
          <w:color w:val="auto"/>
          <w:spacing w:val="-90"/>
          <w:sz w:val="24"/>
          <w:szCs w:val="24"/>
          <w:highlight w:val="none"/>
          <w:lang w:eastAsia="zh-CN"/>
        </w:rPr>
        <w:t xml:space="preserve"> </w:t>
      </w:r>
      <w:r>
        <w:rPr>
          <w:rFonts w:ascii="宋体" w:hAnsi="宋体" w:eastAsia="宋体" w:cs="宋体"/>
          <w:color w:val="auto"/>
          <w:spacing w:val="-15"/>
          <w:sz w:val="24"/>
          <w:szCs w:val="24"/>
          <w:highlight w:val="none"/>
          <w:lang w:eastAsia="zh-CN"/>
        </w:rPr>
        <w:t>，</w:t>
      </w:r>
      <w:r>
        <w:rPr>
          <w:rFonts w:ascii="宋体" w:hAnsi="宋体" w:eastAsia="宋体" w:cs="宋体"/>
          <w:color w:val="auto"/>
          <w:spacing w:val="-2"/>
          <w:sz w:val="24"/>
          <w:szCs w:val="24"/>
          <w:highlight w:val="none"/>
          <w:lang w:eastAsia="zh-CN"/>
        </w:rPr>
        <w:t>属于</w:t>
      </w:r>
      <w:r>
        <w:rPr>
          <w:rFonts w:ascii="宋体" w:hAnsi="宋体" w:eastAsia="宋体" w:cs="宋体"/>
          <w:color w:val="auto"/>
          <w:spacing w:val="-2"/>
          <w:sz w:val="24"/>
          <w:szCs w:val="24"/>
          <w:highlight w:val="none"/>
          <w:u w:val="single"/>
          <w:lang w:eastAsia="zh-CN"/>
        </w:rPr>
        <w:t>（采购文件中明确的所属行业）</w:t>
      </w:r>
      <w:r>
        <w:rPr>
          <w:rFonts w:ascii="宋体" w:hAnsi="宋体" w:eastAsia="宋体" w:cs="宋体"/>
          <w:color w:val="auto"/>
          <w:spacing w:val="-2"/>
          <w:sz w:val="24"/>
          <w:szCs w:val="24"/>
          <w:highlight w:val="none"/>
          <w:lang w:eastAsia="zh-CN"/>
        </w:rPr>
        <w:t xml:space="preserve"> 行业；制造商</w:t>
      </w:r>
      <w:r>
        <w:rPr>
          <w:rFonts w:ascii="宋体" w:hAnsi="宋体" w:eastAsia="宋体" w:cs="宋体"/>
          <w:color w:val="auto"/>
          <w:spacing w:val="-3"/>
          <w:sz w:val="24"/>
          <w:szCs w:val="24"/>
          <w:highlight w:val="none"/>
          <w:lang w:eastAsia="zh-CN"/>
        </w:rPr>
        <w:t>为</w:t>
      </w:r>
      <w:r>
        <w:rPr>
          <w:rFonts w:ascii="宋体" w:hAnsi="宋体" w:eastAsia="宋体" w:cs="宋体"/>
          <w:color w:val="auto"/>
          <w:spacing w:val="-3"/>
          <w:sz w:val="24"/>
          <w:szCs w:val="24"/>
          <w:highlight w:val="none"/>
          <w:u w:val="single"/>
          <w:lang w:eastAsia="zh-CN"/>
        </w:rPr>
        <w:t>（企</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u w:val="single"/>
          <w:lang w:eastAsia="zh-CN"/>
        </w:rPr>
        <w:t>业名称</w:t>
      </w:r>
      <w:r>
        <w:rPr>
          <w:rFonts w:ascii="宋体" w:hAnsi="宋体" w:eastAsia="宋体" w:cs="宋体"/>
          <w:color w:val="auto"/>
          <w:sz w:val="24"/>
          <w:szCs w:val="24"/>
          <w:highlight w:val="none"/>
          <w:u w:val="single"/>
          <w:lang w:eastAsia="zh-CN"/>
        </w:rPr>
        <w:t>）</w:t>
      </w:r>
      <w:r>
        <w:rPr>
          <w:rFonts w:ascii="宋体" w:hAnsi="宋体" w:eastAsia="宋体" w:cs="宋体"/>
          <w:color w:val="auto"/>
          <w:sz w:val="24"/>
          <w:szCs w:val="24"/>
          <w:highlight w:val="none"/>
          <w:lang w:eastAsia="zh-CN"/>
        </w:rPr>
        <w:t>，</w:t>
      </w:r>
      <w:r>
        <w:rPr>
          <w:rFonts w:ascii="宋体" w:hAnsi="宋体" w:eastAsia="宋体" w:cs="宋体"/>
          <w:color w:val="auto"/>
          <w:spacing w:val="-3"/>
          <w:sz w:val="24"/>
          <w:szCs w:val="24"/>
          <w:highlight w:val="none"/>
          <w:lang w:eastAsia="zh-CN"/>
        </w:rPr>
        <w:t>从业人员</w:t>
      </w:r>
      <w:r>
        <w:rPr>
          <w:rFonts w:ascii="宋体" w:hAnsi="宋体" w:eastAsia="宋体" w:cs="宋体"/>
          <w:color w:val="auto"/>
          <w:spacing w:val="-3"/>
          <w:sz w:val="24"/>
          <w:szCs w:val="24"/>
          <w:highlight w:val="none"/>
          <w:u w:val="single"/>
          <w:lang w:eastAsia="zh-CN"/>
        </w:rPr>
        <w:t xml:space="preserve">    </w:t>
      </w:r>
      <w:r>
        <w:rPr>
          <w:rFonts w:ascii="宋体" w:hAnsi="宋体" w:eastAsia="宋体" w:cs="宋体"/>
          <w:color w:val="auto"/>
          <w:spacing w:val="-108"/>
          <w:sz w:val="24"/>
          <w:szCs w:val="24"/>
          <w:highlight w:val="none"/>
          <w:lang w:eastAsia="zh-CN"/>
        </w:rPr>
        <w:t xml:space="preserve"> </w:t>
      </w:r>
      <w:r>
        <w:rPr>
          <w:rFonts w:ascii="宋体" w:hAnsi="宋体" w:eastAsia="宋体" w:cs="宋体"/>
          <w:color w:val="auto"/>
          <w:spacing w:val="-3"/>
          <w:sz w:val="24"/>
          <w:szCs w:val="24"/>
          <w:highlight w:val="none"/>
          <w:lang w:eastAsia="zh-CN"/>
        </w:rPr>
        <w:t>人，营业收入为</w:t>
      </w:r>
      <w:r>
        <w:rPr>
          <w:rFonts w:ascii="宋体" w:hAnsi="宋体" w:eastAsia="宋体" w:cs="宋体"/>
          <w:color w:val="auto"/>
          <w:spacing w:val="-3"/>
          <w:sz w:val="24"/>
          <w:szCs w:val="24"/>
          <w:highlight w:val="none"/>
          <w:u w:val="single"/>
          <w:lang w:eastAsia="zh-CN"/>
        </w:rPr>
        <w:t xml:space="preserve">    </w:t>
      </w:r>
      <w:r>
        <w:rPr>
          <w:rFonts w:ascii="宋体" w:hAnsi="宋体" w:eastAsia="宋体" w:cs="宋体"/>
          <w:color w:val="auto"/>
          <w:spacing w:val="-104"/>
          <w:sz w:val="24"/>
          <w:szCs w:val="24"/>
          <w:highlight w:val="none"/>
          <w:lang w:eastAsia="zh-CN"/>
        </w:rPr>
        <w:t xml:space="preserve"> </w:t>
      </w:r>
      <w:r>
        <w:rPr>
          <w:rFonts w:ascii="宋体" w:hAnsi="宋体" w:eastAsia="宋体" w:cs="宋体"/>
          <w:color w:val="auto"/>
          <w:spacing w:val="-3"/>
          <w:sz w:val="24"/>
          <w:szCs w:val="24"/>
          <w:highlight w:val="none"/>
          <w:lang w:eastAsia="zh-CN"/>
        </w:rPr>
        <w:t>万元，资产总额为</w:t>
      </w:r>
      <w:r>
        <w:rPr>
          <w:rFonts w:ascii="宋体" w:hAnsi="宋体" w:eastAsia="宋体" w:cs="宋体"/>
          <w:color w:val="auto"/>
          <w:spacing w:val="-3"/>
          <w:sz w:val="24"/>
          <w:szCs w:val="24"/>
          <w:highlight w:val="none"/>
          <w:u w:val="single"/>
          <w:lang w:eastAsia="zh-CN"/>
        </w:rPr>
        <w:t xml:space="preserve">    </w:t>
      </w:r>
      <w:r>
        <w:rPr>
          <w:rFonts w:ascii="宋体" w:hAnsi="宋体" w:eastAsia="宋体" w:cs="宋体"/>
          <w:color w:val="auto"/>
          <w:spacing w:val="-105"/>
          <w:sz w:val="24"/>
          <w:szCs w:val="24"/>
          <w:highlight w:val="none"/>
          <w:lang w:eastAsia="zh-CN"/>
        </w:rPr>
        <w:t xml:space="preserve"> </w:t>
      </w:r>
      <w:r>
        <w:rPr>
          <w:rFonts w:ascii="宋体" w:hAnsi="宋体" w:eastAsia="宋体" w:cs="宋体"/>
          <w:color w:val="auto"/>
          <w:spacing w:val="-3"/>
          <w:sz w:val="24"/>
          <w:szCs w:val="24"/>
          <w:highlight w:val="none"/>
          <w:lang w:eastAsia="zh-CN"/>
        </w:rPr>
        <w:t>万元，属于</w:t>
      </w:r>
      <w:r>
        <w:rPr>
          <w:rFonts w:ascii="宋体" w:hAnsi="宋体" w:eastAsia="宋体" w:cs="宋体"/>
          <w:color w:val="auto"/>
          <w:spacing w:val="-3"/>
          <w:sz w:val="24"/>
          <w:szCs w:val="24"/>
          <w:highlight w:val="none"/>
          <w:u w:val="single"/>
          <w:lang w:eastAsia="zh-CN"/>
        </w:rPr>
        <w:t>（中</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u w:val="single"/>
          <w:lang w:eastAsia="zh-CN"/>
        </w:rPr>
        <w:t>型企业、小型 企业、微型企业</w:t>
      </w:r>
      <w:r>
        <w:rPr>
          <w:rFonts w:ascii="宋体" w:hAnsi="宋体" w:eastAsia="宋体" w:cs="宋体"/>
          <w:color w:val="auto"/>
          <w:spacing w:val="2"/>
          <w:sz w:val="24"/>
          <w:szCs w:val="24"/>
          <w:highlight w:val="none"/>
          <w:u w:val="single"/>
          <w:lang w:eastAsia="zh-CN"/>
        </w:rPr>
        <w:t>）</w:t>
      </w:r>
      <w:r>
        <w:rPr>
          <w:rFonts w:ascii="宋体" w:hAnsi="宋体" w:eastAsia="宋体" w:cs="宋体"/>
          <w:color w:val="auto"/>
          <w:spacing w:val="2"/>
          <w:sz w:val="24"/>
          <w:szCs w:val="24"/>
          <w:highlight w:val="none"/>
          <w:lang w:eastAsia="zh-CN"/>
        </w:rPr>
        <w:t>；</w:t>
      </w:r>
    </w:p>
    <w:p w14:paraId="5BFAB6CA">
      <w:pPr>
        <w:spacing w:before="33" w:line="378" w:lineRule="exact"/>
        <w:ind w:left="668"/>
        <w:rPr>
          <w:rFonts w:ascii="宋体" w:hAnsi="宋体" w:eastAsia="宋体" w:cs="宋体"/>
          <w:color w:val="auto"/>
          <w:sz w:val="24"/>
          <w:szCs w:val="24"/>
          <w:highlight w:val="none"/>
          <w:lang w:eastAsia="zh-CN"/>
        </w:rPr>
      </w:pPr>
      <w:r>
        <w:rPr>
          <w:rFonts w:ascii="宋体" w:hAnsi="宋体" w:eastAsia="宋体" w:cs="宋体"/>
          <w:color w:val="auto"/>
          <w:spacing w:val="-13"/>
          <w:position w:val="3"/>
          <w:sz w:val="24"/>
          <w:szCs w:val="24"/>
          <w:highlight w:val="none"/>
          <w:lang w:eastAsia="zh-CN"/>
        </w:rPr>
        <w:t>……</w:t>
      </w:r>
    </w:p>
    <w:p w14:paraId="6DDF2751">
      <w:pPr>
        <w:spacing w:before="183" w:line="417" w:lineRule="auto"/>
        <w:ind w:left="13" w:right="61" w:firstLine="546"/>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以上企业，不属于大企业的分支机构，不存在控股股东 为大企业的情形，也不</w:t>
      </w:r>
      <w:r>
        <w:rPr>
          <w:rFonts w:ascii="宋体" w:hAnsi="宋体" w:eastAsia="宋体" w:cs="宋体"/>
          <w:color w:val="auto"/>
          <w:spacing w:val="4"/>
          <w:sz w:val="24"/>
          <w:szCs w:val="24"/>
          <w:highlight w:val="none"/>
          <w:lang w:eastAsia="zh-CN"/>
        </w:rPr>
        <w:t xml:space="preserve"> </w:t>
      </w:r>
      <w:r>
        <w:rPr>
          <w:rFonts w:ascii="宋体" w:hAnsi="宋体" w:eastAsia="宋体" w:cs="宋体"/>
          <w:color w:val="auto"/>
          <w:spacing w:val="-1"/>
          <w:sz w:val="24"/>
          <w:szCs w:val="24"/>
          <w:highlight w:val="none"/>
          <w:lang w:eastAsia="zh-CN"/>
        </w:rPr>
        <w:t>存在与大企业的负责人为同一人的情形。</w:t>
      </w:r>
    </w:p>
    <w:p w14:paraId="344CD612">
      <w:pPr>
        <w:spacing w:before="34" w:line="219" w:lineRule="auto"/>
        <w:ind w:left="534"/>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本企业对上述声明内容的真实性负责。如有虚假</w:t>
      </w:r>
      <w:r>
        <w:rPr>
          <w:rFonts w:ascii="宋体" w:hAnsi="宋体" w:eastAsia="宋体" w:cs="宋体"/>
          <w:color w:val="auto"/>
          <w:spacing w:val="-1"/>
          <w:sz w:val="24"/>
          <w:szCs w:val="24"/>
          <w:highlight w:val="none"/>
          <w:lang w:eastAsia="zh-CN"/>
        </w:rPr>
        <w:t>，将依 法承担相应责任。</w:t>
      </w:r>
    </w:p>
    <w:p w14:paraId="24383A68">
      <w:pPr>
        <w:pStyle w:val="5"/>
        <w:spacing w:line="261" w:lineRule="auto"/>
        <w:rPr>
          <w:color w:val="auto"/>
          <w:highlight w:val="none"/>
          <w:lang w:eastAsia="zh-CN"/>
        </w:rPr>
      </w:pPr>
    </w:p>
    <w:p w14:paraId="79277BDF">
      <w:pPr>
        <w:pStyle w:val="5"/>
        <w:spacing w:line="262" w:lineRule="auto"/>
        <w:rPr>
          <w:color w:val="auto"/>
          <w:highlight w:val="none"/>
          <w:lang w:eastAsia="zh-CN"/>
        </w:rPr>
      </w:pPr>
    </w:p>
    <w:p w14:paraId="64899493">
      <w:pPr>
        <w:pStyle w:val="5"/>
        <w:spacing w:line="262" w:lineRule="auto"/>
        <w:rPr>
          <w:color w:val="auto"/>
          <w:highlight w:val="none"/>
          <w:lang w:eastAsia="zh-CN"/>
        </w:rPr>
      </w:pPr>
    </w:p>
    <w:p w14:paraId="74A113D1">
      <w:pPr>
        <w:pStyle w:val="5"/>
        <w:spacing w:line="262" w:lineRule="auto"/>
        <w:rPr>
          <w:color w:val="auto"/>
          <w:highlight w:val="none"/>
          <w:lang w:eastAsia="zh-CN"/>
        </w:rPr>
      </w:pPr>
    </w:p>
    <w:p w14:paraId="3696B3F3">
      <w:pPr>
        <w:pStyle w:val="5"/>
        <w:spacing w:line="262" w:lineRule="auto"/>
        <w:rPr>
          <w:color w:val="auto"/>
          <w:highlight w:val="none"/>
          <w:lang w:eastAsia="zh-CN"/>
        </w:rPr>
      </w:pPr>
    </w:p>
    <w:p w14:paraId="36956C06">
      <w:pPr>
        <w:spacing w:before="78" w:line="419" w:lineRule="auto"/>
        <w:ind w:left="6664" w:right="121"/>
        <w:jc w:val="right"/>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企业名称（盖章</w:t>
      </w:r>
      <w:r>
        <w:rPr>
          <w:rFonts w:ascii="宋体" w:hAnsi="宋体" w:eastAsia="宋体" w:cs="宋体"/>
          <w:color w:val="auto"/>
          <w:spacing w:val="-31"/>
          <w:sz w:val="24"/>
          <w:szCs w:val="24"/>
          <w:highlight w:val="none"/>
          <w:lang w:eastAsia="zh-CN"/>
        </w:rPr>
        <w:t>）：</w:t>
      </w:r>
      <w:r>
        <w:rPr>
          <w:rFonts w:ascii="宋体" w:hAnsi="宋体" w:eastAsia="宋体" w:cs="宋体"/>
          <w:color w:val="auto"/>
          <w:spacing w:val="1"/>
          <w:sz w:val="24"/>
          <w:szCs w:val="24"/>
          <w:highlight w:val="none"/>
          <w:lang w:eastAsia="zh-CN"/>
        </w:rPr>
        <w:t xml:space="preserve"> </w:t>
      </w:r>
      <w:r>
        <w:rPr>
          <w:rFonts w:ascii="宋体" w:hAnsi="宋体" w:eastAsia="宋体" w:cs="宋体"/>
          <w:color w:val="auto"/>
          <w:spacing w:val="-21"/>
          <w:sz w:val="24"/>
          <w:szCs w:val="24"/>
          <w:highlight w:val="none"/>
          <w:lang w:eastAsia="zh-CN"/>
        </w:rPr>
        <w:t>日</w:t>
      </w:r>
      <w:r>
        <w:rPr>
          <w:rFonts w:ascii="宋体" w:hAnsi="宋体" w:eastAsia="宋体" w:cs="宋体"/>
          <w:color w:val="auto"/>
          <w:spacing w:val="12"/>
          <w:sz w:val="24"/>
          <w:szCs w:val="24"/>
          <w:highlight w:val="none"/>
          <w:lang w:eastAsia="zh-CN"/>
        </w:rPr>
        <w:t xml:space="preserve"> </w:t>
      </w:r>
      <w:r>
        <w:rPr>
          <w:rFonts w:ascii="宋体" w:hAnsi="宋体" w:eastAsia="宋体" w:cs="宋体"/>
          <w:color w:val="auto"/>
          <w:spacing w:val="-21"/>
          <w:sz w:val="24"/>
          <w:szCs w:val="24"/>
          <w:highlight w:val="none"/>
          <w:lang w:eastAsia="zh-CN"/>
        </w:rPr>
        <w:t>期：</w:t>
      </w:r>
    </w:p>
    <w:p w14:paraId="149B272F">
      <w:pPr>
        <w:spacing w:before="32" w:line="219" w:lineRule="auto"/>
        <w:ind w:left="533"/>
        <w:rPr>
          <w:rFonts w:ascii="宋体" w:hAnsi="宋体" w:eastAsia="宋体" w:cs="宋体"/>
          <w:color w:val="auto"/>
          <w:sz w:val="24"/>
          <w:szCs w:val="24"/>
          <w:highlight w:val="none"/>
          <w:lang w:eastAsia="zh-CN"/>
        </w:rPr>
      </w:pPr>
      <w:r>
        <w:rPr>
          <w:rFonts w:ascii="宋体" w:hAnsi="宋体" w:eastAsia="宋体" w:cs="宋体"/>
          <w:color w:val="auto"/>
          <w:sz w:val="24"/>
          <w:szCs w:val="24"/>
          <w:highlight w:val="none"/>
          <w:lang w:eastAsia="zh-CN"/>
        </w:rPr>
        <w:t>注：1、从业人员、营业收入、资产总额填报上一年度数据，无上一年</w:t>
      </w:r>
      <w:r>
        <w:rPr>
          <w:rFonts w:ascii="宋体" w:hAnsi="宋体" w:eastAsia="宋体" w:cs="宋体"/>
          <w:color w:val="auto"/>
          <w:spacing w:val="-1"/>
          <w:sz w:val="24"/>
          <w:szCs w:val="24"/>
          <w:highlight w:val="none"/>
          <w:lang w:eastAsia="zh-CN"/>
        </w:rPr>
        <w:t>度数据的</w:t>
      </w:r>
    </w:p>
    <w:p w14:paraId="28EF66D3">
      <w:pPr>
        <w:spacing w:before="274" w:line="219" w:lineRule="auto"/>
        <w:ind w:left="15"/>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新成立企业可不填报。</w:t>
      </w:r>
    </w:p>
    <w:p w14:paraId="49677A39">
      <w:pPr>
        <w:spacing w:before="104" w:line="218" w:lineRule="auto"/>
        <w:jc w:val="right"/>
        <w:rPr>
          <w:rFonts w:ascii="宋体" w:hAnsi="宋体" w:eastAsia="宋体" w:cs="宋体"/>
          <w:color w:val="auto"/>
          <w:sz w:val="24"/>
          <w:szCs w:val="24"/>
          <w:highlight w:val="none"/>
          <w:lang w:eastAsia="zh-CN"/>
        </w:rPr>
      </w:pPr>
      <w:r>
        <w:rPr>
          <w:rFonts w:ascii="宋体" w:hAnsi="宋体" w:eastAsia="宋体" w:cs="宋体"/>
          <w:color w:val="auto"/>
          <w:spacing w:val="-4"/>
          <w:sz w:val="24"/>
          <w:szCs w:val="24"/>
          <w:highlight w:val="none"/>
          <w:lang w:eastAsia="zh-CN"/>
        </w:rPr>
        <w:t>2、</w:t>
      </w:r>
      <w:r>
        <w:rPr>
          <w:rFonts w:hint="eastAsia" w:ascii="宋体" w:hAnsi="宋体" w:eastAsia="宋体" w:cs="宋体"/>
          <w:color w:val="auto"/>
          <w:spacing w:val="-4"/>
          <w:sz w:val="24"/>
          <w:szCs w:val="24"/>
          <w:highlight w:val="none"/>
          <w:lang w:eastAsia="zh-CN"/>
        </w:rPr>
        <w:t>投标人</w:t>
      </w:r>
      <w:r>
        <w:rPr>
          <w:rFonts w:ascii="宋体" w:hAnsi="宋体" w:eastAsia="宋体" w:cs="宋体"/>
          <w:color w:val="auto"/>
          <w:spacing w:val="-4"/>
          <w:sz w:val="24"/>
          <w:szCs w:val="24"/>
          <w:highlight w:val="none"/>
          <w:lang w:eastAsia="zh-CN"/>
        </w:rPr>
        <w:t>提供的声明函将在中标后随中标公告一并公示，若声明函内容不实的，</w:t>
      </w:r>
    </w:p>
    <w:p w14:paraId="1494EE0D">
      <w:pPr>
        <w:spacing w:before="93" w:line="219" w:lineRule="auto"/>
        <w:ind w:left="8"/>
        <w:outlineLvl w:val="2"/>
        <w:rPr>
          <w:rFonts w:ascii="宋体" w:hAnsi="宋体" w:eastAsia="宋体" w:cs="宋体"/>
          <w:color w:val="auto"/>
          <w:sz w:val="24"/>
          <w:szCs w:val="24"/>
          <w:highlight w:val="none"/>
          <w:lang w:eastAsia="zh-CN"/>
        </w:rPr>
      </w:pPr>
      <w:bookmarkStart w:id="129" w:name="_Toc20560"/>
      <w:r>
        <w:rPr>
          <w:rFonts w:ascii="宋体" w:hAnsi="宋体" w:eastAsia="宋体" w:cs="宋体"/>
          <w:color w:val="auto"/>
          <w:spacing w:val="-1"/>
          <w:sz w:val="24"/>
          <w:szCs w:val="24"/>
          <w:highlight w:val="none"/>
          <w:lang w:eastAsia="zh-CN"/>
        </w:rPr>
        <w:t>将依照《政府采购法》等国家有关规定追究相应责任。</w:t>
      </w:r>
      <w:bookmarkEnd w:id="129"/>
    </w:p>
    <w:p w14:paraId="74C786D4">
      <w:pPr>
        <w:spacing w:line="219" w:lineRule="auto"/>
        <w:rPr>
          <w:rFonts w:ascii="宋体" w:hAnsi="宋体" w:eastAsia="宋体" w:cs="宋体"/>
          <w:color w:val="auto"/>
          <w:sz w:val="24"/>
          <w:szCs w:val="24"/>
          <w:highlight w:val="none"/>
          <w:lang w:eastAsia="zh-CN"/>
        </w:rPr>
        <w:sectPr>
          <w:footerReference r:id="rId34" w:type="default"/>
          <w:pgSz w:w="11907" w:h="16840"/>
          <w:pgMar w:top="1431" w:right="1458" w:bottom="1139" w:left="1576" w:header="0" w:footer="977" w:gutter="0"/>
          <w:cols w:space="720" w:num="1"/>
        </w:sectPr>
      </w:pPr>
    </w:p>
    <w:p w14:paraId="01860A2D">
      <w:pPr>
        <w:spacing w:before="273" w:line="219" w:lineRule="auto"/>
        <w:ind w:left="1840"/>
        <w:outlineLvl w:val="1"/>
        <w:rPr>
          <w:rFonts w:ascii="宋体" w:hAnsi="宋体" w:eastAsia="宋体" w:cs="宋体"/>
          <w:color w:val="auto"/>
          <w:sz w:val="30"/>
          <w:szCs w:val="30"/>
          <w:highlight w:val="none"/>
          <w:lang w:eastAsia="zh-CN"/>
        </w:rPr>
      </w:pPr>
      <w:bookmarkStart w:id="130" w:name="_Toc21992"/>
      <w:r>
        <w:rPr>
          <w:rFonts w:ascii="宋体" w:hAnsi="宋体" w:eastAsia="宋体" w:cs="宋体"/>
          <w:b/>
          <w:bCs/>
          <w:color w:val="auto"/>
          <w:spacing w:val="-4"/>
          <w:sz w:val="30"/>
          <w:szCs w:val="30"/>
          <w:highlight w:val="none"/>
          <w:lang w:eastAsia="zh-CN"/>
        </w:rPr>
        <w:t>九、残疾人福利性单位声明函（如有）</w:t>
      </w:r>
      <w:bookmarkEnd w:id="130"/>
    </w:p>
    <w:p w14:paraId="501BF6DA">
      <w:pPr>
        <w:pStyle w:val="5"/>
        <w:spacing w:line="303" w:lineRule="auto"/>
        <w:rPr>
          <w:color w:val="auto"/>
          <w:highlight w:val="none"/>
          <w:lang w:eastAsia="zh-CN"/>
        </w:rPr>
      </w:pPr>
    </w:p>
    <w:p w14:paraId="345F7B8C">
      <w:pPr>
        <w:spacing w:before="78" w:line="447" w:lineRule="auto"/>
        <w:ind w:firstLine="504"/>
        <w:jc w:val="both"/>
        <w:rPr>
          <w:rFonts w:ascii="宋体" w:hAnsi="宋体" w:eastAsia="宋体" w:cs="宋体"/>
          <w:color w:val="auto"/>
          <w:sz w:val="24"/>
          <w:szCs w:val="24"/>
          <w:highlight w:val="none"/>
          <w:lang w:eastAsia="zh-CN"/>
        </w:rPr>
      </w:pPr>
      <w:r>
        <w:rPr>
          <w:rFonts w:ascii="宋体" w:hAnsi="宋体" w:eastAsia="宋体" w:cs="宋体"/>
          <w:color w:val="auto"/>
          <w:spacing w:val="8"/>
          <w:sz w:val="24"/>
          <w:szCs w:val="24"/>
          <w:highlight w:val="none"/>
          <w:lang w:eastAsia="zh-CN"/>
        </w:rPr>
        <w:t>本单位郑重声明，根据《财政部</w:t>
      </w:r>
      <w:r>
        <w:rPr>
          <w:rFonts w:ascii="宋体" w:hAnsi="宋体" w:eastAsia="宋体" w:cs="宋体"/>
          <w:color w:val="auto"/>
          <w:spacing w:val="57"/>
          <w:sz w:val="24"/>
          <w:szCs w:val="24"/>
          <w:highlight w:val="none"/>
          <w:lang w:eastAsia="zh-CN"/>
        </w:rPr>
        <w:t xml:space="preserve"> </w:t>
      </w:r>
      <w:r>
        <w:rPr>
          <w:rFonts w:ascii="宋体" w:hAnsi="宋体" w:eastAsia="宋体" w:cs="宋体"/>
          <w:color w:val="auto"/>
          <w:spacing w:val="8"/>
          <w:sz w:val="24"/>
          <w:szCs w:val="24"/>
          <w:highlight w:val="none"/>
          <w:lang w:eastAsia="zh-CN"/>
        </w:rPr>
        <w:t>民政部</w:t>
      </w:r>
      <w:r>
        <w:rPr>
          <w:rFonts w:ascii="宋体" w:hAnsi="宋体" w:eastAsia="宋体" w:cs="宋体"/>
          <w:color w:val="auto"/>
          <w:spacing w:val="56"/>
          <w:sz w:val="24"/>
          <w:szCs w:val="24"/>
          <w:highlight w:val="none"/>
          <w:lang w:eastAsia="zh-CN"/>
        </w:rPr>
        <w:t xml:space="preserve"> </w:t>
      </w:r>
      <w:r>
        <w:rPr>
          <w:rFonts w:ascii="宋体" w:hAnsi="宋体" w:eastAsia="宋体" w:cs="宋体"/>
          <w:color w:val="auto"/>
          <w:spacing w:val="8"/>
          <w:sz w:val="24"/>
          <w:szCs w:val="24"/>
          <w:highlight w:val="none"/>
          <w:lang w:eastAsia="zh-CN"/>
        </w:rPr>
        <w:t>中国残疾人联合会关</w:t>
      </w:r>
      <w:r>
        <w:rPr>
          <w:rFonts w:ascii="宋体" w:hAnsi="宋体" w:eastAsia="宋体" w:cs="宋体"/>
          <w:color w:val="auto"/>
          <w:spacing w:val="7"/>
          <w:sz w:val="24"/>
          <w:szCs w:val="24"/>
          <w:highlight w:val="none"/>
          <w:lang w:eastAsia="zh-CN"/>
        </w:rPr>
        <w:t>于促进残疾人</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6"/>
          <w:sz w:val="24"/>
          <w:szCs w:val="24"/>
          <w:highlight w:val="none"/>
          <w:lang w:eastAsia="zh-CN"/>
        </w:rPr>
        <w:t>就业政府采购政策的通知》</w:t>
      </w:r>
      <w:r>
        <w:rPr>
          <w:rFonts w:ascii="宋体" w:hAnsi="宋体" w:eastAsia="宋体" w:cs="宋体"/>
          <w:color w:val="auto"/>
          <w:spacing w:val="-95"/>
          <w:sz w:val="24"/>
          <w:szCs w:val="24"/>
          <w:highlight w:val="none"/>
          <w:lang w:eastAsia="zh-CN"/>
        </w:rPr>
        <w:t xml:space="preserve"> </w:t>
      </w:r>
      <w:r>
        <w:rPr>
          <w:rFonts w:ascii="宋体" w:hAnsi="宋体" w:eastAsia="宋体" w:cs="宋体"/>
          <w:color w:val="auto"/>
          <w:spacing w:val="6"/>
          <w:sz w:val="24"/>
          <w:szCs w:val="24"/>
          <w:highlight w:val="none"/>
          <w:lang w:eastAsia="zh-CN"/>
        </w:rPr>
        <w:t>（财库〔2017〕 141</w:t>
      </w:r>
      <w:r>
        <w:rPr>
          <w:rFonts w:ascii="宋体" w:hAnsi="宋体" w:eastAsia="宋体" w:cs="宋体"/>
          <w:color w:val="auto"/>
          <w:spacing w:val="-45"/>
          <w:sz w:val="24"/>
          <w:szCs w:val="24"/>
          <w:highlight w:val="none"/>
          <w:lang w:eastAsia="zh-CN"/>
        </w:rPr>
        <w:t xml:space="preserve"> </w:t>
      </w:r>
      <w:r>
        <w:rPr>
          <w:rFonts w:ascii="宋体" w:hAnsi="宋体" w:eastAsia="宋体" w:cs="宋体"/>
          <w:color w:val="auto"/>
          <w:spacing w:val="6"/>
          <w:sz w:val="24"/>
          <w:szCs w:val="24"/>
          <w:highlight w:val="none"/>
          <w:lang w:eastAsia="zh-CN"/>
        </w:rPr>
        <w:t>号）</w:t>
      </w:r>
      <w:r>
        <w:rPr>
          <w:rFonts w:ascii="宋体" w:hAnsi="宋体" w:eastAsia="宋体" w:cs="宋体"/>
          <w:color w:val="auto"/>
          <w:spacing w:val="-66"/>
          <w:sz w:val="24"/>
          <w:szCs w:val="24"/>
          <w:highlight w:val="none"/>
          <w:lang w:eastAsia="zh-CN"/>
        </w:rPr>
        <w:t xml:space="preserve"> </w:t>
      </w:r>
      <w:r>
        <w:rPr>
          <w:rFonts w:ascii="宋体" w:hAnsi="宋体" w:eastAsia="宋体" w:cs="宋体"/>
          <w:color w:val="auto"/>
          <w:spacing w:val="6"/>
          <w:sz w:val="24"/>
          <w:szCs w:val="24"/>
          <w:highlight w:val="none"/>
          <w:lang w:eastAsia="zh-CN"/>
        </w:rPr>
        <w:t>的规定，本单位为符合条件</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9"/>
          <w:sz w:val="24"/>
          <w:szCs w:val="24"/>
          <w:highlight w:val="none"/>
          <w:lang w:eastAsia="zh-CN"/>
        </w:rPr>
        <w:t>的残疾人福利性单位，且本单位参加</w:t>
      </w:r>
      <w:r>
        <w:rPr>
          <w:rFonts w:ascii="宋体" w:hAnsi="宋体" w:eastAsia="宋体" w:cs="宋体"/>
          <w:color w:val="auto"/>
          <w:spacing w:val="-102"/>
          <w:sz w:val="24"/>
          <w:szCs w:val="24"/>
          <w:highlight w:val="none"/>
          <w:lang w:eastAsia="zh-CN"/>
        </w:rPr>
        <w:t xml:space="preserve"> </w:t>
      </w:r>
      <w:r>
        <w:rPr>
          <w:rFonts w:ascii="宋体" w:hAnsi="宋体" w:eastAsia="宋体" w:cs="宋体"/>
          <w:color w:val="auto"/>
          <w:spacing w:val="4"/>
          <w:sz w:val="24"/>
          <w:szCs w:val="24"/>
          <w:highlight w:val="none"/>
          <w:u w:val="single"/>
          <w:lang w:eastAsia="zh-CN"/>
        </w:rPr>
        <w:t xml:space="preserve">      </w:t>
      </w:r>
      <w:r>
        <w:rPr>
          <w:rFonts w:ascii="宋体" w:hAnsi="宋体" w:eastAsia="宋体" w:cs="宋体"/>
          <w:color w:val="auto"/>
          <w:spacing w:val="-97"/>
          <w:sz w:val="24"/>
          <w:szCs w:val="24"/>
          <w:highlight w:val="none"/>
          <w:lang w:eastAsia="zh-CN"/>
        </w:rPr>
        <w:t xml:space="preserve"> </w:t>
      </w:r>
      <w:r>
        <w:rPr>
          <w:rFonts w:ascii="宋体" w:hAnsi="宋体" w:eastAsia="宋体" w:cs="宋体"/>
          <w:color w:val="auto"/>
          <w:spacing w:val="9"/>
          <w:sz w:val="24"/>
          <w:szCs w:val="24"/>
          <w:highlight w:val="none"/>
          <w:lang w:eastAsia="zh-CN"/>
        </w:rPr>
        <w:t>单位的</w:t>
      </w:r>
      <w:r>
        <w:rPr>
          <w:rFonts w:ascii="宋体" w:hAnsi="宋体" w:eastAsia="宋体" w:cs="宋体"/>
          <w:color w:val="auto"/>
          <w:spacing w:val="-108"/>
          <w:sz w:val="24"/>
          <w:szCs w:val="24"/>
          <w:highlight w:val="none"/>
          <w:lang w:eastAsia="zh-CN"/>
        </w:rPr>
        <w:t xml:space="preserve"> </w:t>
      </w:r>
      <w:r>
        <w:rPr>
          <w:rFonts w:ascii="宋体" w:hAnsi="宋体" w:eastAsia="宋体" w:cs="宋体"/>
          <w:color w:val="auto"/>
          <w:spacing w:val="4"/>
          <w:sz w:val="24"/>
          <w:szCs w:val="24"/>
          <w:highlight w:val="none"/>
          <w:u w:val="single"/>
          <w:lang w:eastAsia="zh-CN"/>
        </w:rPr>
        <w:t xml:space="preserve">      </w:t>
      </w:r>
      <w:r>
        <w:rPr>
          <w:rFonts w:ascii="宋体" w:hAnsi="宋体" w:eastAsia="宋体" w:cs="宋体"/>
          <w:color w:val="auto"/>
          <w:spacing w:val="-94"/>
          <w:sz w:val="24"/>
          <w:szCs w:val="24"/>
          <w:highlight w:val="none"/>
          <w:lang w:eastAsia="zh-CN"/>
        </w:rPr>
        <w:t xml:space="preserve"> </w:t>
      </w:r>
      <w:r>
        <w:rPr>
          <w:rFonts w:ascii="宋体" w:hAnsi="宋体" w:eastAsia="宋体" w:cs="宋体"/>
          <w:color w:val="auto"/>
          <w:spacing w:val="9"/>
          <w:sz w:val="24"/>
          <w:szCs w:val="24"/>
          <w:highlight w:val="none"/>
          <w:lang w:eastAsia="zh-CN"/>
        </w:rPr>
        <w:t>项目采购活动提供本单</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3"/>
          <w:sz w:val="24"/>
          <w:szCs w:val="24"/>
          <w:highlight w:val="none"/>
          <w:lang w:eastAsia="zh-CN"/>
        </w:rPr>
        <w:t>位制造的货物（由本单位承担工程/提供服务</w:t>
      </w:r>
      <w:r>
        <w:rPr>
          <w:rFonts w:ascii="宋体" w:hAnsi="宋体" w:eastAsia="宋体" w:cs="宋体"/>
          <w:color w:val="auto"/>
          <w:spacing w:val="9"/>
          <w:sz w:val="24"/>
          <w:szCs w:val="24"/>
          <w:highlight w:val="none"/>
          <w:lang w:eastAsia="zh-CN"/>
        </w:rPr>
        <w:t>）</w:t>
      </w:r>
      <w:r>
        <w:rPr>
          <w:rFonts w:ascii="宋体" w:hAnsi="宋体" w:eastAsia="宋体" w:cs="宋体"/>
          <w:color w:val="auto"/>
          <w:spacing w:val="-60"/>
          <w:sz w:val="24"/>
          <w:szCs w:val="24"/>
          <w:highlight w:val="none"/>
          <w:lang w:eastAsia="zh-CN"/>
        </w:rPr>
        <w:t xml:space="preserve"> </w:t>
      </w:r>
      <w:r>
        <w:rPr>
          <w:rFonts w:ascii="宋体" w:hAnsi="宋体" w:eastAsia="宋体" w:cs="宋体"/>
          <w:color w:val="auto"/>
          <w:spacing w:val="9"/>
          <w:sz w:val="24"/>
          <w:szCs w:val="24"/>
          <w:highlight w:val="none"/>
          <w:lang w:eastAsia="zh-CN"/>
        </w:rPr>
        <w:t>，</w:t>
      </w:r>
      <w:r>
        <w:rPr>
          <w:rFonts w:ascii="宋体" w:hAnsi="宋体" w:eastAsia="宋体" w:cs="宋体"/>
          <w:color w:val="auto"/>
          <w:spacing w:val="13"/>
          <w:sz w:val="24"/>
          <w:szCs w:val="24"/>
          <w:highlight w:val="none"/>
          <w:lang w:eastAsia="zh-CN"/>
        </w:rPr>
        <w:t>或者提供其他残疾人福利性单</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1"/>
          <w:sz w:val="24"/>
          <w:szCs w:val="24"/>
          <w:highlight w:val="none"/>
          <w:lang w:eastAsia="zh-CN"/>
        </w:rPr>
        <w:t>位制造的货物（不包括使用非残疾人福利性单位注册商标的货物）。</w:t>
      </w:r>
    </w:p>
    <w:p w14:paraId="30CD41E0">
      <w:pPr>
        <w:spacing w:before="34" w:line="219" w:lineRule="auto"/>
        <w:ind w:left="504"/>
        <w:rPr>
          <w:rFonts w:ascii="宋体" w:hAnsi="宋体" w:eastAsia="宋体" w:cs="宋体"/>
          <w:color w:val="auto"/>
          <w:sz w:val="24"/>
          <w:szCs w:val="24"/>
          <w:highlight w:val="none"/>
          <w:lang w:eastAsia="zh-CN"/>
        </w:rPr>
      </w:pPr>
      <w:r>
        <w:rPr>
          <w:rFonts w:ascii="宋体" w:hAnsi="宋体" w:eastAsia="宋体" w:cs="宋体"/>
          <w:color w:val="auto"/>
          <w:spacing w:val="11"/>
          <w:sz w:val="24"/>
          <w:szCs w:val="24"/>
          <w:highlight w:val="none"/>
          <w:lang w:eastAsia="zh-CN"/>
        </w:rPr>
        <w:t>本单位对上述声明的真实性负责。如有虚假，将依法承</w:t>
      </w:r>
      <w:r>
        <w:rPr>
          <w:rFonts w:ascii="宋体" w:hAnsi="宋体" w:eastAsia="宋体" w:cs="宋体"/>
          <w:color w:val="auto"/>
          <w:spacing w:val="10"/>
          <w:sz w:val="24"/>
          <w:szCs w:val="24"/>
          <w:highlight w:val="none"/>
          <w:lang w:eastAsia="zh-CN"/>
        </w:rPr>
        <w:t>担相应责任。</w:t>
      </w:r>
    </w:p>
    <w:p w14:paraId="48035294">
      <w:pPr>
        <w:pStyle w:val="5"/>
        <w:spacing w:line="278" w:lineRule="auto"/>
        <w:rPr>
          <w:color w:val="auto"/>
          <w:highlight w:val="none"/>
          <w:lang w:eastAsia="zh-CN"/>
        </w:rPr>
      </w:pPr>
    </w:p>
    <w:p w14:paraId="3F1DFF77">
      <w:pPr>
        <w:pStyle w:val="5"/>
        <w:spacing w:line="279" w:lineRule="auto"/>
        <w:rPr>
          <w:color w:val="auto"/>
          <w:highlight w:val="none"/>
          <w:lang w:eastAsia="zh-CN"/>
        </w:rPr>
      </w:pPr>
    </w:p>
    <w:p w14:paraId="7464E4E8">
      <w:pPr>
        <w:pStyle w:val="5"/>
        <w:spacing w:line="279" w:lineRule="auto"/>
        <w:rPr>
          <w:color w:val="auto"/>
          <w:highlight w:val="none"/>
          <w:lang w:eastAsia="zh-CN"/>
        </w:rPr>
      </w:pPr>
    </w:p>
    <w:p w14:paraId="00A67DAA">
      <w:pPr>
        <w:pStyle w:val="5"/>
        <w:spacing w:line="279" w:lineRule="auto"/>
        <w:rPr>
          <w:color w:val="auto"/>
          <w:highlight w:val="none"/>
          <w:lang w:eastAsia="zh-CN"/>
        </w:rPr>
      </w:pPr>
    </w:p>
    <w:p w14:paraId="02462BFB">
      <w:pPr>
        <w:pStyle w:val="5"/>
        <w:spacing w:line="279" w:lineRule="auto"/>
        <w:rPr>
          <w:color w:val="auto"/>
          <w:highlight w:val="none"/>
          <w:lang w:eastAsia="zh-CN"/>
        </w:rPr>
      </w:pPr>
    </w:p>
    <w:p w14:paraId="12031DE9">
      <w:pPr>
        <w:spacing w:before="78" w:line="439" w:lineRule="auto"/>
        <w:ind w:left="3868" w:right="2366" w:hanging="639"/>
        <w:rPr>
          <w:rFonts w:ascii="宋体" w:hAnsi="宋体" w:eastAsia="宋体" w:cs="宋体"/>
          <w:color w:val="auto"/>
          <w:sz w:val="24"/>
          <w:szCs w:val="24"/>
          <w:highlight w:val="none"/>
          <w:lang w:eastAsia="zh-CN"/>
        </w:rPr>
      </w:pPr>
      <w:r>
        <w:rPr>
          <w:rFonts w:ascii="宋体" w:hAnsi="宋体" w:eastAsia="宋体" w:cs="宋体"/>
          <w:color w:val="auto"/>
          <w:spacing w:val="9"/>
          <w:sz w:val="24"/>
          <w:szCs w:val="24"/>
          <w:highlight w:val="none"/>
          <w:lang w:eastAsia="zh-CN"/>
        </w:rPr>
        <w:t>单位名称（单位电子签章</w:t>
      </w:r>
      <w:r>
        <w:rPr>
          <w:rFonts w:ascii="宋体" w:hAnsi="宋体" w:eastAsia="宋体" w:cs="宋体"/>
          <w:color w:val="auto"/>
          <w:spacing w:val="-14"/>
          <w:sz w:val="24"/>
          <w:szCs w:val="24"/>
          <w:highlight w:val="none"/>
          <w:lang w:eastAsia="zh-CN"/>
        </w:rPr>
        <w:t>）：</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1"/>
          <w:sz w:val="24"/>
          <w:szCs w:val="24"/>
          <w:highlight w:val="none"/>
          <w:lang w:eastAsia="zh-CN"/>
        </w:rPr>
        <w:t>日</w:t>
      </w:r>
      <w:r>
        <w:rPr>
          <w:rFonts w:ascii="宋体" w:hAnsi="宋体" w:eastAsia="宋体" w:cs="宋体"/>
          <w:color w:val="auto"/>
          <w:spacing w:val="24"/>
          <w:sz w:val="24"/>
          <w:szCs w:val="24"/>
          <w:highlight w:val="none"/>
          <w:lang w:eastAsia="zh-CN"/>
        </w:rPr>
        <w:t xml:space="preserve">  </w:t>
      </w:r>
      <w:r>
        <w:rPr>
          <w:rFonts w:ascii="宋体" w:hAnsi="宋体" w:eastAsia="宋体" w:cs="宋体"/>
          <w:color w:val="auto"/>
          <w:spacing w:val="-21"/>
          <w:sz w:val="24"/>
          <w:szCs w:val="24"/>
          <w:highlight w:val="none"/>
          <w:lang w:eastAsia="zh-CN"/>
        </w:rPr>
        <w:t>期：</w:t>
      </w:r>
    </w:p>
    <w:p w14:paraId="2C40D679">
      <w:pPr>
        <w:spacing w:line="439" w:lineRule="auto"/>
        <w:rPr>
          <w:rFonts w:ascii="宋体" w:hAnsi="宋体" w:eastAsia="宋体" w:cs="宋体"/>
          <w:color w:val="auto"/>
          <w:sz w:val="24"/>
          <w:szCs w:val="24"/>
          <w:highlight w:val="none"/>
          <w:lang w:eastAsia="zh-CN"/>
        </w:rPr>
        <w:sectPr>
          <w:footerReference r:id="rId35" w:type="default"/>
          <w:pgSz w:w="11907" w:h="16840"/>
          <w:pgMar w:top="1431" w:right="1531" w:bottom="1139" w:left="1586" w:header="0" w:footer="977" w:gutter="0"/>
          <w:cols w:space="720" w:num="1"/>
        </w:sectPr>
      </w:pPr>
    </w:p>
    <w:p w14:paraId="77F955C4">
      <w:pPr>
        <w:spacing w:before="152" w:line="219" w:lineRule="auto"/>
        <w:jc w:val="center"/>
        <w:outlineLvl w:val="1"/>
        <w:rPr>
          <w:rFonts w:ascii="宋体" w:hAnsi="宋体" w:eastAsia="宋体" w:cs="宋体"/>
          <w:color w:val="auto"/>
          <w:sz w:val="30"/>
          <w:szCs w:val="30"/>
          <w:highlight w:val="none"/>
          <w:lang w:eastAsia="zh-CN"/>
        </w:rPr>
      </w:pPr>
      <w:bookmarkStart w:id="131" w:name="_Toc19059"/>
      <w:r>
        <w:rPr>
          <w:rFonts w:ascii="宋体" w:hAnsi="宋体" w:eastAsia="宋体" w:cs="宋体"/>
          <w:b/>
          <w:bCs/>
          <w:color w:val="auto"/>
          <w:spacing w:val="-3"/>
          <w:sz w:val="30"/>
          <w:szCs w:val="30"/>
          <w:highlight w:val="none"/>
          <w:lang w:eastAsia="zh-CN"/>
        </w:rPr>
        <w:t>十、招标文件要求的或</w:t>
      </w:r>
      <w:r>
        <w:rPr>
          <w:rFonts w:hint="eastAsia" w:ascii="宋体" w:hAnsi="宋体" w:eastAsia="宋体" w:cs="宋体"/>
          <w:b/>
          <w:bCs/>
          <w:color w:val="auto"/>
          <w:spacing w:val="-3"/>
          <w:sz w:val="30"/>
          <w:szCs w:val="30"/>
          <w:highlight w:val="none"/>
          <w:lang w:eastAsia="zh-CN"/>
        </w:rPr>
        <w:t>投标人</w:t>
      </w:r>
      <w:r>
        <w:rPr>
          <w:rFonts w:ascii="宋体" w:hAnsi="宋体" w:eastAsia="宋体" w:cs="宋体"/>
          <w:b/>
          <w:bCs/>
          <w:color w:val="auto"/>
          <w:spacing w:val="-3"/>
          <w:sz w:val="30"/>
          <w:szCs w:val="30"/>
          <w:highlight w:val="none"/>
          <w:lang w:eastAsia="zh-CN"/>
        </w:rPr>
        <w:t>认为须提交的其他材料</w:t>
      </w:r>
      <w:bookmarkEnd w:id="131"/>
    </w:p>
    <w:p w14:paraId="55860465">
      <w:pPr>
        <w:pStyle w:val="5"/>
        <w:spacing w:line="277" w:lineRule="auto"/>
        <w:rPr>
          <w:color w:val="auto"/>
          <w:highlight w:val="none"/>
          <w:lang w:eastAsia="zh-CN"/>
        </w:rPr>
      </w:pPr>
    </w:p>
    <w:p w14:paraId="455C3F93">
      <w:pPr>
        <w:pStyle w:val="5"/>
        <w:spacing w:line="277" w:lineRule="auto"/>
        <w:rPr>
          <w:color w:val="auto"/>
          <w:highlight w:val="none"/>
          <w:lang w:eastAsia="zh-CN"/>
        </w:rPr>
      </w:pPr>
    </w:p>
    <w:p w14:paraId="3253D147">
      <w:pPr>
        <w:pStyle w:val="5"/>
        <w:spacing w:line="278" w:lineRule="auto"/>
        <w:rPr>
          <w:color w:val="auto"/>
          <w:highlight w:val="none"/>
          <w:lang w:eastAsia="zh-CN"/>
        </w:rPr>
      </w:pPr>
    </w:p>
    <w:p w14:paraId="3631503D">
      <w:pPr>
        <w:spacing w:before="91" w:line="219" w:lineRule="auto"/>
        <w:ind w:left="362"/>
        <w:rPr>
          <w:rFonts w:ascii="宋体" w:hAnsi="宋体" w:eastAsia="宋体" w:cs="宋体"/>
          <w:color w:val="auto"/>
          <w:sz w:val="28"/>
          <w:szCs w:val="28"/>
          <w:highlight w:val="none"/>
          <w:lang w:eastAsia="zh-CN"/>
        </w:rPr>
      </w:pPr>
      <w:r>
        <w:rPr>
          <w:rFonts w:ascii="宋体" w:hAnsi="宋体" w:eastAsia="宋体" w:cs="宋体"/>
          <w:color w:val="auto"/>
          <w:spacing w:val="-1"/>
          <w:sz w:val="28"/>
          <w:szCs w:val="28"/>
          <w:highlight w:val="none"/>
          <w:lang w:eastAsia="zh-CN"/>
        </w:rPr>
        <w:t>招标文件规定的其他资料及</w:t>
      </w:r>
      <w:r>
        <w:rPr>
          <w:rFonts w:hint="eastAsia" w:ascii="宋体" w:hAnsi="宋体" w:eastAsia="宋体" w:cs="宋体"/>
          <w:color w:val="auto"/>
          <w:spacing w:val="-1"/>
          <w:sz w:val="28"/>
          <w:szCs w:val="28"/>
          <w:highlight w:val="none"/>
          <w:lang w:eastAsia="zh-CN"/>
        </w:rPr>
        <w:t>投标人</w:t>
      </w:r>
      <w:r>
        <w:rPr>
          <w:rFonts w:ascii="宋体" w:hAnsi="宋体" w:eastAsia="宋体" w:cs="宋体"/>
          <w:color w:val="auto"/>
          <w:spacing w:val="-1"/>
          <w:sz w:val="28"/>
          <w:szCs w:val="28"/>
          <w:highlight w:val="none"/>
          <w:lang w:eastAsia="zh-CN"/>
        </w:rPr>
        <w:t>认为需要提交的其他材料。</w:t>
      </w:r>
    </w:p>
    <w:p w14:paraId="5B5CC728">
      <w:pPr>
        <w:rPr>
          <w:rFonts w:ascii="宋体" w:hAnsi="宋体" w:eastAsia="宋体" w:cs="宋体"/>
          <w:color w:val="auto"/>
          <w:sz w:val="28"/>
          <w:szCs w:val="28"/>
          <w:highlight w:val="none"/>
          <w:lang w:eastAsia="zh-CN"/>
        </w:rPr>
      </w:pPr>
      <w:r>
        <w:rPr>
          <w:rFonts w:ascii="宋体" w:hAnsi="宋体" w:eastAsia="宋体" w:cs="宋体"/>
          <w:color w:val="auto"/>
          <w:sz w:val="28"/>
          <w:szCs w:val="28"/>
          <w:highlight w:val="none"/>
          <w:lang w:eastAsia="zh-CN"/>
        </w:rPr>
        <w:br w:type="page"/>
      </w:r>
    </w:p>
    <w:p w14:paraId="711D1E90">
      <w:pPr>
        <w:spacing w:line="219" w:lineRule="auto"/>
        <w:rPr>
          <w:rFonts w:ascii="宋体" w:hAnsi="宋体" w:eastAsia="宋体" w:cs="宋体"/>
          <w:color w:val="auto"/>
          <w:sz w:val="28"/>
          <w:szCs w:val="28"/>
          <w:highlight w:val="none"/>
          <w:lang w:eastAsia="zh-CN"/>
        </w:rPr>
      </w:pPr>
    </w:p>
    <w:p w14:paraId="496B6B7D">
      <w:pPr>
        <w:spacing w:before="206" w:line="224" w:lineRule="auto"/>
        <w:ind w:left="2421"/>
        <w:outlineLvl w:val="2"/>
        <w:rPr>
          <w:rFonts w:ascii="宋体" w:hAnsi="宋体" w:eastAsia="宋体" w:cs="宋体"/>
          <w:color w:val="auto"/>
          <w:sz w:val="35"/>
          <w:szCs w:val="35"/>
          <w:highlight w:val="none"/>
          <w:lang w:eastAsia="zh-CN"/>
        </w:rPr>
      </w:pPr>
      <w:bookmarkStart w:id="132" w:name="_Toc75"/>
      <w:r>
        <w:rPr>
          <w:rFonts w:ascii="宋体" w:hAnsi="宋体" w:eastAsia="宋体" w:cs="宋体"/>
          <w:b/>
          <w:bCs/>
          <w:color w:val="auto"/>
          <w:spacing w:val="6"/>
          <w:sz w:val="35"/>
          <w:szCs w:val="35"/>
          <w:highlight w:val="none"/>
          <w:lang w:eastAsia="zh-CN"/>
        </w:rPr>
        <w:t>优化和提升政府采购政策</w:t>
      </w:r>
      <w:bookmarkEnd w:id="132"/>
    </w:p>
    <w:p w14:paraId="6D306E77">
      <w:pPr>
        <w:pStyle w:val="5"/>
        <w:spacing w:line="309" w:lineRule="auto"/>
        <w:rPr>
          <w:color w:val="auto"/>
          <w:highlight w:val="none"/>
          <w:lang w:eastAsia="zh-CN"/>
        </w:rPr>
      </w:pPr>
    </w:p>
    <w:p w14:paraId="447A3B08">
      <w:pPr>
        <w:pStyle w:val="5"/>
        <w:spacing w:line="309" w:lineRule="auto"/>
        <w:rPr>
          <w:color w:val="auto"/>
          <w:highlight w:val="none"/>
          <w:lang w:eastAsia="zh-CN"/>
        </w:rPr>
      </w:pPr>
    </w:p>
    <w:p w14:paraId="2C3DBC9F">
      <w:pPr>
        <w:spacing w:before="78" w:line="219" w:lineRule="auto"/>
        <w:ind w:left="484"/>
        <w:outlineLvl w:val="1"/>
        <w:rPr>
          <w:rFonts w:ascii="宋体" w:hAnsi="宋体" w:eastAsia="宋体" w:cs="宋体"/>
          <w:color w:val="auto"/>
          <w:sz w:val="24"/>
          <w:szCs w:val="24"/>
          <w:highlight w:val="none"/>
          <w:lang w:eastAsia="zh-CN"/>
        </w:rPr>
      </w:pPr>
      <w:bookmarkStart w:id="133" w:name="_Toc31239"/>
      <w:r>
        <w:rPr>
          <w:rFonts w:ascii="宋体" w:hAnsi="宋体" w:eastAsia="宋体" w:cs="宋体"/>
          <w:color w:val="auto"/>
          <w:spacing w:val="-1"/>
          <w:sz w:val="24"/>
          <w:szCs w:val="24"/>
          <w:highlight w:val="none"/>
          <w:lang w:eastAsia="zh-CN"/>
        </w:rPr>
        <w:t>一、全面取消采购文件费用和投标保证金费用。</w:t>
      </w:r>
      <w:bookmarkEnd w:id="133"/>
    </w:p>
    <w:p w14:paraId="79B2AF5A">
      <w:pPr>
        <w:spacing w:before="282" w:line="424" w:lineRule="auto"/>
        <w:ind w:right="80" w:firstLine="484"/>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二、免收履约保证金。确因项目需要的，应以保</w:t>
      </w:r>
      <w:r>
        <w:rPr>
          <w:rFonts w:ascii="宋体" w:hAnsi="宋体" w:eastAsia="宋体" w:cs="宋体"/>
          <w:color w:val="auto"/>
          <w:spacing w:val="-3"/>
          <w:sz w:val="24"/>
          <w:szCs w:val="24"/>
          <w:highlight w:val="none"/>
          <w:lang w:eastAsia="zh-CN"/>
        </w:rPr>
        <w:t>函等非现金形式收取，比例不得</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超过合同金额的</w:t>
      </w:r>
      <w:r>
        <w:rPr>
          <w:rFonts w:ascii="宋体" w:hAnsi="宋体" w:eastAsia="宋体" w:cs="宋体"/>
          <w:color w:val="auto"/>
          <w:spacing w:val="2"/>
          <w:sz w:val="24"/>
          <w:szCs w:val="24"/>
          <w:highlight w:val="none"/>
          <w:u w:val="single"/>
          <w:lang w:eastAsia="zh-CN"/>
        </w:rPr>
        <w:t>6%</w:t>
      </w:r>
      <w:r>
        <w:rPr>
          <w:rFonts w:ascii="宋体" w:hAnsi="宋体" w:eastAsia="宋体" w:cs="宋体"/>
          <w:color w:val="auto"/>
          <w:spacing w:val="2"/>
          <w:sz w:val="24"/>
          <w:szCs w:val="24"/>
          <w:highlight w:val="none"/>
          <w:lang w:eastAsia="zh-CN"/>
        </w:rPr>
        <w:t>，并按约定的时间和条件退还。</w:t>
      </w:r>
    </w:p>
    <w:p w14:paraId="614471D3">
      <w:pPr>
        <w:spacing w:before="33" w:line="424" w:lineRule="auto"/>
        <w:ind w:left="5" w:right="18" w:firstLine="475"/>
        <w:rPr>
          <w:rFonts w:ascii="宋体" w:hAnsi="宋体" w:eastAsia="宋体" w:cs="宋体"/>
          <w:color w:val="auto"/>
          <w:sz w:val="24"/>
          <w:szCs w:val="24"/>
          <w:highlight w:val="none"/>
          <w:lang w:eastAsia="zh-CN"/>
        </w:rPr>
      </w:pPr>
      <w:r>
        <w:rPr>
          <w:rFonts w:ascii="宋体" w:hAnsi="宋体" w:eastAsia="宋体" w:cs="宋体"/>
          <w:color w:val="auto"/>
          <w:spacing w:val="-8"/>
          <w:sz w:val="24"/>
          <w:szCs w:val="24"/>
          <w:highlight w:val="none"/>
          <w:lang w:eastAsia="zh-CN"/>
        </w:rPr>
        <w:t>三、评标结果确认时限。自评标（评审）结束后应</w:t>
      </w:r>
      <w:r>
        <w:rPr>
          <w:rFonts w:ascii="宋体" w:hAnsi="宋体" w:eastAsia="宋体" w:cs="宋体"/>
          <w:color w:val="auto"/>
          <w:spacing w:val="-40"/>
          <w:sz w:val="24"/>
          <w:szCs w:val="24"/>
          <w:highlight w:val="none"/>
          <w:lang w:eastAsia="zh-CN"/>
        </w:rPr>
        <w:t xml:space="preserve"> </w:t>
      </w:r>
      <w:r>
        <w:rPr>
          <w:rFonts w:ascii="宋体" w:hAnsi="宋体" w:eastAsia="宋体" w:cs="宋体"/>
          <w:color w:val="auto"/>
          <w:spacing w:val="-8"/>
          <w:sz w:val="24"/>
          <w:szCs w:val="24"/>
          <w:highlight w:val="none"/>
          <w:lang w:eastAsia="zh-CN"/>
        </w:rPr>
        <w:t>2</w:t>
      </w:r>
      <w:r>
        <w:rPr>
          <w:rFonts w:ascii="宋体" w:hAnsi="宋体" w:eastAsia="宋体" w:cs="宋体"/>
          <w:color w:val="auto"/>
          <w:spacing w:val="-51"/>
          <w:sz w:val="24"/>
          <w:szCs w:val="24"/>
          <w:highlight w:val="none"/>
          <w:lang w:eastAsia="zh-CN"/>
        </w:rPr>
        <w:t xml:space="preserve"> </w:t>
      </w:r>
      <w:r>
        <w:rPr>
          <w:rFonts w:ascii="宋体" w:hAnsi="宋体" w:eastAsia="宋体" w:cs="宋体"/>
          <w:color w:val="auto"/>
          <w:spacing w:val="-8"/>
          <w:sz w:val="24"/>
          <w:szCs w:val="24"/>
          <w:highlight w:val="none"/>
          <w:lang w:eastAsia="zh-CN"/>
        </w:rPr>
        <w:t>个工作日内确定中标</w:t>
      </w:r>
      <w:r>
        <w:rPr>
          <w:rFonts w:hint="eastAsia" w:ascii="宋体" w:hAnsi="宋体" w:eastAsia="宋体" w:cs="宋体"/>
          <w:color w:val="auto"/>
          <w:spacing w:val="-8"/>
          <w:sz w:val="24"/>
          <w:szCs w:val="24"/>
          <w:highlight w:val="none"/>
          <w:lang w:val="en-US" w:eastAsia="zh-CN"/>
        </w:rPr>
        <w:t>人</w:t>
      </w:r>
      <w:r>
        <w:rPr>
          <w:rFonts w:ascii="宋体" w:hAnsi="宋体" w:eastAsia="宋体" w:cs="宋体"/>
          <w:color w:val="auto"/>
          <w:spacing w:val="-8"/>
          <w:sz w:val="24"/>
          <w:szCs w:val="24"/>
          <w:highlight w:val="none"/>
          <w:lang w:eastAsia="zh-CN"/>
        </w:rPr>
        <w:t>，</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5</w:t>
      </w:r>
      <w:r>
        <w:rPr>
          <w:rFonts w:ascii="宋体" w:hAnsi="宋体" w:eastAsia="宋体" w:cs="宋体"/>
          <w:color w:val="auto"/>
          <w:spacing w:val="-34"/>
          <w:sz w:val="24"/>
          <w:szCs w:val="24"/>
          <w:highlight w:val="none"/>
          <w:lang w:eastAsia="zh-CN"/>
        </w:rPr>
        <w:t xml:space="preserve"> </w:t>
      </w:r>
      <w:r>
        <w:rPr>
          <w:rFonts w:ascii="宋体" w:hAnsi="宋体" w:eastAsia="宋体" w:cs="宋体"/>
          <w:color w:val="auto"/>
          <w:spacing w:val="-2"/>
          <w:sz w:val="24"/>
          <w:szCs w:val="24"/>
          <w:highlight w:val="none"/>
          <w:lang w:eastAsia="zh-CN"/>
        </w:rPr>
        <w:t>个工作日内公告结果，同时发送中标通知书。</w:t>
      </w:r>
    </w:p>
    <w:p w14:paraId="2DD4A7C7">
      <w:pPr>
        <w:spacing w:before="36" w:line="424" w:lineRule="auto"/>
        <w:ind w:right="80" w:firstLine="503"/>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四、合同签订时限。</w:t>
      </w:r>
      <w:r>
        <w:rPr>
          <w:rFonts w:ascii="宋体" w:hAnsi="宋体" w:eastAsia="宋体" w:cs="宋体"/>
          <w:color w:val="auto"/>
          <w:spacing w:val="-68"/>
          <w:sz w:val="24"/>
          <w:szCs w:val="24"/>
          <w:highlight w:val="none"/>
          <w:lang w:eastAsia="zh-CN"/>
        </w:rPr>
        <w:t xml:space="preserve"> </w:t>
      </w:r>
      <w:r>
        <w:rPr>
          <w:rFonts w:ascii="宋体" w:hAnsi="宋体" w:eastAsia="宋体" w:cs="宋体"/>
          <w:color w:val="auto"/>
          <w:spacing w:val="-3"/>
          <w:sz w:val="24"/>
          <w:szCs w:val="24"/>
          <w:highlight w:val="none"/>
          <w:lang w:eastAsia="zh-CN"/>
        </w:rPr>
        <w:t>自中标通知书发出之日起</w:t>
      </w:r>
      <w:r>
        <w:rPr>
          <w:rFonts w:ascii="宋体" w:hAnsi="宋体" w:eastAsia="宋体" w:cs="宋体"/>
          <w:color w:val="auto"/>
          <w:spacing w:val="-58"/>
          <w:sz w:val="24"/>
          <w:szCs w:val="24"/>
          <w:highlight w:val="none"/>
          <w:lang w:eastAsia="zh-CN"/>
        </w:rPr>
        <w:t xml:space="preserve"> </w:t>
      </w:r>
      <w:r>
        <w:rPr>
          <w:rFonts w:ascii="宋体" w:hAnsi="宋体" w:eastAsia="宋体" w:cs="宋体"/>
          <w:color w:val="auto"/>
          <w:spacing w:val="-93"/>
          <w:sz w:val="24"/>
          <w:szCs w:val="24"/>
          <w:highlight w:val="none"/>
          <w:u w:val="single"/>
          <w:lang w:eastAsia="zh-CN"/>
        </w:rPr>
        <w:t xml:space="preserve"> </w:t>
      </w:r>
      <w:r>
        <w:rPr>
          <w:rFonts w:ascii="宋体" w:hAnsi="宋体" w:eastAsia="宋体" w:cs="宋体"/>
          <w:color w:val="auto"/>
          <w:spacing w:val="-3"/>
          <w:sz w:val="24"/>
          <w:szCs w:val="24"/>
          <w:highlight w:val="none"/>
          <w:u w:val="single"/>
          <w:lang w:eastAsia="zh-CN"/>
        </w:rPr>
        <w:t>15</w:t>
      </w:r>
      <w:r>
        <w:rPr>
          <w:rFonts w:ascii="宋体" w:hAnsi="宋体" w:eastAsia="宋体" w:cs="宋体"/>
          <w:color w:val="auto"/>
          <w:spacing w:val="-60"/>
          <w:sz w:val="24"/>
          <w:szCs w:val="24"/>
          <w:highlight w:val="none"/>
          <w:u w:val="single"/>
          <w:lang w:eastAsia="zh-CN"/>
        </w:rPr>
        <w:t xml:space="preserve"> </w:t>
      </w:r>
      <w:r>
        <w:rPr>
          <w:rFonts w:ascii="宋体" w:hAnsi="宋体" w:eastAsia="宋体" w:cs="宋体"/>
          <w:color w:val="auto"/>
          <w:spacing w:val="-69"/>
          <w:sz w:val="24"/>
          <w:szCs w:val="24"/>
          <w:highlight w:val="none"/>
          <w:lang w:eastAsia="zh-CN"/>
        </w:rPr>
        <w:t xml:space="preserve"> </w:t>
      </w:r>
      <w:r>
        <w:rPr>
          <w:rFonts w:ascii="宋体" w:hAnsi="宋体" w:eastAsia="宋体" w:cs="宋体"/>
          <w:color w:val="auto"/>
          <w:spacing w:val="-3"/>
          <w:sz w:val="24"/>
          <w:szCs w:val="24"/>
          <w:highlight w:val="none"/>
          <w:lang w:eastAsia="zh-CN"/>
        </w:rPr>
        <w:t>日内，</w:t>
      </w:r>
      <w:r>
        <w:rPr>
          <w:rFonts w:ascii="宋体" w:hAnsi="宋体" w:eastAsia="宋体" w:cs="宋体"/>
          <w:color w:val="auto"/>
          <w:spacing w:val="-4"/>
          <w:sz w:val="24"/>
          <w:szCs w:val="24"/>
          <w:highlight w:val="none"/>
          <w:lang w:eastAsia="zh-CN"/>
        </w:rPr>
        <w:t>按照采购文件和投标文</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件确定的事项签订政府采购合同。</w:t>
      </w:r>
    </w:p>
    <w:p w14:paraId="3AC4FA52">
      <w:pPr>
        <w:spacing w:before="35" w:line="218" w:lineRule="auto"/>
        <w:ind w:left="484"/>
        <w:outlineLvl w:val="1"/>
        <w:rPr>
          <w:rFonts w:ascii="宋体" w:hAnsi="宋体" w:eastAsia="宋体" w:cs="宋体"/>
          <w:color w:val="auto"/>
          <w:sz w:val="24"/>
          <w:szCs w:val="24"/>
          <w:highlight w:val="none"/>
          <w:lang w:eastAsia="zh-CN"/>
        </w:rPr>
      </w:pPr>
      <w:bookmarkStart w:id="134" w:name="_Toc31226"/>
      <w:r>
        <w:rPr>
          <w:rFonts w:ascii="宋体" w:hAnsi="宋体" w:eastAsia="宋体" w:cs="宋体"/>
          <w:color w:val="auto"/>
          <w:spacing w:val="-3"/>
          <w:sz w:val="24"/>
          <w:szCs w:val="24"/>
          <w:highlight w:val="none"/>
          <w:lang w:eastAsia="zh-CN"/>
        </w:rPr>
        <w:t>五、合同公告和备案时限。</w:t>
      </w:r>
      <w:r>
        <w:rPr>
          <w:rFonts w:ascii="宋体" w:hAnsi="宋体" w:eastAsia="宋体" w:cs="宋体"/>
          <w:color w:val="auto"/>
          <w:spacing w:val="-71"/>
          <w:sz w:val="24"/>
          <w:szCs w:val="24"/>
          <w:highlight w:val="none"/>
          <w:lang w:eastAsia="zh-CN"/>
        </w:rPr>
        <w:t xml:space="preserve"> </w:t>
      </w:r>
      <w:r>
        <w:rPr>
          <w:rFonts w:ascii="宋体" w:hAnsi="宋体" w:eastAsia="宋体" w:cs="宋体"/>
          <w:color w:val="auto"/>
          <w:spacing w:val="-3"/>
          <w:sz w:val="24"/>
          <w:szCs w:val="24"/>
          <w:highlight w:val="none"/>
          <w:lang w:eastAsia="zh-CN"/>
        </w:rPr>
        <w:t>自合同签订之日起</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3"/>
          <w:sz w:val="24"/>
          <w:szCs w:val="24"/>
          <w:highlight w:val="none"/>
          <w:lang w:eastAsia="zh-CN"/>
        </w:rPr>
        <w:t>2</w:t>
      </w:r>
      <w:r>
        <w:rPr>
          <w:rFonts w:ascii="宋体" w:hAnsi="宋体" w:eastAsia="宋体" w:cs="宋体"/>
          <w:color w:val="auto"/>
          <w:spacing w:val="-51"/>
          <w:sz w:val="24"/>
          <w:szCs w:val="24"/>
          <w:highlight w:val="none"/>
          <w:lang w:eastAsia="zh-CN"/>
        </w:rPr>
        <w:t xml:space="preserve"> </w:t>
      </w:r>
      <w:r>
        <w:rPr>
          <w:rFonts w:ascii="宋体" w:hAnsi="宋体" w:eastAsia="宋体" w:cs="宋体"/>
          <w:color w:val="auto"/>
          <w:spacing w:val="-3"/>
          <w:sz w:val="24"/>
          <w:szCs w:val="24"/>
          <w:highlight w:val="none"/>
          <w:lang w:eastAsia="zh-CN"/>
        </w:rPr>
        <w:t>个工</w:t>
      </w:r>
      <w:r>
        <w:rPr>
          <w:rFonts w:ascii="宋体" w:hAnsi="宋体" w:eastAsia="宋体" w:cs="宋体"/>
          <w:color w:val="auto"/>
          <w:spacing w:val="-4"/>
          <w:sz w:val="24"/>
          <w:szCs w:val="24"/>
          <w:highlight w:val="none"/>
          <w:lang w:eastAsia="zh-CN"/>
        </w:rPr>
        <w:t>作日内。</w:t>
      </w:r>
      <w:bookmarkEnd w:id="134"/>
    </w:p>
    <w:p w14:paraId="19422AF3">
      <w:pPr>
        <w:spacing w:before="285" w:line="422" w:lineRule="auto"/>
        <w:ind w:left="6" w:right="80" w:firstLine="476"/>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六、项目验收。自收到</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项目验收建议之日起</w:t>
      </w:r>
      <w:r>
        <w:rPr>
          <w:rFonts w:ascii="宋体" w:hAnsi="宋体" w:eastAsia="宋体" w:cs="宋体"/>
          <w:color w:val="auto"/>
          <w:spacing w:val="-46"/>
          <w:sz w:val="24"/>
          <w:szCs w:val="24"/>
          <w:highlight w:val="none"/>
          <w:lang w:eastAsia="zh-CN"/>
        </w:rPr>
        <w:t xml:space="preserve"> </w:t>
      </w:r>
      <w:r>
        <w:rPr>
          <w:rFonts w:ascii="宋体" w:hAnsi="宋体" w:eastAsia="宋体" w:cs="宋体"/>
          <w:color w:val="auto"/>
          <w:spacing w:val="-3"/>
          <w:sz w:val="24"/>
          <w:szCs w:val="24"/>
          <w:highlight w:val="none"/>
          <w:lang w:eastAsia="zh-CN"/>
        </w:rPr>
        <w:t>5</w:t>
      </w:r>
      <w:r>
        <w:rPr>
          <w:rFonts w:ascii="宋体" w:hAnsi="宋体" w:eastAsia="宋体" w:cs="宋体"/>
          <w:color w:val="auto"/>
          <w:spacing w:val="-51"/>
          <w:sz w:val="24"/>
          <w:szCs w:val="24"/>
          <w:highlight w:val="none"/>
          <w:lang w:eastAsia="zh-CN"/>
        </w:rPr>
        <w:t xml:space="preserve"> </w:t>
      </w:r>
      <w:r>
        <w:rPr>
          <w:rFonts w:ascii="宋体" w:hAnsi="宋体" w:eastAsia="宋体" w:cs="宋体"/>
          <w:color w:val="auto"/>
          <w:spacing w:val="-3"/>
          <w:sz w:val="24"/>
          <w:szCs w:val="24"/>
          <w:highlight w:val="none"/>
          <w:lang w:eastAsia="zh-CN"/>
        </w:rPr>
        <w:t>个工作日内组织验收；验收</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结束后</w:t>
      </w:r>
      <w:r>
        <w:rPr>
          <w:rFonts w:ascii="宋体" w:hAnsi="宋体" w:eastAsia="宋体" w:cs="宋体"/>
          <w:color w:val="auto"/>
          <w:spacing w:val="-48"/>
          <w:sz w:val="24"/>
          <w:szCs w:val="24"/>
          <w:highlight w:val="none"/>
          <w:lang w:eastAsia="zh-CN"/>
        </w:rPr>
        <w:t xml:space="preserve"> </w:t>
      </w:r>
      <w:r>
        <w:rPr>
          <w:rFonts w:ascii="宋体" w:hAnsi="宋体" w:eastAsia="宋体" w:cs="宋体"/>
          <w:color w:val="auto"/>
          <w:spacing w:val="-1"/>
          <w:sz w:val="24"/>
          <w:szCs w:val="24"/>
          <w:highlight w:val="none"/>
          <w:lang w:eastAsia="zh-CN"/>
        </w:rPr>
        <w:t>2</w:t>
      </w:r>
      <w:r>
        <w:rPr>
          <w:rFonts w:ascii="宋体" w:hAnsi="宋体" w:eastAsia="宋体" w:cs="宋体"/>
          <w:color w:val="auto"/>
          <w:spacing w:val="-51"/>
          <w:sz w:val="24"/>
          <w:szCs w:val="24"/>
          <w:highlight w:val="none"/>
          <w:lang w:eastAsia="zh-CN"/>
        </w:rPr>
        <w:t xml:space="preserve"> </w:t>
      </w:r>
      <w:r>
        <w:rPr>
          <w:rFonts w:ascii="宋体" w:hAnsi="宋体" w:eastAsia="宋体" w:cs="宋体"/>
          <w:color w:val="auto"/>
          <w:spacing w:val="-1"/>
          <w:sz w:val="24"/>
          <w:szCs w:val="24"/>
          <w:highlight w:val="none"/>
          <w:lang w:eastAsia="zh-CN"/>
        </w:rPr>
        <w:t>个工作日内出具《验收报告》，并在焦作市政府采购网公告验收</w:t>
      </w:r>
      <w:r>
        <w:rPr>
          <w:rFonts w:ascii="宋体" w:hAnsi="宋体" w:eastAsia="宋体" w:cs="宋体"/>
          <w:color w:val="auto"/>
          <w:spacing w:val="-2"/>
          <w:sz w:val="24"/>
          <w:szCs w:val="24"/>
          <w:highlight w:val="none"/>
          <w:lang w:eastAsia="zh-CN"/>
        </w:rPr>
        <w:t>结果。</w:t>
      </w:r>
    </w:p>
    <w:p w14:paraId="29D1D498">
      <w:pPr>
        <w:spacing w:before="40" w:line="424" w:lineRule="auto"/>
        <w:ind w:firstLine="480"/>
        <w:rPr>
          <w:rFonts w:ascii="宋体" w:hAnsi="宋体" w:eastAsia="宋体" w:cs="宋体"/>
          <w:color w:val="auto"/>
          <w:sz w:val="24"/>
          <w:szCs w:val="24"/>
          <w:highlight w:val="none"/>
          <w:lang w:eastAsia="zh-CN"/>
        </w:rPr>
      </w:pPr>
      <w:r>
        <w:rPr>
          <w:rFonts w:ascii="宋体" w:hAnsi="宋体" w:eastAsia="宋体" w:cs="宋体"/>
          <w:color w:val="auto"/>
          <w:spacing w:val="-7"/>
          <w:sz w:val="24"/>
          <w:szCs w:val="24"/>
          <w:highlight w:val="none"/>
          <w:lang w:eastAsia="zh-CN"/>
        </w:rPr>
        <w:t>七、资金支付。按照合同约定的条件及时支付资金，不得因机构变更、人员更替、</w:t>
      </w:r>
      <w:r>
        <w:rPr>
          <w:rFonts w:ascii="宋体" w:hAnsi="宋体" w:eastAsia="宋体" w:cs="宋体"/>
          <w:color w:val="auto"/>
          <w:spacing w:val="13"/>
          <w:sz w:val="24"/>
          <w:szCs w:val="24"/>
          <w:highlight w:val="none"/>
          <w:lang w:eastAsia="zh-CN"/>
        </w:rPr>
        <w:t xml:space="preserve"> </w:t>
      </w:r>
      <w:r>
        <w:rPr>
          <w:rFonts w:ascii="宋体" w:hAnsi="宋体" w:eastAsia="宋体" w:cs="宋体"/>
          <w:color w:val="auto"/>
          <w:spacing w:val="-1"/>
          <w:sz w:val="24"/>
          <w:szCs w:val="24"/>
          <w:highlight w:val="none"/>
          <w:lang w:eastAsia="zh-CN"/>
        </w:rPr>
        <w:t>政策调整等原因拒绝或延迟资金支付。</w:t>
      </w:r>
    </w:p>
    <w:p w14:paraId="10FDCB00">
      <w:pPr>
        <w:spacing w:before="34" w:line="424" w:lineRule="auto"/>
        <w:ind w:left="5" w:right="80" w:firstLine="474"/>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在政府采购活动中，若发现采购人或采购代理机构未按以</w:t>
      </w:r>
      <w:r>
        <w:rPr>
          <w:rFonts w:ascii="宋体" w:hAnsi="宋体" w:eastAsia="宋体" w:cs="宋体"/>
          <w:color w:val="auto"/>
          <w:spacing w:val="-3"/>
          <w:sz w:val="24"/>
          <w:szCs w:val="24"/>
          <w:highlight w:val="none"/>
          <w:lang w:eastAsia="zh-CN"/>
        </w:rPr>
        <w:t>上政策执行的，可向监</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督部门举报反映。</w:t>
      </w:r>
    </w:p>
    <w:p w14:paraId="1AA08A77">
      <w:pPr>
        <w:spacing w:before="35" w:line="425" w:lineRule="auto"/>
        <w:ind w:left="481" w:right="3130"/>
        <w:rPr>
          <w:rFonts w:ascii="宋体" w:hAnsi="宋体" w:eastAsia="宋体" w:cs="宋体"/>
          <w:color w:val="auto"/>
          <w:sz w:val="24"/>
          <w:szCs w:val="24"/>
          <w:highlight w:val="none"/>
          <w:lang w:eastAsia="zh-CN"/>
        </w:rPr>
      </w:pPr>
      <w:r>
        <w:rPr>
          <w:rFonts w:ascii="宋体" w:hAnsi="宋体" w:eastAsia="宋体" w:cs="宋体"/>
          <w:color w:val="auto"/>
          <w:spacing w:val="-1"/>
          <w:sz w:val="24"/>
          <w:szCs w:val="24"/>
          <w:highlight w:val="none"/>
          <w:lang w:eastAsia="zh-CN"/>
        </w:rPr>
        <w:t>监督单位：博爱县财政局政府采购监督管理办公室</w:t>
      </w:r>
      <w:r>
        <w:rPr>
          <w:rFonts w:ascii="宋体" w:hAnsi="宋体" w:eastAsia="宋体" w:cs="宋体"/>
          <w:color w:val="auto"/>
          <w:spacing w:val="10"/>
          <w:sz w:val="24"/>
          <w:szCs w:val="24"/>
          <w:highlight w:val="none"/>
          <w:lang w:eastAsia="zh-CN"/>
        </w:rPr>
        <w:t xml:space="preserve"> </w:t>
      </w:r>
      <w:r>
        <w:rPr>
          <w:rFonts w:ascii="宋体" w:hAnsi="宋体" w:eastAsia="宋体" w:cs="宋体"/>
          <w:color w:val="auto"/>
          <w:spacing w:val="-1"/>
          <w:sz w:val="24"/>
          <w:szCs w:val="24"/>
          <w:highlight w:val="none"/>
          <w:lang w:eastAsia="zh-CN"/>
        </w:rPr>
        <w:t>监督电话：0391-8683273</w:t>
      </w:r>
    </w:p>
    <w:p w14:paraId="0C71C257">
      <w:pPr>
        <w:spacing w:before="32" w:line="219" w:lineRule="auto"/>
        <w:ind w:left="480"/>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地址：博爱县发展大道</w:t>
      </w:r>
      <w:r>
        <w:rPr>
          <w:rFonts w:ascii="宋体" w:hAnsi="宋体" w:eastAsia="宋体" w:cs="宋体"/>
          <w:color w:val="auto"/>
          <w:spacing w:val="-29"/>
          <w:sz w:val="24"/>
          <w:szCs w:val="24"/>
          <w:highlight w:val="none"/>
          <w:lang w:eastAsia="zh-CN"/>
        </w:rPr>
        <w:t xml:space="preserve"> </w:t>
      </w:r>
      <w:r>
        <w:rPr>
          <w:rFonts w:ascii="宋体" w:hAnsi="宋体" w:eastAsia="宋体" w:cs="宋体"/>
          <w:color w:val="auto"/>
          <w:spacing w:val="-3"/>
          <w:sz w:val="24"/>
          <w:szCs w:val="24"/>
          <w:highlight w:val="none"/>
          <w:lang w:eastAsia="zh-CN"/>
        </w:rPr>
        <w:t>188</w:t>
      </w:r>
      <w:r>
        <w:rPr>
          <w:rFonts w:ascii="宋体" w:hAnsi="宋体" w:eastAsia="宋体" w:cs="宋体"/>
          <w:color w:val="auto"/>
          <w:spacing w:val="-45"/>
          <w:sz w:val="24"/>
          <w:szCs w:val="24"/>
          <w:highlight w:val="none"/>
          <w:lang w:eastAsia="zh-CN"/>
        </w:rPr>
        <w:t xml:space="preserve"> </w:t>
      </w:r>
      <w:r>
        <w:rPr>
          <w:rFonts w:ascii="宋体" w:hAnsi="宋体" w:eastAsia="宋体" w:cs="宋体"/>
          <w:color w:val="auto"/>
          <w:spacing w:val="-3"/>
          <w:sz w:val="24"/>
          <w:szCs w:val="24"/>
          <w:highlight w:val="none"/>
          <w:lang w:eastAsia="zh-CN"/>
        </w:rPr>
        <w:t>号机关综合办公楼主楼</w:t>
      </w:r>
      <w:r>
        <w:rPr>
          <w:rFonts w:ascii="宋体" w:hAnsi="宋体" w:eastAsia="宋体" w:cs="宋体"/>
          <w:color w:val="auto"/>
          <w:spacing w:val="-33"/>
          <w:sz w:val="24"/>
          <w:szCs w:val="24"/>
          <w:highlight w:val="none"/>
          <w:lang w:eastAsia="zh-CN"/>
        </w:rPr>
        <w:t xml:space="preserve"> </w:t>
      </w:r>
      <w:r>
        <w:rPr>
          <w:rFonts w:ascii="宋体" w:hAnsi="宋体" w:eastAsia="宋体" w:cs="宋体"/>
          <w:color w:val="auto"/>
          <w:spacing w:val="-3"/>
          <w:sz w:val="24"/>
          <w:szCs w:val="24"/>
          <w:highlight w:val="none"/>
          <w:lang w:eastAsia="zh-CN"/>
        </w:rPr>
        <w:t>1213</w:t>
      </w:r>
      <w:r>
        <w:rPr>
          <w:rFonts w:ascii="宋体" w:hAnsi="宋体" w:eastAsia="宋体" w:cs="宋体"/>
          <w:color w:val="auto"/>
          <w:spacing w:val="-47"/>
          <w:sz w:val="24"/>
          <w:szCs w:val="24"/>
          <w:highlight w:val="none"/>
          <w:lang w:eastAsia="zh-CN"/>
        </w:rPr>
        <w:t xml:space="preserve"> </w:t>
      </w:r>
      <w:r>
        <w:rPr>
          <w:rFonts w:ascii="宋体" w:hAnsi="宋体" w:eastAsia="宋体" w:cs="宋体"/>
          <w:color w:val="auto"/>
          <w:spacing w:val="-3"/>
          <w:sz w:val="24"/>
          <w:szCs w:val="24"/>
          <w:highlight w:val="none"/>
          <w:lang w:eastAsia="zh-CN"/>
        </w:rPr>
        <w:t>室</w:t>
      </w:r>
    </w:p>
    <w:p w14:paraId="22E8A748">
      <w:pPr>
        <w:spacing w:line="219" w:lineRule="auto"/>
        <w:rPr>
          <w:rFonts w:ascii="宋体" w:hAnsi="宋体" w:eastAsia="宋体" w:cs="宋体"/>
          <w:color w:val="auto"/>
          <w:sz w:val="24"/>
          <w:szCs w:val="24"/>
          <w:highlight w:val="none"/>
          <w:lang w:eastAsia="zh-CN"/>
        </w:rPr>
        <w:sectPr>
          <w:footerReference r:id="rId36" w:type="default"/>
          <w:pgSz w:w="11907" w:h="16840"/>
          <w:pgMar w:top="1431" w:right="1439" w:bottom="1139" w:left="1585" w:header="0" w:footer="977" w:gutter="0"/>
          <w:cols w:space="720" w:num="1"/>
        </w:sectPr>
      </w:pPr>
    </w:p>
    <w:p w14:paraId="4017F55F">
      <w:pPr>
        <w:spacing w:before="72" w:line="223" w:lineRule="auto"/>
        <w:ind w:left="2123"/>
        <w:outlineLvl w:val="0"/>
        <w:rPr>
          <w:rFonts w:ascii="宋体" w:hAnsi="宋体" w:eastAsia="宋体" w:cs="宋体"/>
          <w:color w:val="auto"/>
          <w:sz w:val="35"/>
          <w:szCs w:val="35"/>
          <w:highlight w:val="none"/>
          <w:lang w:eastAsia="zh-CN"/>
        </w:rPr>
      </w:pPr>
      <w:bookmarkStart w:id="135" w:name="_Toc13789"/>
      <w:r>
        <w:rPr>
          <w:rFonts w:ascii="宋体" w:hAnsi="宋体" w:eastAsia="宋体" w:cs="宋体"/>
          <w:b/>
          <w:bCs/>
          <w:color w:val="auto"/>
          <w:spacing w:val="6"/>
          <w:sz w:val="35"/>
          <w:szCs w:val="35"/>
          <w:highlight w:val="none"/>
          <w:lang w:eastAsia="zh-CN"/>
        </w:rPr>
        <w:t>河南省政府采购合同融资政策告知函</w:t>
      </w:r>
      <w:bookmarkEnd w:id="135"/>
    </w:p>
    <w:p w14:paraId="48A0B66E">
      <w:pPr>
        <w:spacing w:before="104" w:line="219" w:lineRule="auto"/>
        <w:ind w:left="1030"/>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各</w:t>
      </w:r>
      <w:r>
        <w:rPr>
          <w:rFonts w:hint="eastAsia" w:ascii="宋体" w:hAnsi="宋体" w:eastAsia="宋体" w:cs="宋体"/>
          <w:color w:val="auto"/>
          <w:spacing w:val="-3"/>
          <w:sz w:val="24"/>
          <w:szCs w:val="24"/>
          <w:highlight w:val="none"/>
          <w:lang w:eastAsia="zh-CN"/>
        </w:rPr>
        <w:t>投标人</w:t>
      </w:r>
      <w:r>
        <w:rPr>
          <w:rFonts w:ascii="宋体" w:hAnsi="宋体" w:eastAsia="宋体" w:cs="宋体"/>
          <w:color w:val="auto"/>
          <w:spacing w:val="-3"/>
          <w:sz w:val="24"/>
          <w:szCs w:val="24"/>
          <w:highlight w:val="none"/>
          <w:lang w:eastAsia="zh-CN"/>
        </w:rPr>
        <w:t>：</w:t>
      </w:r>
    </w:p>
    <w:p w14:paraId="34F1B1F2">
      <w:pPr>
        <w:spacing w:before="135" w:line="219" w:lineRule="auto"/>
        <w:ind w:left="1387"/>
        <w:outlineLvl w:val="0"/>
        <w:rPr>
          <w:rFonts w:ascii="宋体" w:hAnsi="宋体" w:eastAsia="宋体" w:cs="宋体"/>
          <w:color w:val="auto"/>
          <w:sz w:val="24"/>
          <w:szCs w:val="24"/>
          <w:highlight w:val="none"/>
          <w:lang w:eastAsia="zh-CN"/>
        </w:rPr>
      </w:pPr>
      <w:bookmarkStart w:id="136" w:name="_Toc1395"/>
      <w:r>
        <w:rPr>
          <w:rFonts w:ascii="宋体" w:hAnsi="宋体" w:eastAsia="宋体" w:cs="宋体"/>
          <w:color w:val="auto"/>
          <w:spacing w:val="-1"/>
          <w:sz w:val="24"/>
          <w:szCs w:val="24"/>
          <w:highlight w:val="none"/>
          <w:lang w:eastAsia="zh-CN"/>
        </w:rPr>
        <w:t>欢迎贵公司参与河南省政府采购活动！</w:t>
      </w:r>
      <w:bookmarkEnd w:id="136"/>
    </w:p>
    <w:p w14:paraId="085BC567">
      <w:pPr>
        <w:spacing w:before="133" w:line="318" w:lineRule="auto"/>
        <w:ind w:left="611" w:right="587" w:firstLine="775"/>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政府采购合同融资是河南省财政厅支持中小微企业发展，针对参与政府采购</w:t>
      </w:r>
      <w:r>
        <w:rPr>
          <w:rFonts w:ascii="宋体" w:hAnsi="宋体" w:eastAsia="宋体" w:cs="宋体"/>
          <w:color w:val="auto"/>
          <w:spacing w:val="4"/>
          <w:sz w:val="24"/>
          <w:szCs w:val="24"/>
          <w:highlight w:val="none"/>
          <w:lang w:eastAsia="zh-CN"/>
        </w:rPr>
        <w:t xml:space="preserve"> </w:t>
      </w:r>
      <w:r>
        <w:rPr>
          <w:rFonts w:ascii="宋体" w:hAnsi="宋体" w:eastAsia="宋体" w:cs="宋体"/>
          <w:color w:val="auto"/>
          <w:spacing w:val="-2"/>
          <w:sz w:val="24"/>
          <w:szCs w:val="24"/>
          <w:highlight w:val="none"/>
          <w:lang w:eastAsia="zh-CN"/>
        </w:rPr>
        <w:t>活动的</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融资难、融资贵问题推出的一项融资政策。贵公</w:t>
      </w:r>
      <w:r>
        <w:rPr>
          <w:rFonts w:ascii="宋体" w:hAnsi="宋体" w:eastAsia="宋体" w:cs="宋体"/>
          <w:color w:val="auto"/>
          <w:spacing w:val="-3"/>
          <w:sz w:val="24"/>
          <w:szCs w:val="24"/>
          <w:highlight w:val="none"/>
          <w:lang w:eastAsia="zh-CN"/>
        </w:rPr>
        <w:t>司若成为本次政府采购</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2"/>
          <w:sz w:val="24"/>
          <w:szCs w:val="24"/>
          <w:highlight w:val="none"/>
          <w:lang w:eastAsia="zh-CN"/>
        </w:rPr>
        <w:t>项目的中标成交</w:t>
      </w:r>
      <w:r>
        <w:rPr>
          <w:rFonts w:hint="eastAsia" w:ascii="宋体" w:hAnsi="宋体" w:eastAsia="宋体" w:cs="宋体"/>
          <w:color w:val="auto"/>
          <w:spacing w:val="-2"/>
          <w:sz w:val="24"/>
          <w:szCs w:val="24"/>
          <w:highlight w:val="none"/>
          <w:lang w:eastAsia="zh-CN"/>
        </w:rPr>
        <w:t>投标人</w:t>
      </w:r>
      <w:r>
        <w:rPr>
          <w:rFonts w:ascii="宋体" w:hAnsi="宋体" w:eastAsia="宋体" w:cs="宋体"/>
          <w:color w:val="auto"/>
          <w:spacing w:val="-2"/>
          <w:sz w:val="24"/>
          <w:szCs w:val="24"/>
          <w:highlight w:val="none"/>
          <w:lang w:eastAsia="zh-CN"/>
        </w:rPr>
        <w:t>，可持政府采购合同向金融机构申请贷款，无需抵押、担保，</w:t>
      </w:r>
      <w:r>
        <w:rPr>
          <w:rFonts w:ascii="宋体" w:hAnsi="宋体" w:eastAsia="宋体" w:cs="宋体"/>
          <w:color w:val="auto"/>
          <w:spacing w:val="1"/>
          <w:sz w:val="24"/>
          <w:szCs w:val="24"/>
          <w:highlight w:val="none"/>
          <w:lang w:eastAsia="zh-CN"/>
        </w:rPr>
        <w:t xml:space="preserve"> 融资机构将依据《河南省采购合同融资工作实施方案》（豫财购[2017]10</w:t>
      </w:r>
      <w:r>
        <w:rPr>
          <w:rFonts w:ascii="宋体" w:hAnsi="宋体" w:eastAsia="宋体" w:cs="宋体"/>
          <w:color w:val="auto"/>
          <w:spacing w:val="-40"/>
          <w:sz w:val="24"/>
          <w:szCs w:val="24"/>
          <w:highlight w:val="none"/>
          <w:lang w:eastAsia="zh-CN"/>
        </w:rPr>
        <w:t xml:space="preserve"> </w:t>
      </w:r>
      <w:r>
        <w:rPr>
          <w:rFonts w:ascii="宋体" w:hAnsi="宋体" w:eastAsia="宋体" w:cs="宋体"/>
          <w:color w:val="auto"/>
          <w:spacing w:val="1"/>
          <w:sz w:val="24"/>
          <w:szCs w:val="24"/>
          <w:highlight w:val="none"/>
          <w:lang w:eastAsia="zh-CN"/>
        </w:rPr>
        <w:t>号</w:t>
      </w:r>
      <w:r>
        <w:rPr>
          <w:rFonts w:ascii="宋体" w:hAnsi="宋体" w:eastAsia="宋体" w:cs="宋体"/>
          <w:color w:val="auto"/>
          <w:spacing w:val="19"/>
          <w:sz w:val="24"/>
          <w:szCs w:val="24"/>
          <w:highlight w:val="none"/>
          <w:lang w:eastAsia="zh-CN"/>
        </w:rPr>
        <w:t>），</w:t>
      </w:r>
      <w:r>
        <w:rPr>
          <w:rFonts w:ascii="宋体" w:hAnsi="宋体" w:eastAsia="宋体" w:cs="宋体"/>
          <w:color w:val="auto"/>
          <w:spacing w:val="1"/>
          <w:sz w:val="24"/>
          <w:szCs w:val="24"/>
          <w:highlight w:val="none"/>
          <w:lang w:eastAsia="zh-CN"/>
        </w:rPr>
        <w:t>按</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1"/>
          <w:sz w:val="24"/>
          <w:szCs w:val="24"/>
          <w:highlight w:val="none"/>
          <w:lang w:eastAsia="zh-CN"/>
        </w:rPr>
        <w:t>照双方自愿的原则提供便捷、优惠的贷款服务。</w:t>
      </w:r>
    </w:p>
    <w:p w14:paraId="7D85889C">
      <w:pPr>
        <w:spacing w:before="34" w:line="311" w:lineRule="auto"/>
        <w:ind w:left="631" w:right="598" w:firstLine="513"/>
        <w:rPr>
          <w:rFonts w:ascii="宋体" w:hAnsi="宋体" w:eastAsia="宋体" w:cs="宋体"/>
          <w:color w:val="auto"/>
          <w:sz w:val="24"/>
          <w:szCs w:val="24"/>
          <w:highlight w:val="none"/>
          <w:lang w:eastAsia="zh-CN"/>
        </w:rPr>
      </w:pPr>
      <w:r>
        <w:rPr>
          <w:rFonts w:ascii="宋体" w:hAnsi="宋体" w:eastAsia="宋体" w:cs="宋体"/>
          <w:color w:val="auto"/>
          <w:spacing w:val="3"/>
          <w:sz w:val="24"/>
          <w:szCs w:val="24"/>
          <w:highlight w:val="none"/>
          <w:lang w:eastAsia="zh-CN"/>
        </w:rPr>
        <w:t>贷款渠道和提供贷款的金融机构，可在河南省政府采购网“河南省政府采购合</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6"/>
          <w:sz w:val="24"/>
          <w:szCs w:val="24"/>
          <w:highlight w:val="none"/>
          <w:lang w:eastAsia="zh-CN"/>
        </w:rPr>
        <w:t>同融资平台</w:t>
      </w:r>
      <w:r>
        <w:rPr>
          <w:rFonts w:ascii="宋体" w:hAnsi="宋体" w:eastAsia="宋体" w:cs="宋体"/>
          <w:color w:val="auto"/>
          <w:spacing w:val="-88"/>
          <w:sz w:val="24"/>
          <w:szCs w:val="24"/>
          <w:highlight w:val="none"/>
          <w:lang w:eastAsia="zh-CN"/>
        </w:rPr>
        <w:t xml:space="preserve"> </w:t>
      </w:r>
      <w:r>
        <w:rPr>
          <w:rFonts w:ascii="宋体" w:hAnsi="宋体" w:eastAsia="宋体" w:cs="宋体"/>
          <w:color w:val="auto"/>
          <w:spacing w:val="-6"/>
          <w:sz w:val="24"/>
          <w:szCs w:val="24"/>
          <w:highlight w:val="none"/>
          <w:lang w:eastAsia="zh-CN"/>
        </w:rPr>
        <w:t>”查询联系。</w:t>
      </w:r>
    </w:p>
    <w:p w14:paraId="16C83267">
      <w:pPr>
        <w:spacing w:before="123" w:line="224" w:lineRule="auto"/>
        <w:ind w:left="2605"/>
        <w:outlineLvl w:val="0"/>
        <w:rPr>
          <w:rFonts w:ascii="宋体" w:hAnsi="宋体" w:eastAsia="宋体" w:cs="宋体"/>
          <w:color w:val="auto"/>
          <w:sz w:val="31"/>
          <w:szCs w:val="31"/>
          <w:highlight w:val="none"/>
          <w:lang w:eastAsia="zh-CN"/>
        </w:rPr>
      </w:pPr>
      <w:bookmarkStart w:id="137" w:name="_Toc10658"/>
      <w:r>
        <w:rPr>
          <w:rFonts w:ascii="宋体" w:hAnsi="宋体" w:eastAsia="宋体" w:cs="宋体"/>
          <w:b/>
          <w:bCs/>
          <w:color w:val="auto"/>
          <w:spacing w:val="7"/>
          <w:sz w:val="31"/>
          <w:szCs w:val="31"/>
          <w:highlight w:val="none"/>
          <w:lang w:eastAsia="zh-CN"/>
        </w:rPr>
        <w:t>焦作市政府采购合同融资合作企业</w:t>
      </w:r>
      <w:bookmarkEnd w:id="137"/>
    </w:p>
    <w:p w14:paraId="19FA18D1">
      <w:pPr>
        <w:spacing w:line="161" w:lineRule="exact"/>
        <w:rPr>
          <w:color w:val="auto"/>
          <w:highlight w:val="none"/>
          <w:lang w:eastAsia="zh-CN"/>
        </w:rPr>
      </w:pPr>
    </w:p>
    <w:tbl>
      <w:tblPr>
        <w:tblStyle w:val="19"/>
        <w:tblW w:w="1000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026"/>
        <w:gridCol w:w="1352"/>
        <w:gridCol w:w="2063"/>
        <w:gridCol w:w="2561"/>
      </w:tblGrid>
      <w:tr w14:paraId="46756C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7" w:hRule="atLeast"/>
        </w:trPr>
        <w:tc>
          <w:tcPr>
            <w:tcW w:w="4026" w:type="dxa"/>
          </w:tcPr>
          <w:p w14:paraId="14418C38">
            <w:pPr>
              <w:spacing w:before="233" w:line="222" w:lineRule="auto"/>
              <w:ind w:left="1723"/>
              <w:rPr>
                <w:rFonts w:ascii="黑体" w:hAnsi="黑体" w:eastAsia="黑体" w:cs="黑体"/>
                <w:color w:val="auto"/>
                <w:sz w:val="30"/>
                <w:szCs w:val="30"/>
                <w:highlight w:val="none"/>
              </w:rPr>
            </w:pPr>
            <w:r>
              <w:rPr>
                <w:rFonts w:ascii="黑体" w:hAnsi="黑体" w:eastAsia="黑体" w:cs="黑体"/>
                <w:color w:val="auto"/>
                <w:spacing w:val="-8"/>
                <w:sz w:val="30"/>
                <w:szCs w:val="30"/>
                <w:highlight w:val="none"/>
              </w:rPr>
              <w:t>名称</w:t>
            </w:r>
          </w:p>
        </w:tc>
        <w:tc>
          <w:tcPr>
            <w:tcW w:w="1352" w:type="dxa"/>
          </w:tcPr>
          <w:p w14:paraId="7EC447BC">
            <w:pPr>
              <w:spacing w:before="233" w:line="222" w:lineRule="auto"/>
              <w:ind w:left="235"/>
              <w:rPr>
                <w:rFonts w:ascii="黑体" w:hAnsi="黑体" w:eastAsia="黑体" w:cs="黑体"/>
                <w:color w:val="auto"/>
                <w:sz w:val="30"/>
                <w:szCs w:val="30"/>
                <w:highlight w:val="none"/>
              </w:rPr>
            </w:pPr>
            <w:r>
              <w:rPr>
                <w:rFonts w:ascii="黑体" w:hAnsi="黑体" w:eastAsia="黑体" w:cs="黑体"/>
                <w:color w:val="auto"/>
                <w:spacing w:val="-5"/>
                <w:sz w:val="30"/>
                <w:szCs w:val="30"/>
                <w:highlight w:val="none"/>
              </w:rPr>
              <w:t>联系人</w:t>
            </w:r>
          </w:p>
        </w:tc>
        <w:tc>
          <w:tcPr>
            <w:tcW w:w="2063" w:type="dxa"/>
          </w:tcPr>
          <w:p w14:paraId="247956C8">
            <w:pPr>
              <w:spacing w:before="233" w:line="222" w:lineRule="auto"/>
              <w:ind w:left="443"/>
              <w:rPr>
                <w:rFonts w:ascii="黑体" w:hAnsi="黑体" w:eastAsia="黑体" w:cs="黑体"/>
                <w:color w:val="auto"/>
                <w:sz w:val="30"/>
                <w:szCs w:val="30"/>
                <w:highlight w:val="none"/>
              </w:rPr>
            </w:pPr>
            <w:r>
              <w:rPr>
                <w:rFonts w:ascii="黑体" w:hAnsi="黑体" w:eastAsia="黑体" w:cs="黑体"/>
                <w:color w:val="auto"/>
                <w:spacing w:val="-4"/>
                <w:sz w:val="30"/>
                <w:szCs w:val="30"/>
                <w:highlight w:val="none"/>
              </w:rPr>
              <w:t>联系电话</w:t>
            </w:r>
          </w:p>
        </w:tc>
        <w:tc>
          <w:tcPr>
            <w:tcW w:w="2561" w:type="dxa"/>
          </w:tcPr>
          <w:p w14:paraId="3CD74ABC">
            <w:pPr>
              <w:spacing w:before="235" w:line="230" w:lineRule="auto"/>
              <w:ind w:left="989"/>
              <w:rPr>
                <w:rFonts w:ascii="黑体" w:hAnsi="黑体" w:eastAsia="黑体" w:cs="黑体"/>
                <w:color w:val="auto"/>
                <w:sz w:val="30"/>
                <w:szCs w:val="30"/>
                <w:highlight w:val="none"/>
              </w:rPr>
            </w:pPr>
            <w:r>
              <w:rPr>
                <w:rFonts w:ascii="黑体" w:hAnsi="黑体" w:eastAsia="黑体" w:cs="黑体"/>
                <w:color w:val="auto"/>
                <w:spacing w:val="-7"/>
                <w:sz w:val="30"/>
                <w:szCs w:val="30"/>
                <w:highlight w:val="none"/>
              </w:rPr>
              <w:t>地址</w:t>
            </w:r>
          </w:p>
        </w:tc>
      </w:tr>
      <w:tr w14:paraId="776A24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08" w:hRule="atLeast"/>
        </w:trPr>
        <w:tc>
          <w:tcPr>
            <w:tcW w:w="4026" w:type="dxa"/>
          </w:tcPr>
          <w:p w14:paraId="20F8781F">
            <w:pPr>
              <w:pStyle w:val="20"/>
              <w:spacing w:before="224" w:line="264" w:lineRule="auto"/>
              <w:ind w:left="118" w:right="1032" w:firstLine="22"/>
              <w:rPr>
                <w:color w:val="auto"/>
                <w:highlight w:val="none"/>
                <w:lang w:eastAsia="zh-CN"/>
              </w:rPr>
            </w:pPr>
            <w:r>
              <w:rPr>
                <w:color w:val="auto"/>
                <w:spacing w:val="-3"/>
                <w:highlight w:val="none"/>
                <w:lang w:eastAsia="zh-CN"/>
              </w:rPr>
              <w:t>中国农业银行股份有限公司</w:t>
            </w:r>
            <w:r>
              <w:rPr>
                <w:color w:val="auto"/>
                <w:spacing w:val="3"/>
                <w:highlight w:val="none"/>
                <w:lang w:eastAsia="zh-CN"/>
              </w:rPr>
              <w:t xml:space="preserve"> </w:t>
            </w:r>
            <w:r>
              <w:rPr>
                <w:color w:val="auto"/>
                <w:spacing w:val="-3"/>
                <w:highlight w:val="none"/>
                <w:lang w:eastAsia="zh-CN"/>
              </w:rPr>
              <w:t>焦作分行</w:t>
            </w:r>
          </w:p>
        </w:tc>
        <w:tc>
          <w:tcPr>
            <w:tcW w:w="1352" w:type="dxa"/>
          </w:tcPr>
          <w:p w14:paraId="648D9AEF">
            <w:pPr>
              <w:spacing w:line="303" w:lineRule="auto"/>
              <w:rPr>
                <w:color w:val="auto"/>
                <w:highlight w:val="none"/>
                <w:lang w:eastAsia="zh-CN"/>
              </w:rPr>
            </w:pPr>
          </w:p>
          <w:p w14:paraId="2862686E">
            <w:pPr>
              <w:pStyle w:val="20"/>
              <w:spacing w:before="78" w:line="220" w:lineRule="auto"/>
              <w:ind w:left="324"/>
              <w:rPr>
                <w:color w:val="auto"/>
                <w:highlight w:val="none"/>
              </w:rPr>
            </w:pPr>
            <w:r>
              <w:rPr>
                <w:color w:val="auto"/>
                <w:spacing w:val="-5"/>
                <w:highlight w:val="none"/>
              </w:rPr>
              <w:t>薛国战</w:t>
            </w:r>
          </w:p>
        </w:tc>
        <w:tc>
          <w:tcPr>
            <w:tcW w:w="2063" w:type="dxa"/>
          </w:tcPr>
          <w:p w14:paraId="7748F23C">
            <w:pPr>
              <w:pStyle w:val="20"/>
              <w:spacing w:before="230" w:line="184" w:lineRule="auto"/>
              <w:ind w:left="322"/>
              <w:rPr>
                <w:color w:val="auto"/>
                <w:highlight w:val="none"/>
              </w:rPr>
            </w:pPr>
            <w:r>
              <w:rPr>
                <w:color w:val="auto"/>
                <w:spacing w:val="-1"/>
                <w:highlight w:val="none"/>
              </w:rPr>
              <w:t>0391-2878039</w:t>
            </w:r>
          </w:p>
          <w:p w14:paraId="226D8728">
            <w:pPr>
              <w:pStyle w:val="20"/>
              <w:spacing w:before="140" w:line="184" w:lineRule="auto"/>
              <w:ind w:left="397"/>
              <w:rPr>
                <w:color w:val="auto"/>
                <w:highlight w:val="none"/>
              </w:rPr>
            </w:pPr>
            <w:r>
              <w:rPr>
                <w:color w:val="auto"/>
                <w:spacing w:val="-3"/>
                <w:highlight w:val="none"/>
              </w:rPr>
              <w:t>13839109026</w:t>
            </w:r>
          </w:p>
        </w:tc>
        <w:tc>
          <w:tcPr>
            <w:tcW w:w="2561" w:type="dxa"/>
          </w:tcPr>
          <w:p w14:paraId="4A7E7883">
            <w:pPr>
              <w:spacing w:line="303" w:lineRule="auto"/>
              <w:rPr>
                <w:color w:val="auto"/>
                <w:highlight w:val="none"/>
              </w:rPr>
            </w:pPr>
          </w:p>
          <w:p w14:paraId="25B8C720">
            <w:pPr>
              <w:pStyle w:val="20"/>
              <w:spacing w:before="78" w:line="219" w:lineRule="auto"/>
              <w:ind w:left="205"/>
              <w:rPr>
                <w:color w:val="auto"/>
                <w:highlight w:val="none"/>
              </w:rPr>
            </w:pPr>
            <w:r>
              <w:rPr>
                <w:color w:val="auto"/>
                <w:spacing w:val="-1"/>
                <w:highlight w:val="none"/>
              </w:rPr>
              <w:t>焦作市民主南路88号</w:t>
            </w:r>
          </w:p>
        </w:tc>
      </w:tr>
      <w:tr w14:paraId="042A50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3" w:hRule="atLeast"/>
        </w:trPr>
        <w:tc>
          <w:tcPr>
            <w:tcW w:w="4026" w:type="dxa"/>
          </w:tcPr>
          <w:p w14:paraId="66B378DB">
            <w:pPr>
              <w:pStyle w:val="20"/>
              <w:spacing w:before="284" w:line="219" w:lineRule="auto"/>
              <w:ind w:left="140"/>
              <w:rPr>
                <w:color w:val="auto"/>
                <w:highlight w:val="none"/>
                <w:lang w:eastAsia="zh-CN"/>
              </w:rPr>
            </w:pPr>
            <w:r>
              <w:rPr>
                <w:color w:val="auto"/>
                <w:spacing w:val="-3"/>
                <w:highlight w:val="none"/>
                <w:lang w:eastAsia="zh-CN"/>
              </w:rPr>
              <w:t>中国银行股份有限公司焦作分行</w:t>
            </w:r>
          </w:p>
        </w:tc>
        <w:tc>
          <w:tcPr>
            <w:tcW w:w="1352" w:type="dxa"/>
          </w:tcPr>
          <w:p w14:paraId="09C9BCC7">
            <w:pPr>
              <w:pStyle w:val="20"/>
              <w:spacing w:before="260" w:line="220" w:lineRule="auto"/>
              <w:ind w:left="444"/>
              <w:rPr>
                <w:color w:val="auto"/>
                <w:highlight w:val="none"/>
              </w:rPr>
            </w:pPr>
            <w:r>
              <w:rPr>
                <w:color w:val="auto"/>
                <w:spacing w:val="-7"/>
                <w:highlight w:val="none"/>
              </w:rPr>
              <w:t>曹阳</w:t>
            </w:r>
          </w:p>
        </w:tc>
        <w:tc>
          <w:tcPr>
            <w:tcW w:w="2063" w:type="dxa"/>
          </w:tcPr>
          <w:p w14:paraId="21597F24">
            <w:pPr>
              <w:pStyle w:val="20"/>
              <w:spacing w:before="107" w:line="184" w:lineRule="auto"/>
              <w:ind w:left="322"/>
              <w:rPr>
                <w:color w:val="auto"/>
                <w:highlight w:val="none"/>
              </w:rPr>
            </w:pPr>
            <w:r>
              <w:rPr>
                <w:color w:val="auto"/>
                <w:spacing w:val="-1"/>
                <w:highlight w:val="none"/>
              </w:rPr>
              <w:t>0391-8825171</w:t>
            </w:r>
          </w:p>
          <w:p w14:paraId="7DDB42CA">
            <w:pPr>
              <w:pStyle w:val="20"/>
              <w:spacing w:before="139" w:line="184" w:lineRule="auto"/>
              <w:ind w:left="397"/>
              <w:rPr>
                <w:color w:val="auto"/>
                <w:highlight w:val="none"/>
              </w:rPr>
            </w:pPr>
            <w:r>
              <w:rPr>
                <w:color w:val="auto"/>
                <w:spacing w:val="-3"/>
                <w:highlight w:val="none"/>
              </w:rPr>
              <w:t>13839118160</w:t>
            </w:r>
          </w:p>
        </w:tc>
        <w:tc>
          <w:tcPr>
            <w:tcW w:w="2561" w:type="dxa"/>
          </w:tcPr>
          <w:p w14:paraId="6CAF64EC">
            <w:pPr>
              <w:pStyle w:val="20"/>
              <w:spacing w:before="260" w:line="219" w:lineRule="auto"/>
              <w:ind w:left="265"/>
              <w:rPr>
                <w:color w:val="auto"/>
                <w:highlight w:val="none"/>
              </w:rPr>
            </w:pPr>
            <w:r>
              <w:rPr>
                <w:color w:val="auto"/>
                <w:spacing w:val="-1"/>
                <w:highlight w:val="none"/>
              </w:rPr>
              <w:t>焦作市丰收路159号</w:t>
            </w:r>
          </w:p>
        </w:tc>
      </w:tr>
      <w:tr w14:paraId="746C72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5" w:hRule="atLeast"/>
        </w:trPr>
        <w:tc>
          <w:tcPr>
            <w:tcW w:w="4026" w:type="dxa"/>
          </w:tcPr>
          <w:p w14:paraId="1C433661">
            <w:pPr>
              <w:pStyle w:val="20"/>
              <w:spacing w:before="85" w:line="242" w:lineRule="auto"/>
              <w:ind w:left="122" w:right="105" w:firstLine="18"/>
              <w:rPr>
                <w:color w:val="auto"/>
                <w:highlight w:val="none"/>
                <w:lang w:eastAsia="zh-CN"/>
              </w:rPr>
            </w:pPr>
            <w:r>
              <w:rPr>
                <w:color w:val="auto"/>
                <w:spacing w:val="11"/>
                <w:highlight w:val="none"/>
                <w:lang w:eastAsia="zh-CN"/>
              </w:rPr>
              <w:t>中国建设银行股份有限公司焦作分</w:t>
            </w:r>
            <w:r>
              <w:rPr>
                <w:color w:val="auto"/>
                <w:spacing w:val="8"/>
                <w:highlight w:val="none"/>
                <w:lang w:eastAsia="zh-CN"/>
              </w:rPr>
              <w:t xml:space="preserve"> </w:t>
            </w:r>
            <w:r>
              <w:rPr>
                <w:color w:val="auto"/>
                <w:highlight w:val="none"/>
                <w:lang w:eastAsia="zh-CN"/>
              </w:rPr>
              <w:t>行</w:t>
            </w:r>
          </w:p>
        </w:tc>
        <w:tc>
          <w:tcPr>
            <w:tcW w:w="1352" w:type="dxa"/>
          </w:tcPr>
          <w:p w14:paraId="28593D98">
            <w:pPr>
              <w:pStyle w:val="20"/>
              <w:spacing w:before="265" w:line="220" w:lineRule="auto"/>
              <w:ind w:left="322"/>
              <w:rPr>
                <w:color w:val="auto"/>
                <w:highlight w:val="none"/>
              </w:rPr>
            </w:pPr>
            <w:r>
              <w:rPr>
                <w:color w:val="auto"/>
                <w:spacing w:val="-4"/>
                <w:highlight w:val="none"/>
              </w:rPr>
              <w:t>李华莹</w:t>
            </w:r>
          </w:p>
        </w:tc>
        <w:tc>
          <w:tcPr>
            <w:tcW w:w="2063" w:type="dxa"/>
          </w:tcPr>
          <w:p w14:paraId="04E98495">
            <w:pPr>
              <w:pStyle w:val="20"/>
              <w:spacing w:before="301" w:line="184" w:lineRule="auto"/>
              <w:ind w:left="322"/>
              <w:rPr>
                <w:color w:val="auto"/>
                <w:highlight w:val="none"/>
              </w:rPr>
            </w:pPr>
            <w:r>
              <w:rPr>
                <w:color w:val="auto"/>
                <w:spacing w:val="-1"/>
                <w:highlight w:val="none"/>
              </w:rPr>
              <w:t>0391-3918471</w:t>
            </w:r>
          </w:p>
        </w:tc>
        <w:tc>
          <w:tcPr>
            <w:tcW w:w="2561" w:type="dxa"/>
          </w:tcPr>
          <w:p w14:paraId="0D506102">
            <w:pPr>
              <w:pStyle w:val="20"/>
              <w:spacing w:before="265" w:line="219" w:lineRule="auto"/>
              <w:ind w:left="117"/>
              <w:rPr>
                <w:color w:val="auto"/>
                <w:highlight w:val="none"/>
              </w:rPr>
            </w:pPr>
            <w:r>
              <w:rPr>
                <w:color w:val="auto"/>
                <w:spacing w:val="5"/>
                <w:highlight w:val="none"/>
              </w:rPr>
              <w:t>焦作市建设东路152号</w:t>
            </w:r>
          </w:p>
        </w:tc>
      </w:tr>
      <w:tr w14:paraId="53CB70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4026" w:type="dxa"/>
          </w:tcPr>
          <w:p w14:paraId="171BB592">
            <w:pPr>
              <w:pStyle w:val="20"/>
              <w:spacing w:before="104" w:line="249" w:lineRule="auto"/>
              <w:ind w:left="119" w:right="105" w:firstLine="21"/>
              <w:rPr>
                <w:color w:val="auto"/>
                <w:highlight w:val="none"/>
                <w:lang w:eastAsia="zh-CN"/>
              </w:rPr>
            </w:pPr>
            <w:r>
              <w:rPr>
                <w:color w:val="auto"/>
                <w:spacing w:val="11"/>
                <w:highlight w:val="none"/>
                <w:lang w:eastAsia="zh-CN"/>
              </w:rPr>
              <w:t>中国邮政储蓄银行股份有限公司焦</w:t>
            </w:r>
            <w:r>
              <w:rPr>
                <w:color w:val="auto"/>
                <w:spacing w:val="8"/>
                <w:highlight w:val="none"/>
                <w:lang w:eastAsia="zh-CN"/>
              </w:rPr>
              <w:t xml:space="preserve"> </w:t>
            </w:r>
            <w:r>
              <w:rPr>
                <w:color w:val="auto"/>
                <w:spacing w:val="-3"/>
                <w:highlight w:val="none"/>
                <w:lang w:eastAsia="zh-CN"/>
              </w:rPr>
              <w:t>作市分行</w:t>
            </w:r>
          </w:p>
        </w:tc>
        <w:tc>
          <w:tcPr>
            <w:tcW w:w="1352" w:type="dxa"/>
          </w:tcPr>
          <w:p w14:paraId="2EA1EEB9">
            <w:pPr>
              <w:pStyle w:val="20"/>
              <w:spacing w:before="260" w:line="219" w:lineRule="auto"/>
              <w:ind w:left="322"/>
              <w:rPr>
                <w:color w:val="auto"/>
                <w:highlight w:val="none"/>
              </w:rPr>
            </w:pPr>
            <w:r>
              <w:rPr>
                <w:color w:val="auto"/>
                <w:spacing w:val="-4"/>
                <w:highlight w:val="none"/>
              </w:rPr>
              <w:t>李天祥</w:t>
            </w:r>
          </w:p>
        </w:tc>
        <w:tc>
          <w:tcPr>
            <w:tcW w:w="2063" w:type="dxa"/>
          </w:tcPr>
          <w:p w14:paraId="2ECCB1AC">
            <w:pPr>
              <w:pStyle w:val="20"/>
              <w:spacing w:before="109" w:line="184" w:lineRule="auto"/>
              <w:ind w:left="322"/>
              <w:rPr>
                <w:color w:val="auto"/>
                <w:highlight w:val="none"/>
              </w:rPr>
            </w:pPr>
            <w:r>
              <w:rPr>
                <w:color w:val="auto"/>
                <w:spacing w:val="-1"/>
                <w:highlight w:val="none"/>
              </w:rPr>
              <w:t>0391-2981968</w:t>
            </w:r>
          </w:p>
          <w:p w14:paraId="678393FC">
            <w:pPr>
              <w:pStyle w:val="20"/>
              <w:spacing w:before="137" w:line="184" w:lineRule="auto"/>
              <w:ind w:left="397"/>
              <w:rPr>
                <w:color w:val="auto"/>
                <w:highlight w:val="none"/>
              </w:rPr>
            </w:pPr>
            <w:r>
              <w:rPr>
                <w:color w:val="auto"/>
                <w:spacing w:val="-3"/>
                <w:highlight w:val="none"/>
              </w:rPr>
              <w:t>13523359082</w:t>
            </w:r>
          </w:p>
        </w:tc>
        <w:tc>
          <w:tcPr>
            <w:tcW w:w="2561" w:type="dxa"/>
          </w:tcPr>
          <w:p w14:paraId="2F70C85A">
            <w:pPr>
              <w:pStyle w:val="20"/>
              <w:spacing w:before="73" w:line="261" w:lineRule="auto"/>
              <w:ind w:left="1170" w:right="199" w:hanging="965"/>
              <w:rPr>
                <w:color w:val="auto"/>
                <w:highlight w:val="none"/>
              </w:rPr>
            </w:pPr>
            <w:r>
              <w:rPr>
                <w:color w:val="auto"/>
                <w:spacing w:val="-1"/>
                <w:highlight w:val="none"/>
              </w:rPr>
              <w:t>焦作市丰收中路2233</w:t>
            </w:r>
            <w:r>
              <w:rPr>
                <w:color w:val="auto"/>
                <w:highlight w:val="none"/>
              </w:rPr>
              <w:t xml:space="preserve"> 号</w:t>
            </w:r>
          </w:p>
        </w:tc>
      </w:tr>
      <w:tr w14:paraId="45185C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3" w:hRule="atLeast"/>
        </w:trPr>
        <w:tc>
          <w:tcPr>
            <w:tcW w:w="4026" w:type="dxa"/>
          </w:tcPr>
          <w:p w14:paraId="0366E84C">
            <w:pPr>
              <w:pStyle w:val="20"/>
              <w:spacing w:before="285" w:line="219" w:lineRule="auto"/>
              <w:ind w:left="118"/>
              <w:rPr>
                <w:color w:val="auto"/>
                <w:highlight w:val="none"/>
                <w:lang w:eastAsia="zh-CN"/>
              </w:rPr>
            </w:pPr>
            <w:r>
              <w:rPr>
                <w:color w:val="auto"/>
                <w:spacing w:val="-1"/>
                <w:highlight w:val="none"/>
                <w:lang w:eastAsia="zh-CN"/>
              </w:rPr>
              <w:t>焦作中旅银行股份有限公司</w:t>
            </w:r>
          </w:p>
        </w:tc>
        <w:tc>
          <w:tcPr>
            <w:tcW w:w="1352" w:type="dxa"/>
          </w:tcPr>
          <w:p w14:paraId="59EC4229">
            <w:pPr>
              <w:pStyle w:val="20"/>
              <w:spacing w:before="261" w:line="219" w:lineRule="auto"/>
              <w:ind w:left="321"/>
              <w:rPr>
                <w:color w:val="auto"/>
                <w:highlight w:val="none"/>
              </w:rPr>
            </w:pPr>
            <w:r>
              <w:rPr>
                <w:color w:val="auto"/>
                <w:spacing w:val="-4"/>
                <w:highlight w:val="none"/>
              </w:rPr>
              <w:t>周建林</w:t>
            </w:r>
          </w:p>
        </w:tc>
        <w:tc>
          <w:tcPr>
            <w:tcW w:w="2063" w:type="dxa"/>
          </w:tcPr>
          <w:p w14:paraId="16C2F062">
            <w:pPr>
              <w:pStyle w:val="20"/>
              <w:spacing w:before="110" w:line="184" w:lineRule="auto"/>
              <w:ind w:left="322"/>
              <w:rPr>
                <w:color w:val="auto"/>
                <w:highlight w:val="none"/>
              </w:rPr>
            </w:pPr>
            <w:r>
              <w:rPr>
                <w:color w:val="auto"/>
                <w:spacing w:val="-1"/>
                <w:highlight w:val="none"/>
              </w:rPr>
              <w:t>0391-2116963</w:t>
            </w:r>
          </w:p>
          <w:p w14:paraId="7C6490B0">
            <w:pPr>
              <w:pStyle w:val="20"/>
              <w:spacing w:before="137" w:line="184" w:lineRule="auto"/>
              <w:ind w:left="397"/>
              <w:rPr>
                <w:color w:val="auto"/>
                <w:highlight w:val="none"/>
              </w:rPr>
            </w:pPr>
            <w:r>
              <w:rPr>
                <w:color w:val="auto"/>
                <w:spacing w:val="-3"/>
                <w:highlight w:val="none"/>
              </w:rPr>
              <w:t>15893053027</w:t>
            </w:r>
          </w:p>
        </w:tc>
        <w:tc>
          <w:tcPr>
            <w:tcW w:w="2561" w:type="dxa"/>
          </w:tcPr>
          <w:p w14:paraId="089AD4E6">
            <w:pPr>
              <w:pStyle w:val="20"/>
              <w:spacing w:before="74" w:line="261" w:lineRule="auto"/>
              <w:ind w:left="1170" w:right="139" w:hanging="1025"/>
              <w:rPr>
                <w:color w:val="auto"/>
                <w:highlight w:val="none"/>
                <w:lang w:eastAsia="zh-CN"/>
              </w:rPr>
            </w:pPr>
            <w:r>
              <w:rPr>
                <w:color w:val="auto"/>
                <w:spacing w:val="-1"/>
                <w:highlight w:val="none"/>
                <w:lang w:eastAsia="zh-CN"/>
              </w:rPr>
              <w:t>焦作市山阳区迎宾路1</w:t>
            </w:r>
            <w:r>
              <w:rPr>
                <w:color w:val="auto"/>
                <w:highlight w:val="none"/>
                <w:lang w:eastAsia="zh-CN"/>
              </w:rPr>
              <w:t xml:space="preserve"> 号</w:t>
            </w:r>
          </w:p>
        </w:tc>
      </w:tr>
      <w:tr w14:paraId="0C3B10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8" w:hRule="atLeast"/>
        </w:trPr>
        <w:tc>
          <w:tcPr>
            <w:tcW w:w="4026" w:type="dxa"/>
          </w:tcPr>
          <w:p w14:paraId="03FEAF4A">
            <w:pPr>
              <w:spacing w:line="299" w:lineRule="auto"/>
              <w:rPr>
                <w:color w:val="auto"/>
                <w:highlight w:val="none"/>
                <w:lang w:eastAsia="zh-CN"/>
              </w:rPr>
            </w:pPr>
          </w:p>
          <w:p w14:paraId="12B92885">
            <w:pPr>
              <w:pStyle w:val="20"/>
              <w:spacing w:before="78" w:line="219" w:lineRule="auto"/>
              <w:ind w:left="140"/>
              <w:rPr>
                <w:color w:val="auto"/>
                <w:highlight w:val="none"/>
                <w:lang w:eastAsia="zh-CN"/>
              </w:rPr>
            </w:pPr>
            <w:r>
              <w:rPr>
                <w:color w:val="auto"/>
                <w:spacing w:val="-3"/>
                <w:highlight w:val="none"/>
                <w:lang w:eastAsia="zh-CN"/>
              </w:rPr>
              <w:t>中信银行股份有限公司焦作分行</w:t>
            </w:r>
          </w:p>
        </w:tc>
        <w:tc>
          <w:tcPr>
            <w:tcW w:w="1352" w:type="dxa"/>
          </w:tcPr>
          <w:p w14:paraId="2BE4F1D6">
            <w:pPr>
              <w:spacing w:line="299" w:lineRule="auto"/>
              <w:rPr>
                <w:color w:val="auto"/>
                <w:highlight w:val="none"/>
                <w:lang w:eastAsia="zh-CN"/>
              </w:rPr>
            </w:pPr>
          </w:p>
          <w:p w14:paraId="7A4D2900">
            <w:pPr>
              <w:pStyle w:val="20"/>
              <w:spacing w:before="78" w:line="222" w:lineRule="auto"/>
              <w:ind w:left="321"/>
              <w:rPr>
                <w:color w:val="auto"/>
                <w:highlight w:val="none"/>
              </w:rPr>
            </w:pPr>
            <w:r>
              <w:rPr>
                <w:color w:val="auto"/>
                <w:spacing w:val="-4"/>
                <w:highlight w:val="none"/>
              </w:rPr>
              <w:t>周江江</w:t>
            </w:r>
          </w:p>
        </w:tc>
        <w:tc>
          <w:tcPr>
            <w:tcW w:w="2063" w:type="dxa"/>
          </w:tcPr>
          <w:p w14:paraId="1885A76C">
            <w:pPr>
              <w:spacing w:line="335" w:lineRule="auto"/>
              <w:rPr>
                <w:color w:val="auto"/>
                <w:highlight w:val="none"/>
              </w:rPr>
            </w:pPr>
          </w:p>
          <w:p w14:paraId="5D5C8DE8">
            <w:pPr>
              <w:pStyle w:val="20"/>
              <w:spacing w:before="78" w:line="184" w:lineRule="auto"/>
              <w:ind w:left="397"/>
              <w:rPr>
                <w:color w:val="auto"/>
                <w:highlight w:val="none"/>
              </w:rPr>
            </w:pPr>
            <w:r>
              <w:rPr>
                <w:color w:val="auto"/>
                <w:spacing w:val="-3"/>
                <w:highlight w:val="none"/>
              </w:rPr>
              <w:t>17639185001</w:t>
            </w:r>
          </w:p>
        </w:tc>
        <w:tc>
          <w:tcPr>
            <w:tcW w:w="2561" w:type="dxa"/>
          </w:tcPr>
          <w:p w14:paraId="084DB271">
            <w:pPr>
              <w:pStyle w:val="20"/>
              <w:spacing w:before="197" w:line="264" w:lineRule="auto"/>
              <w:ind w:left="119" w:right="108" w:hanging="2"/>
              <w:rPr>
                <w:color w:val="auto"/>
                <w:highlight w:val="none"/>
                <w:lang w:eastAsia="zh-CN"/>
              </w:rPr>
            </w:pPr>
            <w:r>
              <w:rPr>
                <w:color w:val="auto"/>
                <w:spacing w:val="-1"/>
                <w:highlight w:val="none"/>
                <w:lang w:eastAsia="zh-CN"/>
              </w:rPr>
              <w:t>焦作市塔南路</w:t>
            </w:r>
            <w:r>
              <w:rPr>
                <w:color w:val="auto"/>
                <w:spacing w:val="-22"/>
                <w:highlight w:val="none"/>
                <w:lang w:eastAsia="zh-CN"/>
              </w:rPr>
              <w:t xml:space="preserve"> </w:t>
            </w:r>
            <w:r>
              <w:rPr>
                <w:color w:val="auto"/>
                <w:spacing w:val="-1"/>
                <w:highlight w:val="none"/>
                <w:lang w:eastAsia="zh-CN"/>
              </w:rPr>
              <w:t>1736</w:t>
            </w:r>
            <w:r>
              <w:rPr>
                <w:color w:val="auto"/>
                <w:spacing w:val="-38"/>
                <w:highlight w:val="none"/>
                <w:lang w:eastAsia="zh-CN"/>
              </w:rPr>
              <w:t xml:space="preserve"> </w:t>
            </w:r>
            <w:r>
              <w:rPr>
                <w:color w:val="auto"/>
                <w:spacing w:val="-1"/>
                <w:highlight w:val="none"/>
                <w:lang w:eastAsia="zh-CN"/>
              </w:rPr>
              <w:t>号</w:t>
            </w:r>
            <w:r>
              <w:rPr>
                <w:color w:val="auto"/>
                <w:highlight w:val="none"/>
                <w:lang w:eastAsia="zh-CN"/>
              </w:rPr>
              <w:t xml:space="preserve"> </w:t>
            </w:r>
            <w:r>
              <w:rPr>
                <w:color w:val="auto"/>
                <w:spacing w:val="-3"/>
                <w:highlight w:val="none"/>
                <w:lang w:eastAsia="zh-CN"/>
              </w:rPr>
              <w:t>嘉隆国际中心</w:t>
            </w:r>
          </w:p>
        </w:tc>
      </w:tr>
      <w:tr w14:paraId="39A5F0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3" w:hRule="atLeast"/>
        </w:trPr>
        <w:tc>
          <w:tcPr>
            <w:tcW w:w="4026" w:type="dxa"/>
          </w:tcPr>
          <w:p w14:paraId="11A96F47">
            <w:pPr>
              <w:pStyle w:val="20"/>
              <w:spacing w:before="105" w:line="249" w:lineRule="auto"/>
              <w:ind w:left="122" w:right="105" w:firstLine="18"/>
              <w:rPr>
                <w:color w:val="auto"/>
                <w:highlight w:val="none"/>
                <w:lang w:eastAsia="zh-CN"/>
              </w:rPr>
            </w:pPr>
            <w:r>
              <w:rPr>
                <w:color w:val="auto"/>
                <w:spacing w:val="11"/>
                <w:highlight w:val="none"/>
                <w:lang w:eastAsia="zh-CN"/>
              </w:rPr>
              <w:t>中国光大银行股份有限公司焦作分</w:t>
            </w:r>
            <w:r>
              <w:rPr>
                <w:color w:val="auto"/>
                <w:spacing w:val="8"/>
                <w:highlight w:val="none"/>
                <w:lang w:eastAsia="zh-CN"/>
              </w:rPr>
              <w:t xml:space="preserve"> </w:t>
            </w:r>
            <w:r>
              <w:rPr>
                <w:color w:val="auto"/>
                <w:highlight w:val="none"/>
                <w:lang w:eastAsia="zh-CN"/>
              </w:rPr>
              <w:t>行</w:t>
            </w:r>
          </w:p>
        </w:tc>
        <w:tc>
          <w:tcPr>
            <w:tcW w:w="1352" w:type="dxa"/>
          </w:tcPr>
          <w:p w14:paraId="6318D155">
            <w:pPr>
              <w:pStyle w:val="20"/>
              <w:spacing w:before="263" w:line="220" w:lineRule="auto"/>
              <w:ind w:left="322"/>
              <w:rPr>
                <w:color w:val="auto"/>
                <w:highlight w:val="none"/>
              </w:rPr>
            </w:pPr>
            <w:r>
              <w:rPr>
                <w:color w:val="auto"/>
                <w:spacing w:val="-4"/>
                <w:highlight w:val="none"/>
              </w:rPr>
              <w:t>王海宾</w:t>
            </w:r>
          </w:p>
        </w:tc>
        <w:tc>
          <w:tcPr>
            <w:tcW w:w="2063" w:type="dxa"/>
          </w:tcPr>
          <w:p w14:paraId="1F30F393">
            <w:pPr>
              <w:pStyle w:val="20"/>
              <w:spacing w:before="110" w:line="184" w:lineRule="auto"/>
              <w:ind w:left="322"/>
              <w:rPr>
                <w:color w:val="auto"/>
                <w:highlight w:val="none"/>
              </w:rPr>
            </w:pPr>
            <w:r>
              <w:rPr>
                <w:color w:val="auto"/>
                <w:spacing w:val="-1"/>
                <w:highlight w:val="none"/>
              </w:rPr>
              <w:t>0391-8787996</w:t>
            </w:r>
          </w:p>
          <w:p w14:paraId="1410C5F0">
            <w:pPr>
              <w:pStyle w:val="20"/>
              <w:spacing w:before="139" w:line="184" w:lineRule="auto"/>
              <w:ind w:left="397"/>
              <w:rPr>
                <w:color w:val="auto"/>
                <w:highlight w:val="none"/>
              </w:rPr>
            </w:pPr>
            <w:r>
              <w:rPr>
                <w:color w:val="auto"/>
                <w:spacing w:val="-3"/>
                <w:highlight w:val="none"/>
              </w:rPr>
              <w:t>13598534626</w:t>
            </w:r>
          </w:p>
        </w:tc>
        <w:tc>
          <w:tcPr>
            <w:tcW w:w="2561" w:type="dxa"/>
          </w:tcPr>
          <w:p w14:paraId="052758E4">
            <w:pPr>
              <w:pStyle w:val="20"/>
              <w:spacing w:before="263" w:line="219" w:lineRule="auto"/>
              <w:ind w:left="205"/>
              <w:rPr>
                <w:color w:val="auto"/>
                <w:highlight w:val="none"/>
              </w:rPr>
            </w:pPr>
            <w:r>
              <w:rPr>
                <w:color w:val="auto"/>
                <w:spacing w:val="-1"/>
                <w:highlight w:val="none"/>
              </w:rPr>
              <w:t>焦作市塔南路1736号</w:t>
            </w:r>
          </w:p>
        </w:tc>
      </w:tr>
      <w:tr w14:paraId="323460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3" w:hRule="atLeast"/>
        </w:trPr>
        <w:tc>
          <w:tcPr>
            <w:tcW w:w="4026" w:type="dxa"/>
          </w:tcPr>
          <w:p w14:paraId="57297824">
            <w:pPr>
              <w:spacing w:line="291" w:lineRule="auto"/>
              <w:rPr>
                <w:color w:val="auto"/>
                <w:highlight w:val="none"/>
                <w:lang w:eastAsia="zh-CN"/>
              </w:rPr>
            </w:pPr>
          </w:p>
          <w:p w14:paraId="59287F04">
            <w:pPr>
              <w:pStyle w:val="20"/>
              <w:spacing w:before="78" w:line="219" w:lineRule="auto"/>
              <w:ind w:left="140"/>
              <w:rPr>
                <w:color w:val="auto"/>
                <w:highlight w:val="none"/>
                <w:lang w:eastAsia="zh-CN"/>
              </w:rPr>
            </w:pPr>
            <w:r>
              <w:rPr>
                <w:color w:val="auto"/>
                <w:spacing w:val="-3"/>
                <w:highlight w:val="none"/>
                <w:lang w:eastAsia="zh-CN"/>
              </w:rPr>
              <w:t>中原银行股份有限公司焦作分行</w:t>
            </w:r>
          </w:p>
        </w:tc>
        <w:tc>
          <w:tcPr>
            <w:tcW w:w="1352" w:type="dxa"/>
          </w:tcPr>
          <w:p w14:paraId="0CB5CB6B">
            <w:pPr>
              <w:spacing w:line="270" w:lineRule="auto"/>
              <w:rPr>
                <w:color w:val="auto"/>
                <w:highlight w:val="none"/>
                <w:lang w:eastAsia="zh-CN"/>
              </w:rPr>
            </w:pPr>
          </w:p>
          <w:p w14:paraId="7CAABAFF">
            <w:pPr>
              <w:pStyle w:val="20"/>
              <w:spacing w:before="78" w:line="219" w:lineRule="auto"/>
              <w:ind w:left="440"/>
              <w:rPr>
                <w:color w:val="auto"/>
                <w:highlight w:val="none"/>
              </w:rPr>
            </w:pPr>
            <w:r>
              <w:rPr>
                <w:color w:val="auto"/>
                <w:spacing w:val="-5"/>
                <w:highlight w:val="none"/>
              </w:rPr>
              <w:t>赵伟</w:t>
            </w:r>
          </w:p>
        </w:tc>
        <w:tc>
          <w:tcPr>
            <w:tcW w:w="2063" w:type="dxa"/>
          </w:tcPr>
          <w:p w14:paraId="16DE6F11">
            <w:pPr>
              <w:pStyle w:val="20"/>
              <w:spacing w:before="194" w:line="184" w:lineRule="auto"/>
              <w:ind w:left="322"/>
              <w:rPr>
                <w:color w:val="auto"/>
                <w:highlight w:val="none"/>
              </w:rPr>
            </w:pPr>
            <w:r>
              <w:rPr>
                <w:color w:val="auto"/>
                <w:spacing w:val="-1"/>
                <w:highlight w:val="none"/>
              </w:rPr>
              <w:t>0391-8796520</w:t>
            </w:r>
          </w:p>
          <w:p w14:paraId="1E56DC29">
            <w:pPr>
              <w:pStyle w:val="20"/>
              <w:spacing w:before="139" w:line="184" w:lineRule="auto"/>
              <w:ind w:left="397"/>
              <w:rPr>
                <w:color w:val="auto"/>
                <w:highlight w:val="none"/>
              </w:rPr>
            </w:pPr>
            <w:r>
              <w:rPr>
                <w:color w:val="auto"/>
                <w:spacing w:val="-3"/>
                <w:highlight w:val="none"/>
              </w:rPr>
              <w:t>15738533033</w:t>
            </w:r>
          </w:p>
        </w:tc>
        <w:tc>
          <w:tcPr>
            <w:tcW w:w="2561" w:type="dxa"/>
          </w:tcPr>
          <w:p w14:paraId="29A07769">
            <w:pPr>
              <w:pStyle w:val="20"/>
              <w:spacing w:before="157" w:line="279" w:lineRule="auto"/>
              <w:ind w:left="984" w:right="199" w:hanging="779"/>
              <w:rPr>
                <w:color w:val="auto"/>
                <w:highlight w:val="none"/>
                <w:lang w:eastAsia="zh-CN"/>
              </w:rPr>
            </w:pPr>
            <w:r>
              <w:rPr>
                <w:color w:val="auto"/>
                <w:spacing w:val="-2"/>
                <w:highlight w:val="none"/>
                <w:lang w:eastAsia="zh-CN"/>
              </w:rPr>
              <w:t>焦作市解放区人民路</w:t>
            </w:r>
            <w:r>
              <w:rPr>
                <w:color w:val="auto"/>
                <w:spacing w:val="7"/>
                <w:highlight w:val="none"/>
                <w:lang w:eastAsia="zh-CN"/>
              </w:rPr>
              <w:t xml:space="preserve"> </w:t>
            </w:r>
            <w:r>
              <w:rPr>
                <w:color w:val="auto"/>
                <w:spacing w:val="-3"/>
                <w:highlight w:val="none"/>
                <w:lang w:eastAsia="zh-CN"/>
              </w:rPr>
              <w:t>479号</w:t>
            </w:r>
          </w:p>
        </w:tc>
      </w:tr>
      <w:tr w14:paraId="3C78E3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7" w:hRule="atLeast"/>
        </w:trPr>
        <w:tc>
          <w:tcPr>
            <w:tcW w:w="4026" w:type="dxa"/>
          </w:tcPr>
          <w:p w14:paraId="318170F7">
            <w:pPr>
              <w:pStyle w:val="20"/>
              <w:spacing w:before="288" w:line="219" w:lineRule="auto"/>
              <w:ind w:left="118"/>
              <w:rPr>
                <w:color w:val="auto"/>
                <w:highlight w:val="none"/>
                <w:lang w:eastAsia="zh-CN"/>
              </w:rPr>
            </w:pPr>
            <w:r>
              <w:rPr>
                <w:color w:val="auto"/>
                <w:spacing w:val="-1"/>
                <w:highlight w:val="none"/>
                <w:lang w:eastAsia="zh-CN"/>
              </w:rPr>
              <w:t>广发银行股份有限公司焦作分行</w:t>
            </w:r>
          </w:p>
        </w:tc>
        <w:tc>
          <w:tcPr>
            <w:tcW w:w="1352" w:type="dxa"/>
          </w:tcPr>
          <w:p w14:paraId="3A22F8AC">
            <w:pPr>
              <w:pStyle w:val="20"/>
              <w:spacing w:before="263" w:line="220" w:lineRule="auto"/>
              <w:ind w:left="326"/>
              <w:rPr>
                <w:color w:val="auto"/>
                <w:highlight w:val="none"/>
              </w:rPr>
            </w:pPr>
            <w:r>
              <w:rPr>
                <w:color w:val="auto"/>
                <w:spacing w:val="-6"/>
                <w:highlight w:val="none"/>
              </w:rPr>
              <w:t>张嘉强</w:t>
            </w:r>
          </w:p>
        </w:tc>
        <w:tc>
          <w:tcPr>
            <w:tcW w:w="2063" w:type="dxa"/>
          </w:tcPr>
          <w:p w14:paraId="7742D783">
            <w:pPr>
              <w:pStyle w:val="20"/>
              <w:spacing w:before="110" w:line="184" w:lineRule="auto"/>
              <w:ind w:left="382"/>
              <w:rPr>
                <w:color w:val="auto"/>
                <w:highlight w:val="none"/>
              </w:rPr>
            </w:pPr>
            <w:r>
              <w:rPr>
                <w:color w:val="auto"/>
                <w:spacing w:val="-2"/>
                <w:highlight w:val="none"/>
              </w:rPr>
              <w:t>0391-653785</w:t>
            </w:r>
          </w:p>
          <w:p w14:paraId="6803EC35">
            <w:pPr>
              <w:pStyle w:val="20"/>
              <w:spacing w:before="140" w:line="184" w:lineRule="auto"/>
              <w:ind w:left="397"/>
              <w:rPr>
                <w:color w:val="auto"/>
                <w:highlight w:val="none"/>
              </w:rPr>
            </w:pPr>
            <w:r>
              <w:rPr>
                <w:color w:val="auto"/>
                <w:spacing w:val="-3"/>
                <w:highlight w:val="none"/>
              </w:rPr>
              <w:t>13203910032</w:t>
            </w:r>
          </w:p>
        </w:tc>
        <w:tc>
          <w:tcPr>
            <w:tcW w:w="2561" w:type="dxa"/>
          </w:tcPr>
          <w:p w14:paraId="19D46238">
            <w:pPr>
              <w:pStyle w:val="20"/>
              <w:spacing w:before="73" w:line="263" w:lineRule="auto"/>
              <w:ind w:left="567" w:right="199" w:hanging="362"/>
              <w:rPr>
                <w:color w:val="auto"/>
                <w:highlight w:val="none"/>
                <w:lang w:eastAsia="zh-CN"/>
              </w:rPr>
            </w:pPr>
            <w:r>
              <w:rPr>
                <w:color w:val="auto"/>
                <w:spacing w:val="-1"/>
                <w:highlight w:val="none"/>
                <w:lang w:eastAsia="zh-CN"/>
              </w:rPr>
              <w:t>焦作市塔南路1736号</w:t>
            </w:r>
            <w:r>
              <w:rPr>
                <w:color w:val="auto"/>
                <w:highlight w:val="none"/>
                <w:lang w:eastAsia="zh-CN"/>
              </w:rPr>
              <w:t xml:space="preserve"> </w:t>
            </w:r>
            <w:r>
              <w:rPr>
                <w:color w:val="auto"/>
                <w:spacing w:val="-3"/>
                <w:highlight w:val="none"/>
                <w:lang w:eastAsia="zh-CN"/>
              </w:rPr>
              <w:t>嘉隆金融中心</w:t>
            </w:r>
          </w:p>
        </w:tc>
      </w:tr>
    </w:tbl>
    <w:p w14:paraId="5BFD0492">
      <w:pPr>
        <w:spacing w:before="69" w:line="278" w:lineRule="auto"/>
        <w:ind w:left="607" w:right="598" w:firstLine="3"/>
        <w:rPr>
          <w:rFonts w:ascii="宋体" w:hAnsi="宋体" w:eastAsia="宋体" w:cs="宋体"/>
          <w:color w:val="auto"/>
          <w:sz w:val="24"/>
          <w:szCs w:val="24"/>
          <w:highlight w:val="none"/>
          <w:lang w:eastAsia="zh-CN"/>
        </w:rPr>
      </w:pPr>
      <w:r>
        <w:rPr>
          <w:rFonts w:ascii="宋体" w:hAnsi="宋体" w:eastAsia="宋体" w:cs="宋体"/>
          <w:color w:val="auto"/>
          <w:spacing w:val="-2"/>
          <w:sz w:val="24"/>
          <w:szCs w:val="24"/>
          <w:highlight w:val="none"/>
          <w:lang w:eastAsia="zh-CN"/>
        </w:rPr>
        <w:t>备注：融资服务机构名单和人员联系方式会随时变化。具体情况</w:t>
      </w:r>
      <w:r>
        <w:rPr>
          <w:rFonts w:ascii="宋体" w:hAnsi="宋体" w:eastAsia="宋体" w:cs="宋体"/>
          <w:color w:val="auto"/>
          <w:spacing w:val="-3"/>
          <w:sz w:val="24"/>
          <w:szCs w:val="24"/>
          <w:highlight w:val="none"/>
          <w:lang w:eastAsia="zh-CN"/>
        </w:rPr>
        <w:t>可登录“焦作市政府</w:t>
      </w:r>
      <w:r>
        <w:rPr>
          <w:rFonts w:ascii="宋体" w:hAnsi="宋体" w:eastAsia="宋体" w:cs="宋体"/>
          <w:color w:val="auto"/>
          <w:sz w:val="24"/>
          <w:szCs w:val="24"/>
          <w:highlight w:val="none"/>
          <w:lang w:eastAsia="zh-CN"/>
        </w:rPr>
        <w:t xml:space="preserve"> </w:t>
      </w:r>
      <w:r>
        <w:rPr>
          <w:rFonts w:ascii="宋体" w:hAnsi="宋体" w:eastAsia="宋体" w:cs="宋体"/>
          <w:color w:val="auto"/>
          <w:spacing w:val="-3"/>
          <w:sz w:val="24"/>
          <w:szCs w:val="24"/>
          <w:highlight w:val="none"/>
          <w:lang w:eastAsia="zh-CN"/>
        </w:rPr>
        <w:t>采购网</w:t>
      </w:r>
      <w:r>
        <w:rPr>
          <w:rFonts w:ascii="宋体" w:hAnsi="宋体" w:eastAsia="宋体" w:cs="宋体"/>
          <w:color w:val="auto"/>
          <w:spacing w:val="-79"/>
          <w:sz w:val="24"/>
          <w:szCs w:val="24"/>
          <w:highlight w:val="none"/>
          <w:lang w:eastAsia="zh-CN"/>
        </w:rPr>
        <w:t xml:space="preserve"> </w:t>
      </w:r>
      <w:r>
        <w:rPr>
          <w:rFonts w:ascii="宋体" w:hAnsi="宋体" w:eastAsia="宋体" w:cs="宋体"/>
          <w:color w:val="auto"/>
          <w:spacing w:val="-3"/>
          <w:sz w:val="24"/>
          <w:szCs w:val="24"/>
          <w:highlight w:val="none"/>
          <w:lang w:eastAsia="zh-CN"/>
        </w:rPr>
        <w:t>”政府采购合同融资平台查询。</w:t>
      </w:r>
    </w:p>
    <w:sectPr>
      <w:footerReference r:id="rId37" w:type="default"/>
      <w:pgSz w:w="11907" w:h="16840"/>
      <w:pgMar w:top="1410" w:right="921" w:bottom="1139" w:left="978" w:header="0" w:footer="977"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8"/>
    <w:family w:val="swiss"/>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C8EFA2">
    <w:pPr>
      <w:spacing w:line="176" w:lineRule="auto"/>
      <w:jc w:val="center"/>
      <w:rPr>
        <w:rFonts w:ascii="Times New Roman" w:hAnsi="Times New Roman" w:eastAsia="Times New Roman" w:cs="Times New Roman"/>
        <w:sz w:val="18"/>
        <w:szCs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B3C9D5">
    <w:pPr>
      <w:spacing w:line="176" w:lineRule="auto"/>
      <w:ind w:left="425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92CF155">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14:paraId="392CF155">
                    <w:pPr>
                      <w:pStyle w:val="7"/>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728C05">
    <w:pPr>
      <w:spacing w:line="176" w:lineRule="auto"/>
      <w:ind w:left="4253"/>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05F8B1B">
                          <w:pPr>
                            <w:pStyle w:val="7"/>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005F8B1B">
                    <w:pPr>
                      <w:pStyle w:val="7"/>
                    </w:pPr>
                    <w:r>
                      <w:fldChar w:fldCharType="begin"/>
                    </w:r>
                    <w:r>
                      <w:instrText xml:space="preserve"> PAGE  \* MERGEFORMAT </w:instrText>
                    </w:r>
                    <w:r>
                      <w:fldChar w:fldCharType="separate"/>
                    </w:r>
                    <w:r>
                      <w:t>4</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88A22E">
    <w:pPr>
      <w:spacing w:line="173" w:lineRule="auto"/>
      <w:ind w:left="425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8874157">
                          <w:pPr>
                            <w:pStyle w:val="7"/>
                          </w:pPr>
                          <w:r>
                            <w:fldChar w:fldCharType="begin"/>
                          </w:r>
                          <w:r>
                            <w:instrText xml:space="preserve"> PAGE  \* MERGEFORMAT </w:instrText>
                          </w:r>
                          <w:r>
                            <w:fldChar w:fldCharType="separate"/>
                          </w:r>
                          <w:r>
                            <w:t>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58874157">
                    <w:pPr>
                      <w:pStyle w:val="7"/>
                    </w:pPr>
                    <w:r>
                      <w:fldChar w:fldCharType="begin"/>
                    </w:r>
                    <w:r>
                      <w:instrText xml:space="preserve"> PAGE  \* MERGEFORMAT </w:instrText>
                    </w:r>
                    <w:r>
                      <w:fldChar w:fldCharType="separate"/>
                    </w:r>
                    <w:r>
                      <w:t>5</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649AE4">
    <w:pPr>
      <w:spacing w:line="176" w:lineRule="auto"/>
      <w:ind w:left="420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802F3CF">
                          <w:pPr>
                            <w:pStyle w:val="7"/>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2802F3CF">
                    <w:pPr>
                      <w:pStyle w:val="7"/>
                    </w:pPr>
                    <w:r>
                      <w:fldChar w:fldCharType="begin"/>
                    </w:r>
                    <w:r>
                      <w:instrText xml:space="preserve"> PAGE  \* MERGEFORMAT </w:instrText>
                    </w:r>
                    <w:r>
                      <w:fldChar w:fldCharType="separate"/>
                    </w:r>
                    <w:r>
                      <w:t>9</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BE6362">
    <w:pPr>
      <w:spacing w:line="176" w:lineRule="auto"/>
      <w:ind w:left="4209"/>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AB45C1">
                          <w:pPr>
                            <w:pStyle w:val="7"/>
                          </w:pPr>
                          <w:r>
                            <w:fldChar w:fldCharType="begin"/>
                          </w:r>
                          <w:r>
                            <w:instrText xml:space="preserve"> PAGE  \* MERGEFORMAT </w:instrText>
                          </w:r>
                          <w:r>
                            <w:fldChar w:fldCharType="separate"/>
                          </w:r>
                          <w:r>
                            <w:t>19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5FAB45C1">
                    <w:pPr>
                      <w:pStyle w:val="7"/>
                    </w:pPr>
                    <w:r>
                      <w:fldChar w:fldCharType="begin"/>
                    </w:r>
                    <w:r>
                      <w:instrText xml:space="preserve"> PAGE  \* MERGEFORMAT </w:instrText>
                    </w:r>
                    <w:r>
                      <w:fldChar w:fldCharType="separate"/>
                    </w:r>
                    <w:r>
                      <w:t>19</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29A884">
    <w:pPr>
      <w:spacing w:line="176" w:lineRule="auto"/>
      <w:ind w:left="420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8C9909B">
                          <w:pPr>
                            <w:pStyle w:val="7"/>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14:paraId="38C9909B">
                    <w:pPr>
                      <w:pStyle w:val="7"/>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4852AF">
    <w:pPr>
      <w:spacing w:line="176" w:lineRule="auto"/>
      <w:ind w:left="420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3D960B1">
                          <w:pPr>
                            <w:pStyle w:val="7"/>
                          </w:pPr>
                          <w:r>
                            <w:fldChar w:fldCharType="begin"/>
                          </w:r>
                          <w:r>
                            <w:instrText xml:space="preserve"> PAGE  \* MERGEFORMAT </w:instrText>
                          </w:r>
                          <w:r>
                            <w:fldChar w:fldCharType="separate"/>
                          </w:r>
                          <w:r>
                            <w:t>21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v:fill on="f" focussize="0,0"/>
              <v:stroke on="f" weight="0.5pt"/>
              <v:imagedata o:title=""/>
              <o:lock v:ext="edit" aspectratio="f"/>
              <v:textbox inset="0mm,0mm,0mm,0mm" style="mso-fit-shape-to-text:t;">
                <w:txbxContent>
                  <w:p w14:paraId="23D960B1">
                    <w:pPr>
                      <w:pStyle w:val="7"/>
                    </w:pPr>
                    <w:r>
                      <w:fldChar w:fldCharType="begin"/>
                    </w:r>
                    <w:r>
                      <w:instrText xml:space="preserve"> PAGE  \* MERGEFORMAT </w:instrText>
                    </w:r>
                    <w:r>
                      <w:fldChar w:fldCharType="separate"/>
                    </w:r>
                    <w:r>
                      <w:t>21</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0D107E">
    <w:pPr>
      <w:spacing w:line="176" w:lineRule="auto"/>
      <w:ind w:left="420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8E68235">
                          <w:pPr>
                            <w:pStyle w:val="7"/>
                          </w:pPr>
                          <w:r>
                            <w:fldChar w:fldCharType="begin"/>
                          </w:r>
                          <w:r>
                            <w:instrText xml:space="preserve"> PAGE  \* MERGEFORMAT </w:instrText>
                          </w:r>
                          <w:r>
                            <w:fldChar w:fldCharType="separate"/>
                          </w:r>
                          <w:r>
                            <w:t>22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28E68235">
                    <w:pPr>
                      <w:pStyle w:val="7"/>
                    </w:pPr>
                    <w:r>
                      <w:fldChar w:fldCharType="begin"/>
                    </w:r>
                    <w:r>
                      <w:instrText xml:space="preserve"> PAGE  \* MERGEFORMAT </w:instrText>
                    </w:r>
                    <w:r>
                      <w:fldChar w:fldCharType="separate"/>
                    </w:r>
                    <w:r>
                      <w:t>22</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E3F10D">
    <w:pPr>
      <w:spacing w:line="176" w:lineRule="auto"/>
      <w:ind w:left="4207"/>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B8D4387">
                          <w:pPr>
                            <w:pStyle w:val="7"/>
                          </w:pPr>
                          <w:r>
                            <w:fldChar w:fldCharType="begin"/>
                          </w:r>
                          <w:r>
                            <w:instrText xml:space="preserve"> PAGE  \* MERGEFORMAT </w:instrText>
                          </w:r>
                          <w:r>
                            <w:fldChar w:fldCharType="separate"/>
                          </w:r>
                          <w:r>
                            <w:t>23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14:paraId="5B8D4387">
                    <w:pPr>
                      <w:pStyle w:val="7"/>
                    </w:pPr>
                    <w:r>
                      <w:fldChar w:fldCharType="begin"/>
                    </w:r>
                    <w:r>
                      <w:instrText xml:space="preserve"> PAGE  \* MERGEFORMAT </w:instrText>
                    </w:r>
                    <w:r>
                      <w:fldChar w:fldCharType="separate"/>
                    </w:r>
                    <w:r>
                      <w:t>23</w:t>
                    </w:r>
                    <w: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AD2AF8">
    <w:pPr>
      <w:spacing w:line="176" w:lineRule="auto"/>
      <w:ind w:left="4209"/>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62FB0DC">
                          <w:pPr>
                            <w:pStyle w:val="7"/>
                          </w:pPr>
                          <w:r>
                            <w:fldChar w:fldCharType="begin"/>
                          </w:r>
                          <w:r>
                            <w:instrText xml:space="preserve"> PAGE  \* MERGEFORMAT </w:instrText>
                          </w:r>
                          <w:r>
                            <w:fldChar w:fldCharType="separate"/>
                          </w:r>
                          <w:r>
                            <w:t>24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462FB0DC">
                    <w:pPr>
                      <w:pStyle w:val="7"/>
                    </w:pPr>
                    <w:r>
                      <w:fldChar w:fldCharType="begin"/>
                    </w:r>
                    <w:r>
                      <w:instrText xml:space="preserve"> PAGE  \* MERGEFORMAT </w:instrText>
                    </w:r>
                    <w:r>
                      <w:fldChar w:fldCharType="separate"/>
                    </w:r>
                    <w:r>
                      <w:t>24</w:t>
                    </w:r>
                    <w: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155B7C">
    <w:pPr>
      <w:spacing w:line="176" w:lineRule="auto"/>
      <w:ind w:left="420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7599420">
                          <w:pPr>
                            <w:pStyle w:val="7"/>
                          </w:pPr>
                          <w:r>
                            <w:fldChar w:fldCharType="begin"/>
                          </w:r>
                          <w:r>
                            <w:instrText xml:space="preserve"> PAGE  \* MERGEFORMAT </w:instrText>
                          </w:r>
                          <w:r>
                            <w:fldChar w:fldCharType="separate"/>
                          </w:r>
                          <w:r>
                            <w:t>25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47599420">
                    <w:pPr>
                      <w:pStyle w:val="7"/>
                    </w:pPr>
                    <w:r>
                      <w:fldChar w:fldCharType="begin"/>
                    </w:r>
                    <w:r>
                      <w:instrText xml:space="preserve"> PAGE  \* MERGEFORMAT </w:instrText>
                    </w:r>
                    <w:r>
                      <w:fldChar w:fldCharType="separate"/>
                    </w:r>
                    <w:r>
                      <w:t>25</w:t>
                    </w:r>
                    <w: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04DAB9">
    <w:pPr>
      <w:spacing w:line="176" w:lineRule="auto"/>
      <w:ind w:left="4206"/>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2060419">
                          <w:pPr>
                            <w:pStyle w:val="7"/>
                          </w:pPr>
                          <w:r>
                            <w:fldChar w:fldCharType="begin"/>
                          </w:r>
                          <w:r>
                            <w:instrText xml:space="preserve"> PAGE  \* MERGEFORMAT </w:instrText>
                          </w:r>
                          <w:r>
                            <w:fldChar w:fldCharType="separate"/>
                          </w:r>
                          <w:r>
                            <w:t>27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T72nYy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PvadjICAABjBAAADgAAAAAAAAABACAAAAAfAQAAZHJzL2Uyb0RvYy54bWxQSwUG&#10;AAAAAAYABgBZAQAAwwUAAAAA&#10;">
              <v:fill on="f" focussize="0,0"/>
              <v:stroke on="f" weight="0.5pt"/>
              <v:imagedata o:title=""/>
              <o:lock v:ext="edit" aspectratio="f"/>
              <v:textbox inset="0mm,0mm,0mm,0mm" style="mso-fit-shape-to-text:t;">
                <w:txbxContent>
                  <w:p w14:paraId="22060419">
                    <w:pPr>
                      <w:pStyle w:val="7"/>
                    </w:pPr>
                    <w:r>
                      <w:fldChar w:fldCharType="begin"/>
                    </w:r>
                    <w:r>
                      <w:instrText xml:space="preserve"> PAGE  \* MERGEFORMAT </w:instrText>
                    </w:r>
                    <w:r>
                      <w:fldChar w:fldCharType="separate"/>
                    </w:r>
                    <w:r>
                      <w:t>27</w:t>
                    </w:r>
                    <w: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68F2F8">
    <w:pPr>
      <w:spacing w:line="176" w:lineRule="auto"/>
      <w:ind w:left="426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796DDEE">
                          <w:pPr>
                            <w:pStyle w:val="7"/>
                          </w:pPr>
                          <w:r>
                            <w:fldChar w:fldCharType="begin"/>
                          </w:r>
                          <w:r>
                            <w:instrText xml:space="preserve"> PAGE  \* MERGEFORMAT </w:instrText>
                          </w:r>
                          <w:r>
                            <w:fldChar w:fldCharType="separate"/>
                          </w:r>
                          <w:r>
                            <w:t>31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14:paraId="5796DDEE">
                    <w:pPr>
                      <w:pStyle w:val="7"/>
                    </w:pPr>
                    <w:r>
                      <w:fldChar w:fldCharType="begin"/>
                    </w:r>
                    <w:r>
                      <w:instrText xml:space="preserve"> PAGE  \* MERGEFORMAT </w:instrText>
                    </w:r>
                    <w:r>
                      <w:fldChar w:fldCharType="separate"/>
                    </w:r>
                    <w:r>
                      <w:t>31</w:t>
                    </w:r>
                    <w: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25BE6B">
    <w:pPr>
      <w:spacing w:line="176" w:lineRule="auto"/>
      <w:ind w:left="420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CA0CC3E">
                          <w:pPr>
                            <w:pStyle w:val="7"/>
                          </w:pPr>
                          <w:r>
                            <w:fldChar w:fldCharType="begin"/>
                          </w:r>
                          <w:r>
                            <w:instrText xml:space="preserve"> PAGE  \* MERGEFORMAT </w:instrText>
                          </w:r>
                          <w:r>
                            <w:fldChar w:fldCharType="separate"/>
                          </w:r>
                          <w:r>
                            <w:t>32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9bQWsy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tBazICAABjBAAADgAAAAAAAAABACAAAAAfAQAAZHJzL2Uyb0RvYy54bWxQSwUG&#10;AAAAAAYABgBZAQAAwwUAAAAA&#10;">
              <v:fill on="f" focussize="0,0"/>
              <v:stroke on="f" weight="0.5pt"/>
              <v:imagedata o:title=""/>
              <o:lock v:ext="edit" aspectratio="f"/>
              <v:textbox inset="0mm,0mm,0mm,0mm" style="mso-fit-shape-to-text:t;">
                <w:txbxContent>
                  <w:p w14:paraId="4CA0CC3E">
                    <w:pPr>
                      <w:pStyle w:val="7"/>
                    </w:pPr>
                    <w:r>
                      <w:fldChar w:fldCharType="begin"/>
                    </w:r>
                    <w:r>
                      <w:instrText xml:space="preserve"> PAGE  \* MERGEFORMAT </w:instrText>
                    </w:r>
                    <w:r>
                      <w:fldChar w:fldCharType="separate"/>
                    </w:r>
                    <w:r>
                      <w:t>32</w:t>
                    </w:r>
                    <w:r>
                      <w:fldChar w:fldCharType="end"/>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107962">
    <w:pPr>
      <w:spacing w:line="176" w:lineRule="auto"/>
      <w:ind w:left="420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838836">
                          <w:pPr>
                            <w:pStyle w:val="7"/>
                          </w:pPr>
                          <w:r>
                            <w:fldChar w:fldCharType="begin"/>
                          </w:r>
                          <w:r>
                            <w:instrText xml:space="preserve"> PAGE  \* MERGEFORMAT </w:instrText>
                          </w:r>
                          <w:r>
                            <w:fldChar w:fldCharType="separate"/>
                          </w:r>
                          <w:r>
                            <w:t>33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R3mOY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GJYRoVv3z/dvnx&#10;6/LzK8EZBKpdmCNu5xAZm7e2QdsM5wGHiXdTep2+YETgB9b5Kq9oIuHp0mw6m43h4vANG+Bnj9ed&#10;D/GdsJokI6ce9WtlZadtiF3oEJKyGbuRSrU1VIbUOb15/WbcXrh6AK4MciQS3WOTFZt90zPb2+IM&#10;Yt52vREc30gk37IQH5hHM+DBGJd4j6VUFklsb1FSWf/lX+cpHjWCl5IazZVTg1miRL03qB0A42D4&#10;wdgPhjnqO4tunWAMHW9NXPBRDWbprf6MGVqlHHAxw5Epp3Ew72LX4JhBLlarNujovDxU3QV0nmNx&#10;a3aOpzRJyOBWxwgxW42TQJ0qvW7ovbZK/Zyk5v5z30Y9/hu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HeY5jICAABjBAAADgAAAAAAAAABACAAAAAfAQAAZHJzL2Uyb0RvYy54bWxQSwUG&#10;AAAAAAYABgBZAQAAwwUAAAAA&#10;">
              <v:fill on="f" focussize="0,0"/>
              <v:stroke on="f" weight="0.5pt"/>
              <v:imagedata o:title=""/>
              <o:lock v:ext="edit" aspectratio="f"/>
              <v:textbox inset="0mm,0mm,0mm,0mm" style="mso-fit-shape-to-text:t;">
                <w:txbxContent>
                  <w:p w14:paraId="35838836">
                    <w:pPr>
                      <w:pStyle w:val="7"/>
                    </w:pPr>
                    <w:r>
                      <w:fldChar w:fldCharType="begin"/>
                    </w:r>
                    <w:r>
                      <w:instrText xml:space="preserve"> PAGE  \* MERGEFORMAT </w:instrText>
                    </w:r>
                    <w:r>
                      <w:fldChar w:fldCharType="separate"/>
                    </w:r>
                    <w:r>
                      <w:t>33</w:t>
                    </w:r>
                    <w:r>
                      <w:fldChar w:fldCharType="end"/>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D16229">
    <w:pPr>
      <w:spacing w:line="176" w:lineRule="auto"/>
      <w:ind w:left="4207"/>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9EE2A4A">
                          <w:pPr>
                            <w:pStyle w:val="7"/>
                          </w:pPr>
                          <w:r>
                            <w:fldChar w:fldCharType="begin"/>
                          </w:r>
                          <w:r>
                            <w:instrText xml:space="preserve"> PAGE  \* MERGEFORMAT </w:instrText>
                          </w:r>
                          <w:r>
                            <w:fldChar w:fldCharType="separate"/>
                          </w:r>
                          <w:r>
                            <w:t>79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bfDwky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6YQSwzQ6fvn+7fLj&#10;1+XnV4IzCFS7MEfcziEyNm9tg7EZzgMOE++m9Dp9wYjAD3nPV3lFEwlPl2bT2WwMF4dv2AA/e7zu&#10;fIjvhNUkGTn16F8rKzttQ+xCh5CUzdiNVKrtoTKkzunN6zfj9sLVA3BlkCOR6IpNVmz2Tc9sb4sz&#10;iHnbzUZwfCORfMtCfGAew4CC8VziPZZSWSSxvUVJZf2Xf52nePQIXkpqDFdODd4SJeq9Qe8AGAfD&#10;D8Z+MMxR31lMK9qBWloTF3xUg1l6qz/jDa1SDriY4ciU0ziYd7EbcLxBLlarNujovDxU3QVMnmNx&#10;a3aOpzRJyOBWxwgxW42TQJ0qvW6YvbZL/TtJw/3nvo16/Dc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t8PCTICAABjBAAADgAAAAAAAAABACAAAAAfAQAAZHJzL2Uyb0RvYy54bWxQSwUG&#10;AAAAAAYABgBZAQAAwwUAAAAA&#10;">
              <v:fill on="f" focussize="0,0"/>
              <v:stroke on="f" weight="0.5pt"/>
              <v:imagedata o:title=""/>
              <o:lock v:ext="edit" aspectratio="f"/>
              <v:textbox inset="0mm,0mm,0mm,0mm" style="mso-fit-shape-to-text:t;">
                <w:txbxContent>
                  <w:p w14:paraId="09EE2A4A">
                    <w:pPr>
                      <w:pStyle w:val="7"/>
                    </w:pPr>
                    <w:r>
                      <w:fldChar w:fldCharType="begin"/>
                    </w:r>
                    <w:r>
                      <w:instrText xml:space="preserve"> PAGE  \* MERGEFORMAT </w:instrText>
                    </w:r>
                    <w:r>
                      <w:fldChar w:fldCharType="separate"/>
                    </w:r>
                    <w:r>
                      <w:t>79</w:t>
                    </w:r>
                    <w:r>
                      <w:fldChar w:fldCharType="end"/>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F58E06">
    <w:pPr>
      <w:spacing w:line="176" w:lineRule="auto"/>
      <w:ind w:left="4209"/>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BA9480B">
                          <w:pPr>
                            <w:pStyle w:val="7"/>
                          </w:pPr>
                          <w:r>
                            <w:fldChar w:fldCharType="begin"/>
                          </w:r>
                          <w:r>
                            <w:instrText xml:space="preserve"> PAGE  \* MERGEFORMAT </w:instrText>
                          </w:r>
                          <w:r>
                            <w:fldChar w:fldCharType="separate"/>
                          </w:r>
                          <w:r>
                            <w:t>80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EhxuI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qeUGKZR8cv3b5cf&#10;vy4/vxKcQaDahTnidg6RsXlrG7TNcB5wmHg3pdfpC0YEfsh7vsormkh4ujSbzmZjuDh8wwb42eN1&#10;50N8J6wmycipR/1aWdlpG2IXOoSkbMZupFJtDZUhdU5vXr8ZtxeuHoArgxyJRPfYZMVm3/TM9rY4&#10;g5i3XW8ExzcSybcsxAfm0Qx4MMYl3mMplUUS21uUVNZ/+dd5ikeN4KWkRnPl1GCWKFHvDWoHwDgY&#10;fjD2g2GO+s6iWycYQ8dbExd8VINZeqs/Y4ZWKQdczHBkymkczLvYNThmkIvVqg06Oi8PVXcBnedY&#10;3Jqd4ylNEjK41TFCzFbjJFCnSq8beq+tUj8nqbn/3LdRj/+G5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ESHG4jICAABjBAAADgAAAAAAAAABACAAAAAfAQAAZHJzL2Uyb0RvYy54bWxQSwUG&#10;AAAAAAYABgBZAQAAwwUAAAAA&#10;">
              <v:fill on="f" focussize="0,0"/>
              <v:stroke on="f" weight="0.5pt"/>
              <v:imagedata o:title=""/>
              <o:lock v:ext="edit" aspectratio="f"/>
              <v:textbox inset="0mm,0mm,0mm,0mm" style="mso-fit-shape-to-text:t;">
                <w:txbxContent>
                  <w:p w14:paraId="1BA9480B">
                    <w:pPr>
                      <w:pStyle w:val="7"/>
                    </w:pPr>
                    <w:r>
                      <w:fldChar w:fldCharType="begin"/>
                    </w:r>
                    <w:r>
                      <w:instrText xml:space="preserve"> PAGE  \* MERGEFORMAT </w:instrText>
                    </w:r>
                    <w:r>
                      <w:fldChar w:fldCharType="separate"/>
                    </w:r>
                    <w:r>
                      <w:t>80</w:t>
                    </w:r>
                    <w: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C74DAB">
    <w:pPr>
      <w:spacing w:line="176" w:lineRule="auto"/>
      <w:ind w:left="420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7696" behindDoc="0" locked="0" layoutInCell="1" allowOverlap="1">
              <wp:simplePos x="0" y="0"/>
              <wp:positionH relativeFrom="margin">
                <wp:align>center</wp:align>
              </wp:positionH>
              <wp:positionV relativeFrom="paragraph">
                <wp:posOffset>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3A4EE93">
                          <w:pPr>
                            <w:pStyle w:val="7"/>
                          </w:pPr>
                          <w:r>
                            <w:fldChar w:fldCharType="begin"/>
                          </w:r>
                          <w:r>
                            <w:instrText xml:space="preserve"> PAGE  \* MERGEFORMAT </w:instrText>
                          </w:r>
                          <w:r>
                            <w:fldChar w:fldCharType="separate"/>
                          </w:r>
                          <w:r>
                            <w:t>81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769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OJUQ0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MrSgzTqPj5x/fz&#10;z9/nX98IziBQ7cIccQ8OkbF5Zxu0zXAecJh4N6XX6QtGBH7Ie7rIK5pIeLo0m85mY7g4fMMG+NnT&#10;dedDfC+sJsnIqUf9WlnZcRtiFzqEpGzGbqRSbQ2VIXVOr6/ejt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OJUQ0zAgAAYwQAAA4AAAAAAAAAAQAgAAAAHwEAAGRycy9lMm9Eb2MueG1sUEsF&#10;BgAAAAAGAAYAWQEAAMQFAAAAAA==&#10;">
              <v:fill on="f" focussize="0,0"/>
              <v:stroke on="f" weight="0.5pt"/>
              <v:imagedata o:title=""/>
              <o:lock v:ext="edit" aspectratio="f"/>
              <v:textbox inset="0mm,0mm,0mm,0mm" style="mso-fit-shape-to-text:t;">
                <w:txbxContent>
                  <w:p w14:paraId="33A4EE93">
                    <w:pPr>
                      <w:pStyle w:val="7"/>
                    </w:pPr>
                    <w:r>
                      <w:fldChar w:fldCharType="begin"/>
                    </w:r>
                    <w:r>
                      <w:instrText xml:space="preserve"> PAGE  \* MERGEFORMAT </w:instrText>
                    </w:r>
                    <w:r>
                      <w:fldChar w:fldCharType="separate"/>
                    </w:r>
                    <w:r>
                      <w:t>81</w:t>
                    </w:r>
                    <w:r>
                      <w:fldChar w:fldCharType="end"/>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F4BE7B">
    <w:pPr>
      <w:spacing w:line="176" w:lineRule="auto"/>
      <w:ind w:left="4007"/>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8720" behindDoc="0" locked="0" layoutInCell="1" allowOverlap="1">
              <wp:simplePos x="0" y="0"/>
              <wp:positionH relativeFrom="margin">
                <wp:align>center</wp:align>
              </wp:positionH>
              <wp:positionV relativeFrom="paragraph">
                <wp:posOffset>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EAC863">
                          <w:pPr>
                            <w:pStyle w:val="7"/>
                          </w:pPr>
                          <w:r>
                            <w:fldChar w:fldCharType="begin"/>
                          </w:r>
                          <w:r>
                            <w:instrText xml:space="preserve"> PAGE  \* MERGEFORMAT </w:instrText>
                          </w:r>
                          <w:r>
                            <w:fldChar w:fldCharType="separate"/>
                          </w:r>
                          <w:r>
                            <w:t>82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872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7aJO4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G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7aJO4zAgAAYwQAAA4AAAAAAAAAAQAgAAAAHwEAAGRycy9lMm9Eb2MueG1sUEsF&#10;BgAAAAAGAAYAWQEAAMQFAAAAAA==&#10;">
              <v:fill on="f" focussize="0,0"/>
              <v:stroke on="f" weight="0.5pt"/>
              <v:imagedata o:title=""/>
              <o:lock v:ext="edit" aspectratio="f"/>
              <v:textbox inset="0mm,0mm,0mm,0mm" style="mso-fit-shape-to-text:t;">
                <w:txbxContent>
                  <w:p w14:paraId="14EAC863">
                    <w:pPr>
                      <w:pStyle w:val="7"/>
                    </w:pPr>
                    <w:r>
                      <w:fldChar w:fldCharType="begin"/>
                    </w:r>
                    <w:r>
                      <w:instrText xml:space="preserve"> PAGE  \* MERGEFORMAT </w:instrText>
                    </w:r>
                    <w:r>
                      <w:fldChar w:fldCharType="separate"/>
                    </w:r>
                    <w:r>
                      <w:t>82</w:t>
                    </w:r>
                    <w:r>
                      <w:fldChar w:fldCharType="end"/>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C66CBD">
    <w:pPr>
      <w:spacing w:line="173" w:lineRule="auto"/>
      <w:ind w:left="4007"/>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9744"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CF170FA">
                          <w:pPr>
                            <w:pStyle w:val="7"/>
                          </w:pPr>
                          <w:r>
                            <w:fldChar w:fldCharType="begin"/>
                          </w:r>
                          <w:r>
                            <w:instrText xml:space="preserve"> PAGE  \* MERGEFORMAT </w:instrText>
                          </w:r>
                          <w:r>
                            <w:fldChar w:fldCharType="separate"/>
                          </w:r>
                          <w:r>
                            <w:t>83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974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xyswE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Mr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xyswEzAgAAYwQAAA4AAAAAAAAAAQAgAAAAHwEAAGRycy9lMm9Eb2MueG1sUEsF&#10;BgAAAAAGAAYAWQEAAMQFAAAAAA==&#10;">
              <v:fill on="f" focussize="0,0"/>
              <v:stroke on="f" weight="0.5pt"/>
              <v:imagedata o:title=""/>
              <o:lock v:ext="edit" aspectratio="f"/>
              <v:textbox inset="0mm,0mm,0mm,0mm" style="mso-fit-shape-to-text:t;">
                <w:txbxContent>
                  <w:p w14:paraId="3CF170FA">
                    <w:pPr>
                      <w:pStyle w:val="7"/>
                    </w:pPr>
                    <w:r>
                      <w:fldChar w:fldCharType="begin"/>
                    </w:r>
                    <w:r>
                      <w:instrText xml:space="preserve"> PAGE  \* MERGEFORMAT </w:instrText>
                    </w:r>
                    <w:r>
                      <w:fldChar w:fldCharType="separate"/>
                    </w:r>
                    <w:r>
                      <w:t>83</w:t>
                    </w:r>
                    <w:r>
                      <w:fldChar w:fldCharType="end"/>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3222E6">
    <w:pPr>
      <w:spacing w:line="176" w:lineRule="auto"/>
      <w:ind w:left="4209"/>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0768" behindDoc="0" locked="0" layoutInCell="1" allowOverlap="1">
              <wp:simplePos x="0" y="0"/>
              <wp:positionH relativeFrom="margin">
                <wp:align>center</wp:align>
              </wp:positionH>
              <wp:positionV relativeFrom="paragraph">
                <wp:posOffset>0</wp:posOffset>
              </wp:positionV>
              <wp:extent cx="1828800" cy="1828800"/>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E7098F">
                          <w:pPr>
                            <w:pStyle w:val="7"/>
                          </w:pPr>
                          <w:r>
                            <w:fldChar w:fldCharType="begin"/>
                          </w:r>
                          <w:r>
                            <w:instrText xml:space="preserve"> PAGE  \* MERGEFORMAT </w:instrText>
                          </w:r>
                          <w:r>
                            <w:fldChar w:fldCharType="separate"/>
                          </w:r>
                          <w:r>
                            <w:t>84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076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uMeuo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TmeUGKZR8cv3b5cf&#10;vy4/vxKcQaDahQXiHhwiY/PWNmib4TzgMPFuSq/TF4wI/JD3fJVXNJHwdGk+nc/HcHH4hg3ws8fr&#10;zof4TlhNkpFTj/q1srLTLsQudAhJ2YzdSqXaGipD6pzOXr8ZtxeuHoArgxyJRPfYZMVm3/TM9rY4&#10;g5i3XW8Ex7cSyXcsxHvm0Qx4MMYl3mEplUUS21uUVNZ/+dd5ikeN4KWkRnPl1GCWKFHvDWoHwDgY&#10;fjD2g2GO+taiWycYQ8dbExd8VINZeqs/Y4bWKQdczHBkymkczNvYNThmkIv1ug06Oi8PVXcBnedY&#10;3JkHx1OaJGRw62OEmK3GSaBOlV439F5bpX5OUnP/uW+jHv8Nq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m4x66jICAABjBAAADgAAAAAAAAABACAAAAAfAQAAZHJzL2Uyb0RvYy54bWxQSwUG&#10;AAAAAAYABgBZAQAAwwUAAAAA&#10;">
              <v:fill on="f" focussize="0,0"/>
              <v:stroke on="f" weight="0.5pt"/>
              <v:imagedata o:title=""/>
              <o:lock v:ext="edit" aspectratio="f"/>
              <v:textbox inset="0mm,0mm,0mm,0mm" style="mso-fit-shape-to-text:t;">
                <w:txbxContent>
                  <w:p w14:paraId="7DE7098F">
                    <w:pPr>
                      <w:pStyle w:val="7"/>
                    </w:pPr>
                    <w:r>
                      <w:fldChar w:fldCharType="begin"/>
                    </w:r>
                    <w:r>
                      <w:instrText xml:space="preserve"> PAGE  \* MERGEFORMAT </w:instrText>
                    </w:r>
                    <w:r>
                      <w:fldChar w:fldCharType="separate"/>
                    </w:r>
                    <w:r>
                      <w:t>84</w:t>
                    </w:r>
                    <w:r>
                      <w:fldChar w:fldCharType="end"/>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6070BD">
    <w:pPr>
      <w:spacing w:line="173" w:lineRule="auto"/>
      <w:ind w:left="4207"/>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1792"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85B2317">
                          <w:pPr>
                            <w:pStyle w:val="7"/>
                          </w:pPr>
                          <w:r>
                            <w:fldChar w:fldCharType="begin"/>
                          </w:r>
                          <w:r>
                            <w:instrText xml:space="preserve"> PAGE  \* MERGEFORMAT </w:instrText>
                          </w:r>
                          <w:r>
                            <w:fldChar w:fldCharType="separate"/>
                          </w:r>
                          <w:r>
                            <w:t>85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179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7J9wA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A0kMUyj4qcf308/&#10;H06/vhGcQaDGhRni7h0iY/vOtmib4TzgMPFuK6/TF4wI/MA6XuQVbSQ8XZpOptMcLg7fsAF+9njd&#10;+RDfC6tJMgrqUb9OVnbYhNiHDiEpm7FrqVRXQ2VIU9Cr12/z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7J9wAzAgAAYwQAAA4AAAAAAAAAAQAgAAAAHwEAAGRycy9lMm9Eb2MueG1sUEsF&#10;BgAAAAAGAAYAWQEAAMQFAAAAAA==&#10;">
              <v:fill on="f" focussize="0,0"/>
              <v:stroke on="f" weight="0.5pt"/>
              <v:imagedata o:title=""/>
              <o:lock v:ext="edit" aspectratio="f"/>
              <v:textbox inset="0mm,0mm,0mm,0mm" style="mso-fit-shape-to-text:t;">
                <w:txbxContent>
                  <w:p w14:paraId="385B2317">
                    <w:pPr>
                      <w:pStyle w:val="7"/>
                    </w:pPr>
                    <w:r>
                      <w:fldChar w:fldCharType="begin"/>
                    </w:r>
                    <w:r>
                      <w:instrText xml:space="preserve"> PAGE  \* MERGEFORMAT </w:instrText>
                    </w:r>
                    <w:r>
                      <w:fldChar w:fldCharType="separate"/>
                    </w:r>
                    <w:r>
                      <w:t>85</w:t>
                    </w:r>
                    <w:r>
                      <w:fldChar w:fldCharType="end"/>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E68681">
    <w:pPr>
      <w:spacing w:line="176" w:lineRule="auto"/>
      <w:ind w:left="477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2816"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0BF33F5">
                          <w:pPr>
                            <w:pStyle w:val="7"/>
                          </w:pPr>
                          <w:r>
                            <w:fldChar w:fldCharType="begin"/>
                          </w:r>
                          <w:r>
                            <w:instrText xml:space="preserve"> PAGE  \* MERGEFORMAT </w:instrText>
                          </w:r>
                          <w:r>
                            <w:fldChar w:fldCharType="separate"/>
                          </w:r>
                          <w:r>
                            <w:t>86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281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xhYO8zAgAAYwQAAA4AAABkcnMvZTJvRG9jLnhtbK1UzY7TMBC+I/EO&#10;lu80aYFV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suCvhlTYphGx08/vp9+&#10;Ppx+fSM4g0CNCzPE3TtExvadbTE2w3nAYeLdVl6nLxgR+CHv8SKvaCPh6dJ0Mp3mcHH4hg3ws8fr&#10;zof4XlhNklFQj/51srLDJsQ+dAhJ2YxdS6W6HipDmoJevX6bdxcuHoArgxyJRF9ssmK7bc/MtrY8&#10;gpi3/WwEx9cSyTcsxDvmMQwoGM8l3mKplEUSe7Yoqa3/+q/zFI8ewUtJg+EqqMFbokR9MOgdAONg&#10;+MHYDobZ6xuLaUU7UEtn4oKPajArb/UXvKFlygEXMxyZChoH8yb2A443yMVy2QXtnZe7ur+AyXMs&#10;bsy94ylNEjK45T5CzE7jJFCvylk3zF7XpfM7ScP9576Levw3L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xhYO8zAgAAYwQAAA4AAAAAAAAAAQAgAAAAHwEAAGRycy9lMm9Eb2MueG1sUEsF&#10;BgAAAAAGAAYAWQEAAMQFAAAAAA==&#10;">
              <v:fill on="f" focussize="0,0"/>
              <v:stroke on="f" weight="0.5pt"/>
              <v:imagedata o:title=""/>
              <o:lock v:ext="edit" aspectratio="f"/>
              <v:textbox inset="0mm,0mm,0mm,0mm" style="mso-fit-shape-to-text:t;">
                <w:txbxContent>
                  <w:p w14:paraId="10BF33F5">
                    <w:pPr>
                      <w:pStyle w:val="7"/>
                    </w:pPr>
                    <w:r>
                      <w:fldChar w:fldCharType="begin"/>
                    </w:r>
                    <w:r>
                      <w:instrText xml:space="preserve"> PAGE  \* MERGEFORMAT </w:instrText>
                    </w:r>
                    <w:r>
                      <w:fldChar w:fldCharType="separate"/>
                    </w:r>
                    <w:r>
                      <w:t>86</w:t>
                    </w:r>
                    <w:r>
                      <w:fldChar w:fldCharType="end"/>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DAAF8E">
    <w:pPr>
      <w:spacing w:line="176" w:lineRule="auto"/>
      <w:ind w:left="484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3840" behindDoc="0" locked="0" layoutInCell="1" allowOverlap="1">
              <wp:simplePos x="0" y="0"/>
              <wp:positionH relativeFrom="margin">
                <wp:align>center</wp:align>
              </wp:positionH>
              <wp:positionV relativeFrom="paragraph">
                <wp:posOffset>0</wp:posOffset>
              </wp:positionV>
              <wp:extent cx="1828800" cy="18288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5FB5D10">
                          <w:pPr>
                            <w:pStyle w:val="7"/>
                          </w:pPr>
                          <w:r>
                            <w:fldChar w:fldCharType="begin"/>
                          </w:r>
                          <w:r>
                            <w:instrText xml:space="preserve"> PAGE  \* MERGEFORMAT </w:instrText>
                          </w:r>
                          <w:r>
                            <w:fldChar w:fldCharType="separate"/>
                          </w:r>
                          <w:r>
                            <w:t>87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38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ufqQQ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M2E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ufqQQzAgAAYwQAAA4AAAAAAAAAAQAgAAAAHwEAAGRycy9lMm9Eb2MueG1sUEsF&#10;BgAAAAAGAAYAWQEAAMQFAAAAAA==&#10;">
              <v:fill on="f" focussize="0,0"/>
              <v:stroke on="f" weight="0.5pt"/>
              <v:imagedata o:title=""/>
              <o:lock v:ext="edit" aspectratio="f"/>
              <v:textbox inset="0mm,0mm,0mm,0mm" style="mso-fit-shape-to-text:t;">
                <w:txbxContent>
                  <w:p w14:paraId="45FB5D10">
                    <w:pPr>
                      <w:pStyle w:val="7"/>
                    </w:pPr>
                    <w:r>
                      <w:fldChar w:fldCharType="begin"/>
                    </w:r>
                    <w:r>
                      <w:instrText xml:space="preserve"> PAGE  \* MERGEFORMAT </w:instrText>
                    </w:r>
                    <w:r>
                      <w:fldChar w:fldCharType="separate"/>
                    </w:r>
                    <w:r>
                      <w:t>87</w:t>
                    </w:r>
                    <w:r>
                      <w:fldChar w:fldCharType="end"/>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A7A08A">
    <w:pPr>
      <w:spacing w:line="176" w:lineRule="auto"/>
      <w:ind w:left="4693"/>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48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277B037">
                          <w:pPr>
                            <w:pStyle w:val="7"/>
                          </w:pPr>
                          <w:r>
                            <w:fldChar w:fldCharType="begin"/>
                          </w:r>
                          <w:r>
                            <w:instrText xml:space="preserve"> PAGE  \* MERGEFORMAT </w:instrText>
                          </w:r>
                          <w:r>
                            <w:fldChar w:fldCharType="separate"/>
                          </w:r>
                          <w:r>
                            <w:t>88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48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k3Pus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PUV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Kk3PuszAgAAYwQAAA4AAAAAAAAAAQAgAAAAHwEAAGRycy9lMm9Eb2MueG1sUEsF&#10;BgAAAAAGAAYAWQEAAMQFAAAAAA==&#10;">
              <v:fill on="f" focussize="0,0"/>
              <v:stroke on="f" weight="0.5pt"/>
              <v:imagedata o:title=""/>
              <o:lock v:ext="edit" aspectratio="f"/>
              <v:textbox inset="0mm,0mm,0mm,0mm" style="mso-fit-shape-to-text:t;">
                <w:txbxContent>
                  <w:p w14:paraId="4277B037">
                    <w:pPr>
                      <w:pStyle w:val="7"/>
                    </w:pPr>
                    <w:r>
                      <w:fldChar w:fldCharType="begin"/>
                    </w:r>
                    <w:r>
                      <w:instrText xml:space="preserve"> PAGE  \* MERGEFORMAT </w:instrText>
                    </w:r>
                    <w:r>
                      <w:fldChar w:fldCharType="separate"/>
                    </w:r>
                    <w:r>
                      <w:t>88</w:t>
                    </w:r>
                    <w:r>
                      <w:fldChar w:fldCharType="end"/>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A8E22D">
    <w:pPr>
      <w:spacing w:line="176" w:lineRule="auto"/>
      <w:ind w:left="4873"/>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58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4" name="文本框 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A9B4F4">
                          <w:pPr>
                            <w:pStyle w:val="7"/>
                          </w:pPr>
                          <w:r>
                            <w:fldChar w:fldCharType="begin"/>
                          </w:r>
                          <w:r>
                            <w:instrText xml:space="preserve"> PAGE  \* MERGEFORMAT </w:instrText>
                          </w:r>
                          <w:r>
                            <w:fldChar w:fldCharType="separate"/>
                          </w:r>
                          <w:r>
                            <w:t>89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58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RkSwgzAgAAYw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dUaKZQsVP37+d&#10;fvw6/fxKcAaBWutniHuwiAzdW9OhbYZzj8PIu6ucil8wIvBD3uNFXtEFwuOl6WQ6zeHi8A0b4GeP&#10;163z4Z0wikSjoA71S7Kyw8aHPnQIidm0WTdSphpKTdqCXr9+k6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KRkSwgzAgAAYwQAAA4AAAAAAAAAAQAgAAAAHwEAAGRycy9lMm9Eb2MueG1sUEsF&#10;BgAAAAAGAAYAWQEAAMQFAAAAAA==&#10;">
              <v:fill on="f" focussize="0,0"/>
              <v:stroke on="f" weight="0.5pt"/>
              <v:imagedata o:title=""/>
              <o:lock v:ext="edit" aspectratio="f"/>
              <v:textbox inset="0mm,0mm,0mm,0mm" style="mso-fit-shape-to-text:t;">
                <w:txbxContent>
                  <w:p w14:paraId="4DA9B4F4">
                    <w:pPr>
                      <w:pStyle w:val="7"/>
                    </w:pPr>
                    <w:r>
                      <w:fldChar w:fldCharType="begin"/>
                    </w:r>
                    <w:r>
                      <w:instrText xml:space="preserve"> PAGE  \* MERGEFORMAT </w:instrText>
                    </w:r>
                    <w:r>
                      <w:fldChar w:fldCharType="separate"/>
                    </w:r>
                    <w:r>
                      <w:t>89</w:t>
                    </w:r>
                    <w:r>
                      <w:fldChar w:fldCharType="end"/>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945DE0">
    <w:pPr>
      <w:spacing w:line="176" w:lineRule="auto"/>
      <w:ind w:left="4007"/>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69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7567AF">
                          <w:pPr>
                            <w:pStyle w:val="7"/>
                          </w:pPr>
                          <w:r>
                            <w:fldChar w:fldCharType="begin"/>
                          </w:r>
                          <w:r>
                            <w:instrText xml:space="preserve"> PAGE  \* MERGEFORMAT </w:instrText>
                          </w:r>
                          <w:r>
                            <w:fldChar w:fldCharType="separate"/>
                          </w:r>
                          <w:r>
                            <w:t>90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69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bM3OczAgAAY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bM3OczAgAAYwQAAA4AAAAAAAAAAQAgAAAAHwEAAGRycy9lMm9Eb2MueG1sUEsF&#10;BgAAAAAGAAYAWQEAAMQFAAAAAA==&#10;">
              <v:fill on="f" focussize="0,0"/>
              <v:stroke on="f" weight="0.5pt"/>
              <v:imagedata o:title=""/>
              <o:lock v:ext="edit" aspectratio="f"/>
              <v:textbox inset="0mm,0mm,0mm,0mm" style="mso-fit-shape-to-text:t;">
                <w:txbxContent>
                  <w:p w14:paraId="257567AF">
                    <w:pPr>
                      <w:pStyle w:val="7"/>
                    </w:pPr>
                    <w:r>
                      <w:fldChar w:fldCharType="begin"/>
                    </w:r>
                    <w:r>
                      <w:instrText xml:space="preserve"> PAGE  \* MERGEFORMAT </w:instrText>
                    </w:r>
                    <w:r>
                      <w:fldChar w:fldCharType="separate"/>
                    </w:r>
                    <w:r>
                      <w:t>90</w:t>
                    </w:r>
                    <w:r>
                      <w:fldChar w:fldCharType="end"/>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058987">
    <w:pPr>
      <w:spacing w:line="176" w:lineRule="auto"/>
      <w:ind w:left="420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79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6" name="文本框 4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A79D54E">
                          <w:pPr>
                            <w:pStyle w:val="7"/>
                          </w:pPr>
                          <w:r>
                            <w:fldChar w:fldCharType="begin"/>
                          </w:r>
                          <w:r>
                            <w:instrText xml:space="preserve"> PAGE  \* MERGEFORMAT </w:instrText>
                          </w:r>
                          <w:r>
                            <w:fldChar w:fldCharType="separate"/>
                          </w:r>
                          <w:r>
                            <w:t>91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79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EyFQwzAgAAYwQAAA4AAABkcnMvZTJvRG9jLnhtbK1UzY7TMBC+I/EO&#10;lu80aYGqqp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e0TdTSjRTqPjlx/fL&#10;z4fLr28EZxCotn6OuJ1FZGjemQZtM5x7HEbeTeFU/IIRgR/ynq/yiiYQHi/NJrNZCheHb9gAP3m8&#10;bp0P74VRJBoZdahfKys7bX3oQoeQmE2bTSVlW0OpSZ3R6eu3aXvh6gG41MgRSXSPjVZo9k3PbG/y&#10;M4g50/WGt3xTIfmW+XDPHJoBD8a4hDsshTRIYnqLktK4r/86j/GoEbyU1GiujGrMEiXyg0btABgG&#10;ww3GfjD0Ud0adOsYY2h5a+KCC3IwC2fUF8zQKuaAi2mOTBkNg3kbugbHDHKxWrVBR+uqQ9ldQOdZ&#10;FrZ6Z3lME4X0dnUMELPVOArUqdLrht5rq9TPSWzuP/dt1OO/Yfk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EyFQwzAgAAYwQAAA4AAAAAAAAAAQAgAAAAHwEAAGRycy9lMm9Eb2MueG1sUEsF&#10;BgAAAAAGAAYAWQEAAMQFAAAAAA==&#10;">
              <v:fill on="f" focussize="0,0"/>
              <v:stroke on="f" weight="0.5pt"/>
              <v:imagedata o:title=""/>
              <o:lock v:ext="edit" aspectratio="f"/>
              <v:textbox inset="0mm,0mm,0mm,0mm" style="mso-fit-shape-to-text:t;">
                <w:txbxContent>
                  <w:p w14:paraId="7A79D54E">
                    <w:pPr>
                      <w:pStyle w:val="7"/>
                    </w:pPr>
                    <w:r>
                      <w:fldChar w:fldCharType="begin"/>
                    </w:r>
                    <w:r>
                      <w:instrText xml:space="preserve"> PAGE  \* MERGEFORMAT </w:instrText>
                    </w:r>
                    <w:r>
                      <w:fldChar w:fldCharType="separate"/>
                    </w:r>
                    <w:r>
                      <w:t>91</w:t>
                    </w:r>
                    <w:r>
                      <w:fldChar w:fldCharType="end"/>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262A53">
    <w:pPr>
      <w:spacing w:line="176" w:lineRule="auto"/>
      <w:ind w:left="4007"/>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8960" behindDoc="0" locked="0" layoutInCell="1" allowOverlap="1">
              <wp:simplePos x="0" y="0"/>
              <wp:positionH relativeFrom="margin">
                <wp:align>center</wp:align>
              </wp:positionH>
              <wp:positionV relativeFrom="paragraph">
                <wp:posOffset>0</wp:posOffset>
              </wp:positionV>
              <wp:extent cx="1828800" cy="1828800"/>
              <wp:effectExtent l="0" t="0" r="0" b="0"/>
              <wp:wrapNone/>
              <wp:docPr id="47" name="文本框 4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3062F4C">
                          <w:pPr>
                            <w:pStyle w:val="7"/>
                          </w:pPr>
                          <w:r>
                            <w:fldChar w:fldCharType="begin"/>
                          </w:r>
                          <w:r>
                            <w:instrText xml:space="preserve"> PAGE  \* MERGEFORMAT </w:instrText>
                          </w:r>
                          <w:r>
                            <w:fldChar w:fldCharType="separate"/>
                          </w:r>
                          <w:r>
                            <w:t>92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89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OaguMzAgAAYwQAAA4AAABkcnMvZTJvRG9jLnhtbK1UzY7TMBC+I/EO&#10;lu80aYGlqp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X72hxDCNip++fzv9&#10;+HX6+ZXgDAI1LswQt3GIjO1b26JthvOAw8S7rbxOXzAi8EPe40Ve0UbC06XpZDrN4eLwDRvgZw/X&#10;nQ/xnbCaJKOgHvXrZGWH2xD70CEkZTN2LZXqaqgMaQp69fJ13l24eACuDHIkEv1jkxXbbXtmtrXl&#10;EcS87XsjOL6WSH7LQrxnHs2AB2Nc4h2WSlkksWeLktr6L/86T/GoEbyUNGiughrMEiXqvUHtABgH&#10;ww/GdjDMXt9YdOsYY+h4Z+KCj2owK2/1Z8zQMuWAixmOTAWNg3kT+wbHDHKxXHZBe+flru4voPMc&#10;i7dm43hKk4QMbrmPELPTOAnUq3LWDb3XVek8J6m5/9x3UQ//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OaguMzAgAAYwQAAA4AAAAAAAAAAQAgAAAAHwEAAGRycy9lMm9Eb2MueG1sUEsF&#10;BgAAAAAGAAYAWQEAAMQFAAAAAA==&#10;">
              <v:fill on="f" focussize="0,0"/>
              <v:stroke on="f" weight="0.5pt"/>
              <v:imagedata o:title=""/>
              <o:lock v:ext="edit" aspectratio="f"/>
              <v:textbox inset="0mm,0mm,0mm,0mm" style="mso-fit-shape-to-text:t;">
                <w:txbxContent>
                  <w:p w14:paraId="73062F4C">
                    <w:pPr>
                      <w:pStyle w:val="7"/>
                    </w:pPr>
                    <w:r>
                      <w:fldChar w:fldCharType="begin"/>
                    </w:r>
                    <w:r>
                      <w:instrText xml:space="preserve"> PAGE  \* MERGEFORMAT </w:instrText>
                    </w:r>
                    <w:r>
                      <w:fldChar w:fldCharType="separate"/>
                    </w:r>
                    <w:r>
                      <w:t>92</w:t>
                    </w:r>
                    <w:r>
                      <w:fldChar w:fldCharType="end"/>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381A0C">
    <w:pPr>
      <w:spacing w:line="176" w:lineRule="auto"/>
      <w:ind w:left="4206"/>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9984" behindDoc="0" locked="0" layoutInCell="1" allowOverlap="1">
              <wp:simplePos x="0" y="0"/>
              <wp:positionH relativeFrom="margin">
                <wp:align>center</wp:align>
              </wp:positionH>
              <wp:positionV relativeFrom="paragraph">
                <wp:posOffset>0</wp:posOffset>
              </wp:positionV>
              <wp:extent cx="1828800" cy="1828800"/>
              <wp:effectExtent l="0" t="0" r="0" b="0"/>
              <wp:wrapNone/>
              <wp:docPr id="48" name="文本框 4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27F2657">
                          <w:pPr>
                            <w:pStyle w:val="7"/>
                          </w:pPr>
                          <w:r>
                            <w:fldChar w:fldCharType="begin"/>
                          </w:r>
                          <w:r>
                            <w:instrText xml:space="preserve"> PAGE  \* MERGEFORMAT </w:instrText>
                          </w:r>
                          <w:r>
                            <w:fldChar w:fldCharType="separate"/>
                          </w:r>
                          <w:r>
                            <w:t>93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99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qSjhE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A3qbphGxU8/vp9+&#10;Ppx+fSM4g0CNCzPE3TtExvadbdE2w3nAYeLdVl6nLxgR+CHv8SKvaCPh6dJ0Mp3mcHH4hg3ws8fr&#10;zof4XlhNklFQj/p1srLDJsQ+dAhJ2YxdS6W6GipDmoJevX6bdxcuHoArgxyJRP/YZMV2256ZbW15&#10;BDFv+94Ijq8lkm9YiHfMoxnwYIxLvMVSKYsk9mxRUlv/9V/nKR41gpeSBs1VUINZokR9MKgdAONg&#10;+MHYDobZ6xuLbh1jDB3vTFzwUQ1m5a3+ghlaphxwMcORqaBxMG9i3+CYQS6Wyy5o77zc1f0FdJ5j&#10;cWPuHU9pkpDBLfcRYnYaJ4F6Vc66ofe6Kp3nJDX3n/su6vHfsPg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DqSjhEzAgAAYwQAAA4AAAAAAAAAAQAgAAAAHwEAAGRycy9lMm9Eb2MueG1sUEsF&#10;BgAAAAAGAAYAWQEAAMQFAAAAAA==&#10;">
              <v:fill on="f" focussize="0,0"/>
              <v:stroke on="f" weight="0.5pt"/>
              <v:imagedata o:title=""/>
              <o:lock v:ext="edit" aspectratio="f"/>
              <v:textbox inset="0mm,0mm,0mm,0mm" style="mso-fit-shape-to-text:t;">
                <w:txbxContent>
                  <w:p w14:paraId="127F2657">
                    <w:pPr>
                      <w:pStyle w:val="7"/>
                    </w:pPr>
                    <w:r>
                      <w:fldChar w:fldCharType="begin"/>
                    </w:r>
                    <w:r>
                      <w:instrText xml:space="preserve"> PAGE  \* MERGEFORMAT </w:instrText>
                    </w:r>
                    <w:r>
                      <w:fldChar w:fldCharType="separate"/>
                    </w:r>
                    <w:r>
                      <w:t>93</w:t>
                    </w:r>
                    <w:r>
                      <w:fldChar w:fldCharType="end"/>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E90E42">
    <w:pPr>
      <w:spacing w:line="176" w:lineRule="auto"/>
      <w:ind w:left="4217"/>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1008" behindDoc="0" locked="0" layoutInCell="1" allowOverlap="1">
              <wp:simplePos x="0" y="0"/>
              <wp:positionH relativeFrom="margin">
                <wp:align>center</wp:align>
              </wp:positionH>
              <wp:positionV relativeFrom="paragraph">
                <wp:posOffset>0</wp:posOffset>
              </wp:positionV>
              <wp:extent cx="1828800" cy="1828800"/>
              <wp:effectExtent l="0" t="0" r="0" b="0"/>
              <wp:wrapNone/>
              <wp:docPr id="49" name="文本框 4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EFFE49">
                          <w:pPr>
                            <w:pStyle w:val="7"/>
                          </w:pPr>
                          <w:r>
                            <w:fldChar w:fldCharType="begin"/>
                          </w:r>
                          <w:r>
                            <w:instrText xml:space="preserve"> PAGE  \* MERGEFORMAT </w:instrText>
                          </w:r>
                          <w:r>
                            <w:fldChar w:fldCharType="separate"/>
                          </w:r>
                          <w:r>
                            <w:t>94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10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g6Gf4zAgAAYwQAAA4AAABkcnMvZTJvRG9jLnhtbK1UzY7TMBC+I/EO&#10;lu80aYFVqZ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X72hxDCNip++fzv9&#10;+HX6+ZXgDAI1LswQt3GIjO1b26JthvOAw8S7rbxOXzAi8EPe40Ve0UbC06XpZDrN4eLwDRvgZw/X&#10;nQ/xnbCaJKOgHvXrZGWH2xD70CEkZTN2LZXqaqgMaQp69fJ13l24eACuDHIkEv1jkxXbbXtmtrXl&#10;EcS87XsjOL6WSH7LQrxnHs2AB2Nc4h2WSlkksWeLktr6L/86T/GoEbyUNGiughrMEiXqvUHtABgH&#10;ww/GdjDMXt9YdOsYY+h4Z+KCj2owK2/1Z8zQMuWAixmOTAWNg3kT+wbHDHKxXHZBe+flru4voPMc&#10;i7dm43hKk4QMbrmPELPTOAnUq3LWDb3XVek8J6m5/9x3UQ//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g6Gf4zAgAAYwQAAA4AAAAAAAAAAQAgAAAAHwEAAGRycy9lMm9Eb2MueG1sUEsF&#10;BgAAAAAGAAYAWQEAAMQFAAAAAA==&#10;">
              <v:fill on="f" focussize="0,0"/>
              <v:stroke on="f" weight="0.5pt"/>
              <v:imagedata o:title=""/>
              <o:lock v:ext="edit" aspectratio="f"/>
              <v:textbox inset="0mm,0mm,0mm,0mm" style="mso-fit-shape-to-text:t;">
                <w:txbxContent>
                  <w:p w14:paraId="7EEFFE49">
                    <w:pPr>
                      <w:pStyle w:val="7"/>
                    </w:pPr>
                    <w:r>
                      <w:fldChar w:fldCharType="begin"/>
                    </w:r>
                    <w:r>
                      <w:instrText xml:space="preserve"> PAGE  \* MERGEFORMAT </w:instrText>
                    </w:r>
                    <w:r>
                      <w:fldChar w:fldCharType="separate"/>
                    </w:r>
                    <w:r>
                      <w:t>94</w:t>
                    </w:r>
                    <w:r>
                      <w:fldChar w:fldCharType="end"/>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0A4F06">
    <w:pPr>
      <w:spacing w:line="176" w:lineRule="auto"/>
      <w:ind w:left="4207"/>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2032" behindDoc="0" locked="0" layoutInCell="1" allowOverlap="1">
              <wp:simplePos x="0" y="0"/>
              <wp:positionH relativeFrom="margin">
                <wp:align>center</wp:align>
              </wp:positionH>
              <wp:positionV relativeFrom="paragraph">
                <wp:posOffset>0</wp:posOffset>
              </wp:positionV>
              <wp:extent cx="1828800" cy="1828800"/>
              <wp:effectExtent l="0" t="0" r="0" b="0"/>
              <wp:wrapNone/>
              <wp:docPr id="50" name="文本框 5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6977598">
                          <w:pPr>
                            <w:pStyle w:val="7"/>
                          </w:pPr>
                          <w:r>
                            <w:fldChar w:fldCharType="begin"/>
                          </w:r>
                          <w:r>
                            <w:instrText xml:space="preserve"> PAGE  \* MERGEFORMAT </w:instrText>
                          </w:r>
                          <w:r>
                            <w:fldChar w:fldCharType="separate"/>
                          </w:r>
                          <w:r>
                            <w:t>95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20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p+ypgwAgAAYwQAAA4AAABkcnMvZTJvRG9jLnhtbK1US44TMRDdI3EH&#10;y3vSSRCjKEpnFCYKQoqYkQbE2nG705b8k+2kOxwAbsCKDXvOlXPMc38yMLCYBZtO2VV+Ve9VVRbX&#10;jVbkKHyQ1uR0MhpTIgy3hTT7nH76uHk1oyREZgqmrBE5PYlAr5cvXyxqNxdTW1lVCE8AYsK8djmt&#10;YnTzLAu8EpqFkXXCwFlar1nE0e+zwrMa6Fpl0/H4KqutL5y3XISA23XnpD2ifw6gLUvJxdrygxYm&#10;dqheKBZBKVTSBbpsqy1LweNtWQYRicopmMb2iySwd+mbLRdsvvfMVZL3JbDnlPCEk2bSIOkFas0i&#10;Iwcv/4LSknsbbBlH3OqsI9IqAhaT8RNt7ivmRMsFUgd3ET38P1j+4XjniSxy+gaSGKbR8fP3b+cf&#10;v84/vxLcQaDahTni7h0iY/PWNhib4T7gMvFuSq/TLxgR+IF1usgrmkh4ejSbzmZjuDh8wwH42eNz&#10;50N8J6wmycipR/9aWdlxG2IXOoSkbMZupFJtD5UhdU6vXqPkPzwAVwY5Eomu2GTFZtf0zHa2OIGY&#10;t91sBMc3Esm3LMQ75jEMKBjrEm/xKZVFEttblFTWf/nXfYpHj+ClpMZw5dRglyhR7w16B8A4GH4w&#10;doNhDvrGYlonWEPHWxMPfFSDWXqrP2OHVikHXMxwZMppHMyb2A04dpCL1aoNOjgv91X3AJPnWNya&#10;e8dTmiRXcKtDhJitxkmgTpVeN8xe26V+T9Jw/35uox7/G5Y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s0lY7tAAAAAFAQAADwAAAAAAAAABACAAAAAiAAAAZHJzL2Rvd25yZXYueG1sUEsBAhQAFAAA&#10;AAgAh07iQDp+ypgwAgAAYwQAAA4AAAAAAAAAAQAgAAAAHwEAAGRycy9lMm9Eb2MueG1sUEsFBgAA&#10;AAAGAAYAWQEAAMEFAAAAAA==&#10;">
              <v:fill on="f" focussize="0,0"/>
              <v:stroke on="f" weight="0.5pt"/>
              <v:imagedata o:title=""/>
              <o:lock v:ext="edit" aspectratio="f"/>
              <v:textbox inset="0mm,0mm,0mm,0mm" style="mso-fit-shape-to-text:t;">
                <w:txbxContent>
                  <w:p w14:paraId="56977598">
                    <w:pPr>
                      <w:pStyle w:val="7"/>
                    </w:pPr>
                    <w:r>
                      <w:fldChar w:fldCharType="begin"/>
                    </w:r>
                    <w:r>
                      <w:instrText xml:space="preserve"> PAGE  \* MERGEFORMAT </w:instrText>
                    </w:r>
                    <w:r>
                      <w:fldChar w:fldCharType="separate"/>
                    </w:r>
                    <w:r>
                      <w:t>95</w:t>
                    </w:r>
                    <w:r>
                      <w:fldChar w:fldCharType="end"/>
                    </w:r>
                  </w:p>
                </w:txbxContent>
              </v:textbox>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821F77">
    <w:pPr>
      <w:spacing w:line="176" w:lineRule="auto"/>
      <w:ind w:left="4208"/>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3056"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6358FFA">
                          <w:pPr>
                            <w:pStyle w:val="7"/>
                          </w:pPr>
                          <w:r>
                            <w:fldChar w:fldCharType="begin"/>
                          </w:r>
                          <w:r>
                            <w:instrText xml:space="preserve"> PAGE  \* MERGEFORMAT </w:instrText>
                          </w:r>
                          <w:r>
                            <w:fldChar w:fldCharType="separate"/>
                          </w:r>
                          <w:r>
                            <w:t>96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30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jWXXczAgAAYwQAAA4AAABkcnMvZTJvRG9jLnhtbK1UzY7TMBC+I/EO&#10;lu80bdGu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no1oUQzhY6ff3w/&#10;//x9/vWN4AwCNdbPEfdgERnad6bF2AznHoeRd1s6Fb9gROCHvKeLvKINhMdLs+lsNoaLwzdsgJ89&#10;XbfOh/fCKBKNnDr0L8nKjlsfutAhJGbTZlNLmXooNWlyev32apwuXDwAlxo5Iomu2GiFdtf2zHam&#10;OIGYM91seMs3NZJvmQ/3zGEYUDCeS7jDUkqDJKa3KKmM+/qv8xiPHsFLSYPhyqnGW6JEftDoHQDD&#10;YLjB2A2GPqhbg2lFO1BLMnHBBTmYpTPqC97QKuaAi2mOTDkNg3kbugHHG+RitUpBB+vqfdVdwORZ&#10;Frb6wfKYJgrp7eoQIGbSOArUqdLrhtlLXerfSRzuP/cp6unfsH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jWXXczAgAAYwQAAA4AAAAAAAAAAQAgAAAAHwEAAGRycy9lMm9Eb2MueG1sUEsF&#10;BgAAAAAGAAYAWQEAAMQFAAAAAA==&#10;">
              <v:fill on="f" focussize="0,0"/>
              <v:stroke on="f" weight="0.5pt"/>
              <v:imagedata o:title=""/>
              <o:lock v:ext="edit" aspectratio="f"/>
              <v:textbox inset="0mm,0mm,0mm,0mm" style="mso-fit-shape-to-text:t;">
                <w:txbxContent>
                  <w:p w14:paraId="56358FFA">
                    <w:pPr>
                      <w:pStyle w:val="7"/>
                    </w:pPr>
                    <w:r>
                      <w:fldChar w:fldCharType="begin"/>
                    </w:r>
                    <w:r>
                      <w:instrText xml:space="preserve"> PAGE  \* MERGEFORMAT </w:instrText>
                    </w:r>
                    <w:r>
                      <w:fldChar w:fldCharType="separate"/>
                    </w:r>
                    <w:r>
                      <w:t>96</w:t>
                    </w:r>
                    <w:r>
                      <w:fldChar w:fldCharType="end"/>
                    </w:r>
                  </w:p>
                </w:txbxContent>
              </v:textbox>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29EFED">
    <w:pPr>
      <w:spacing w:line="176" w:lineRule="auto"/>
      <w:ind w:left="481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4080" behindDoc="0" locked="0" layoutInCell="1" allowOverlap="1">
              <wp:simplePos x="0" y="0"/>
              <wp:positionH relativeFrom="margin">
                <wp:align>center</wp:align>
              </wp:positionH>
              <wp:positionV relativeFrom="paragraph">
                <wp:posOffset>0</wp:posOffset>
              </wp:positionV>
              <wp:extent cx="1828800" cy="1828800"/>
              <wp:effectExtent l="0" t="0" r="0" b="0"/>
              <wp:wrapNone/>
              <wp:docPr id="52" name="文本框 5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27C3C82">
                          <w:pPr>
                            <w:pStyle w:val="7"/>
                          </w:pPr>
                          <w:r>
                            <w:fldChar w:fldCharType="begin"/>
                          </w:r>
                          <w:r>
                            <w:instrText xml:space="preserve"> PAGE  \* MERGEFORMAT </w:instrText>
                          </w:r>
                          <w:r>
                            <w:fldChar w:fldCharType="separate"/>
                          </w:r>
                          <w:r>
                            <w:t>98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40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8olJw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dT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8olJwzAgAAYwQAAA4AAAAAAAAAAQAgAAAAHwEAAGRycy9lMm9Eb2MueG1sUEsF&#10;BgAAAAAGAAYAWQEAAMQFAAAAAA==&#10;">
              <v:fill on="f" focussize="0,0"/>
              <v:stroke on="f" weight="0.5pt"/>
              <v:imagedata o:title=""/>
              <o:lock v:ext="edit" aspectratio="f"/>
              <v:textbox inset="0mm,0mm,0mm,0mm" style="mso-fit-shape-to-text:t;">
                <w:txbxContent>
                  <w:p w14:paraId="127C3C82">
                    <w:pPr>
                      <w:pStyle w:val="7"/>
                    </w:pPr>
                    <w:r>
                      <w:fldChar w:fldCharType="begin"/>
                    </w:r>
                    <w:r>
                      <w:instrText xml:space="preserve"> PAGE  \* MERGEFORMAT </w:instrText>
                    </w:r>
                    <w:r>
                      <w:fldChar w:fldCharType="separate"/>
                    </w:r>
                    <w:r>
                      <w:t>98</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9"/>
  <w:displayBackgroundShape w:val="1"/>
  <w:bordersDoNotSurroundHeader w:val="0"/>
  <w:bordersDoNotSurroundFooter w:val="0"/>
  <w:hideSpellingErrors/>
  <w:documentProtection w:enforcement="0"/>
  <w:defaultTabStop w:val="420"/>
  <w:displayHorizontalDrawingGridEvery w:val="1"/>
  <w:displayVerticalDrawingGridEvery w:val="1"/>
  <w:noPunctuationKerning w:val="1"/>
  <w:characterSpacingControl w:val="doNotCompress"/>
  <w:compat>
    <w:spaceForUL/>
    <w:ulTrailSpace/>
    <w:doNotExpandShiftReturn/>
    <w:doNotWrapTextWithPunct/>
    <w:doNotUseEastAsianBreakRules/>
    <w:useFELayout/>
    <w:doNotUseIndentAsNumberingTabStop/>
    <w:compatSetting w:name="compatibilityMode" w:uri="http://schemas.microsoft.com/office/word" w:val="14"/>
  </w:compat>
  <w:docVars>
    <w:docVar w:name="commondata" w:val="eyJoZGlkIjoiOTFiYjYwNjZkODFhYzlmODM1NzYxZmRiNzMzYWQzOGEifQ=="/>
  </w:docVars>
  <w:rsids>
    <w:rsidRoot w:val="004934D3"/>
    <w:rsid w:val="000251A7"/>
    <w:rsid w:val="000D2D9B"/>
    <w:rsid w:val="000D56B9"/>
    <w:rsid w:val="000E7B1F"/>
    <w:rsid w:val="00126BCA"/>
    <w:rsid w:val="001B07AB"/>
    <w:rsid w:val="001C1453"/>
    <w:rsid w:val="002057CD"/>
    <w:rsid w:val="00233435"/>
    <w:rsid w:val="00237DE2"/>
    <w:rsid w:val="002467A6"/>
    <w:rsid w:val="002A7B3C"/>
    <w:rsid w:val="002E61EC"/>
    <w:rsid w:val="002F123F"/>
    <w:rsid w:val="00336D49"/>
    <w:rsid w:val="00350504"/>
    <w:rsid w:val="00485078"/>
    <w:rsid w:val="00486082"/>
    <w:rsid w:val="00491D63"/>
    <w:rsid w:val="004934D3"/>
    <w:rsid w:val="004F08E6"/>
    <w:rsid w:val="00512338"/>
    <w:rsid w:val="00523EB0"/>
    <w:rsid w:val="00570314"/>
    <w:rsid w:val="00574C7B"/>
    <w:rsid w:val="00684729"/>
    <w:rsid w:val="007306EA"/>
    <w:rsid w:val="00763DBF"/>
    <w:rsid w:val="0088707C"/>
    <w:rsid w:val="008979FA"/>
    <w:rsid w:val="008F3EF1"/>
    <w:rsid w:val="00906967"/>
    <w:rsid w:val="00933B21"/>
    <w:rsid w:val="0096576F"/>
    <w:rsid w:val="009823AB"/>
    <w:rsid w:val="009C214C"/>
    <w:rsid w:val="00A643BA"/>
    <w:rsid w:val="00A866A1"/>
    <w:rsid w:val="00AC2CDE"/>
    <w:rsid w:val="00B511EB"/>
    <w:rsid w:val="00BE54ED"/>
    <w:rsid w:val="00C57285"/>
    <w:rsid w:val="00C604C8"/>
    <w:rsid w:val="00C647BB"/>
    <w:rsid w:val="00C6589F"/>
    <w:rsid w:val="00CF32CA"/>
    <w:rsid w:val="00D65B8F"/>
    <w:rsid w:val="00DE0B06"/>
    <w:rsid w:val="00E67CA4"/>
    <w:rsid w:val="00FD1004"/>
    <w:rsid w:val="010147F6"/>
    <w:rsid w:val="01CE7570"/>
    <w:rsid w:val="02D713A8"/>
    <w:rsid w:val="04115E30"/>
    <w:rsid w:val="043E67A3"/>
    <w:rsid w:val="04E6623B"/>
    <w:rsid w:val="052F3A98"/>
    <w:rsid w:val="05313491"/>
    <w:rsid w:val="0653748F"/>
    <w:rsid w:val="067032E2"/>
    <w:rsid w:val="074539AD"/>
    <w:rsid w:val="08931DCC"/>
    <w:rsid w:val="0AEB0F5B"/>
    <w:rsid w:val="0B3568A8"/>
    <w:rsid w:val="0C686809"/>
    <w:rsid w:val="0D164953"/>
    <w:rsid w:val="0D2E0A6A"/>
    <w:rsid w:val="0E3F3599"/>
    <w:rsid w:val="0E5E7B56"/>
    <w:rsid w:val="0E980366"/>
    <w:rsid w:val="0EF162BD"/>
    <w:rsid w:val="0FDA6D40"/>
    <w:rsid w:val="0FF17090"/>
    <w:rsid w:val="10815354"/>
    <w:rsid w:val="10AE5134"/>
    <w:rsid w:val="112C1BCD"/>
    <w:rsid w:val="11DB47D5"/>
    <w:rsid w:val="12577FD9"/>
    <w:rsid w:val="12B47528"/>
    <w:rsid w:val="1309187B"/>
    <w:rsid w:val="13645F7C"/>
    <w:rsid w:val="13AF0960"/>
    <w:rsid w:val="157F1109"/>
    <w:rsid w:val="15871EB9"/>
    <w:rsid w:val="15AF54A9"/>
    <w:rsid w:val="15D15DC8"/>
    <w:rsid w:val="16080DB4"/>
    <w:rsid w:val="16592E17"/>
    <w:rsid w:val="16682803"/>
    <w:rsid w:val="166C7871"/>
    <w:rsid w:val="167C03A9"/>
    <w:rsid w:val="17402854"/>
    <w:rsid w:val="181D3326"/>
    <w:rsid w:val="18AB2DF4"/>
    <w:rsid w:val="18AF1ED8"/>
    <w:rsid w:val="190E0109"/>
    <w:rsid w:val="196565AA"/>
    <w:rsid w:val="19E00058"/>
    <w:rsid w:val="19FB727A"/>
    <w:rsid w:val="1A3E22D9"/>
    <w:rsid w:val="1A3F329F"/>
    <w:rsid w:val="1A433826"/>
    <w:rsid w:val="1B6209DE"/>
    <w:rsid w:val="1C9043CE"/>
    <w:rsid w:val="1D6A254F"/>
    <w:rsid w:val="1E2676DE"/>
    <w:rsid w:val="1EA01E32"/>
    <w:rsid w:val="1F136CFC"/>
    <w:rsid w:val="1F212F73"/>
    <w:rsid w:val="207E75C1"/>
    <w:rsid w:val="209F3BBF"/>
    <w:rsid w:val="20FD531A"/>
    <w:rsid w:val="21983295"/>
    <w:rsid w:val="23A05265"/>
    <w:rsid w:val="24AD57D1"/>
    <w:rsid w:val="24FE1C90"/>
    <w:rsid w:val="25706A02"/>
    <w:rsid w:val="257A518B"/>
    <w:rsid w:val="273C2887"/>
    <w:rsid w:val="29C55871"/>
    <w:rsid w:val="2A95708D"/>
    <w:rsid w:val="2BE5357A"/>
    <w:rsid w:val="2C824723"/>
    <w:rsid w:val="2D9E66A8"/>
    <w:rsid w:val="2F1321AD"/>
    <w:rsid w:val="2F827B65"/>
    <w:rsid w:val="3106498F"/>
    <w:rsid w:val="3316259B"/>
    <w:rsid w:val="33230BFA"/>
    <w:rsid w:val="33E04D53"/>
    <w:rsid w:val="346239BA"/>
    <w:rsid w:val="349F69BC"/>
    <w:rsid w:val="34B65AB4"/>
    <w:rsid w:val="362A49AB"/>
    <w:rsid w:val="37437D3A"/>
    <w:rsid w:val="37A73027"/>
    <w:rsid w:val="37ED2BBB"/>
    <w:rsid w:val="38F60B75"/>
    <w:rsid w:val="3925145A"/>
    <w:rsid w:val="395E51D0"/>
    <w:rsid w:val="3A0F3BAB"/>
    <w:rsid w:val="3A5F1212"/>
    <w:rsid w:val="3A8D375B"/>
    <w:rsid w:val="3A944AE9"/>
    <w:rsid w:val="3BF35840"/>
    <w:rsid w:val="3DF41363"/>
    <w:rsid w:val="3E1E0737"/>
    <w:rsid w:val="3F0705C8"/>
    <w:rsid w:val="3F7D3BEB"/>
    <w:rsid w:val="403D18AE"/>
    <w:rsid w:val="408E530C"/>
    <w:rsid w:val="40BB242E"/>
    <w:rsid w:val="40F10EBE"/>
    <w:rsid w:val="41083B3B"/>
    <w:rsid w:val="41872CB2"/>
    <w:rsid w:val="423A4637"/>
    <w:rsid w:val="43762FDE"/>
    <w:rsid w:val="43DE041D"/>
    <w:rsid w:val="4441183E"/>
    <w:rsid w:val="451233DB"/>
    <w:rsid w:val="45D60C4F"/>
    <w:rsid w:val="474E7DCE"/>
    <w:rsid w:val="48111332"/>
    <w:rsid w:val="48682753"/>
    <w:rsid w:val="49AB775A"/>
    <w:rsid w:val="4A141FB9"/>
    <w:rsid w:val="4B5C107E"/>
    <w:rsid w:val="4C3753DB"/>
    <w:rsid w:val="4C6541E2"/>
    <w:rsid w:val="4C742085"/>
    <w:rsid w:val="4CF0209D"/>
    <w:rsid w:val="4D50088B"/>
    <w:rsid w:val="4D7001EC"/>
    <w:rsid w:val="4DAD1F33"/>
    <w:rsid w:val="4DF57881"/>
    <w:rsid w:val="4E2B70BB"/>
    <w:rsid w:val="4FDC5761"/>
    <w:rsid w:val="50540643"/>
    <w:rsid w:val="51496E30"/>
    <w:rsid w:val="51AF4AD0"/>
    <w:rsid w:val="525503FE"/>
    <w:rsid w:val="530E1E1D"/>
    <w:rsid w:val="53397B84"/>
    <w:rsid w:val="537E0FC7"/>
    <w:rsid w:val="53C438F2"/>
    <w:rsid w:val="54534C76"/>
    <w:rsid w:val="55850D84"/>
    <w:rsid w:val="55A559A5"/>
    <w:rsid w:val="56684D53"/>
    <w:rsid w:val="572F4CE6"/>
    <w:rsid w:val="574B5EAC"/>
    <w:rsid w:val="57541DE0"/>
    <w:rsid w:val="57AA1051"/>
    <w:rsid w:val="583C30F4"/>
    <w:rsid w:val="583F3E8F"/>
    <w:rsid w:val="58CA1238"/>
    <w:rsid w:val="59EA2EBD"/>
    <w:rsid w:val="59EE0AA2"/>
    <w:rsid w:val="5A9167DD"/>
    <w:rsid w:val="5B1C4013"/>
    <w:rsid w:val="5D700CBF"/>
    <w:rsid w:val="5E0D4B89"/>
    <w:rsid w:val="5F0E45BB"/>
    <w:rsid w:val="5F413FE9"/>
    <w:rsid w:val="5FDE3F8D"/>
    <w:rsid w:val="5FE86C47"/>
    <w:rsid w:val="600102BC"/>
    <w:rsid w:val="60471B32"/>
    <w:rsid w:val="60682D84"/>
    <w:rsid w:val="606D70BF"/>
    <w:rsid w:val="6082033A"/>
    <w:rsid w:val="60C73B44"/>
    <w:rsid w:val="619F7579"/>
    <w:rsid w:val="61C7701C"/>
    <w:rsid w:val="623F15C0"/>
    <w:rsid w:val="631C6977"/>
    <w:rsid w:val="63206863"/>
    <w:rsid w:val="636C365E"/>
    <w:rsid w:val="63E853DA"/>
    <w:rsid w:val="64E060B2"/>
    <w:rsid w:val="64EB604D"/>
    <w:rsid w:val="651F243F"/>
    <w:rsid w:val="666E5160"/>
    <w:rsid w:val="66AA1BF4"/>
    <w:rsid w:val="67467920"/>
    <w:rsid w:val="679A1A37"/>
    <w:rsid w:val="67DA328C"/>
    <w:rsid w:val="67EB4867"/>
    <w:rsid w:val="68351A9A"/>
    <w:rsid w:val="68E1689C"/>
    <w:rsid w:val="691E189E"/>
    <w:rsid w:val="69A82794"/>
    <w:rsid w:val="69C726FA"/>
    <w:rsid w:val="6B0401BF"/>
    <w:rsid w:val="6B430B5A"/>
    <w:rsid w:val="6B973A65"/>
    <w:rsid w:val="6BA6382D"/>
    <w:rsid w:val="6BE4446B"/>
    <w:rsid w:val="6CAC15DB"/>
    <w:rsid w:val="6DAE26BA"/>
    <w:rsid w:val="6E3841C8"/>
    <w:rsid w:val="6F16571B"/>
    <w:rsid w:val="6F814286"/>
    <w:rsid w:val="703E5A96"/>
    <w:rsid w:val="70727227"/>
    <w:rsid w:val="709769DE"/>
    <w:rsid w:val="70B623BC"/>
    <w:rsid w:val="70FF1FB5"/>
    <w:rsid w:val="72082FA5"/>
    <w:rsid w:val="72604CD6"/>
    <w:rsid w:val="72A51A8A"/>
    <w:rsid w:val="72B13773"/>
    <w:rsid w:val="73B9469D"/>
    <w:rsid w:val="73E6154D"/>
    <w:rsid w:val="748F2E04"/>
    <w:rsid w:val="756F76E1"/>
    <w:rsid w:val="7661049D"/>
    <w:rsid w:val="76692538"/>
    <w:rsid w:val="772175A1"/>
    <w:rsid w:val="785B5D23"/>
    <w:rsid w:val="79AF36AF"/>
    <w:rsid w:val="79EC43E3"/>
    <w:rsid w:val="7A1103C4"/>
    <w:rsid w:val="7B065F1C"/>
    <w:rsid w:val="7B0A475E"/>
    <w:rsid w:val="7B48742F"/>
    <w:rsid w:val="7B827971"/>
    <w:rsid w:val="7C330F03"/>
    <w:rsid w:val="7D4F7E21"/>
    <w:rsid w:val="7DA97531"/>
    <w:rsid w:val="7E281665"/>
    <w:rsid w:val="7EB554BC"/>
    <w:rsid w:val="7F0D3AEF"/>
    <w:rsid w:val="7F693E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kinsoku w:val="0"/>
      <w:autoSpaceDE w:val="0"/>
      <w:autoSpaceDN w:val="0"/>
      <w:adjustRightInd w:val="0"/>
      <w:snapToGrid w:val="0"/>
      <w:textAlignment w:val="baseline"/>
    </w:pPr>
    <w:rPr>
      <w:rFonts w:ascii="Arial" w:hAnsi="Arial" w:cs="Arial" w:eastAsiaTheme="minorEastAsia"/>
      <w:snapToGrid w:val="0"/>
      <w:color w:val="000000"/>
      <w:sz w:val="21"/>
      <w:szCs w:val="21"/>
      <w:lang w:val="en-US" w:eastAsia="en-US" w:bidi="ar-SA"/>
    </w:rPr>
  </w:style>
  <w:style w:type="paragraph" w:styleId="3">
    <w:name w:val="heading 2"/>
    <w:basedOn w:val="1"/>
    <w:next w:val="1"/>
    <w:autoRedefine/>
    <w:qFormat/>
    <w:uiPriority w:val="0"/>
    <w:pPr>
      <w:keepNext/>
      <w:keepLines/>
      <w:spacing w:before="260" w:beforeLines="0" w:after="260" w:afterLines="0" w:line="416" w:lineRule="auto"/>
      <w:outlineLvl w:val="1"/>
    </w:pPr>
    <w:rPr>
      <w:rFonts w:ascii="Arial" w:hAnsi="Arial" w:eastAsia="黑体" w:cs="Times New Roman"/>
      <w:b/>
      <w:bCs/>
      <w:sz w:val="32"/>
      <w:szCs w:val="32"/>
    </w:rPr>
  </w:style>
  <w:style w:type="character" w:default="1" w:styleId="17">
    <w:name w:val="Default Paragraph Font"/>
    <w:autoRedefine/>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customStyle="1" w:styleId="2">
    <w:name w:val="Default"/>
    <w:basedOn w:val="1"/>
    <w:next w:val="1"/>
    <w:qFormat/>
    <w:uiPriority w:val="0"/>
    <w:pPr>
      <w:autoSpaceDE w:val="0"/>
      <w:autoSpaceDN w:val="0"/>
      <w:adjustRightInd w:val="0"/>
      <w:jc w:val="left"/>
    </w:pPr>
    <w:rPr>
      <w:rFonts w:hint="eastAsia" w:ascii="宋体" w:hAnsi="Calibri"/>
      <w:color w:val="000000"/>
      <w:kern w:val="0"/>
      <w:sz w:val="24"/>
    </w:rPr>
  </w:style>
  <w:style w:type="paragraph" w:styleId="4">
    <w:name w:val="annotation text"/>
    <w:basedOn w:val="1"/>
    <w:semiHidden/>
    <w:unhideWhenUsed/>
    <w:qFormat/>
    <w:uiPriority w:val="99"/>
    <w:pPr>
      <w:jc w:val="left"/>
    </w:pPr>
  </w:style>
  <w:style w:type="paragraph" w:styleId="5">
    <w:name w:val="Body Text"/>
    <w:basedOn w:val="1"/>
    <w:next w:val="6"/>
    <w:semiHidden/>
    <w:qFormat/>
    <w:uiPriority w:val="0"/>
    <w:rPr>
      <w:rFonts w:eastAsia="Arial"/>
    </w:rPr>
  </w:style>
  <w:style w:type="paragraph" w:styleId="6">
    <w:name w:val="header"/>
    <w:basedOn w:val="1"/>
    <w:next w:val="7"/>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Body Text Indent"/>
    <w:basedOn w:val="1"/>
    <w:next w:val="9"/>
    <w:qFormat/>
    <w:uiPriority w:val="0"/>
    <w:pPr>
      <w:spacing w:after="120" w:afterLines="0"/>
      <w:ind w:left="420" w:leftChars="200"/>
    </w:pPr>
    <w:rPr>
      <w:rFonts w:ascii="Times New Roman" w:hAnsi="Times New Roman" w:eastAsia="宋体" w:cs="Times New Roman"/>
    </w:rPr>
  </w:style>
  <w:style w:type="paragraph" w:styleId="9">
    <w:name w:val="envelope return"/>
    <w:basedOn w:val="1"/>
    <w:qFormat/>
    <w:uiPriority w:val="0"/>
    <w:pPr>
      <w:snapToGrid w:val="0"/>
    </w:pPr>
    <w:rPr>
      <w:rFonts w:ascii="Arial" w:hAnsi="Arial"/>
    </w:rPr>
  </w:style>
  <w:style w:type="paragraph" w:styleId="10">
    <w:name w:val="Plain Text"/>
    <w:basedOn w:val="1"/>
    <w:qFormat/>
    <w:uiPriority w:val="0"/>
    <w:rPr>
      <w:rFonts w:hint="eastAsia" w:ascii="宋体" w:hAnsi="Courier New"/>
      <w:szCs w:val="21"/>
    </w:rPr>
  </w:style>
  <w:style w:type="paragraph" w:styleId="11">
    <w:name w:val="Balloon Text"/>
    <w:basedOn w:val="1"/>
    <w:link w:val="21"/>
    <w:semiHidden/>
    <w:unhideWhenUsed/>
    <w:qFormat/>
    <w:uiPriority w:val="99"/>
    <w:rPr>
      <w:sz w:val="18"/>
      <w:szCs w:val="18"/>
    </w:rPr>
  </w:style>
  <w:style w:type="paragraph" w:styleId="12">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13">
    <w:name w:val="Body Text First Indent"/>
    <w:basedOn w:val="5"/>
    <w:next w:val="14"/>
    <w:unhideWhenUsed/>
    <w:qFormat/>
    <w:uiPriority w:val="99"/>
    <w:pPr>
      <w:spacing w:line="240" w:lineRule="auto"/>
      <w:ind w:firstLine="420" w:firstLineChars="100"/>
    </w:pPr>
    <w:rPr>
      <w:rFonts w:ascii="Calibri" w:hAnsi="Calibri" w:eastAsia="宋体" w:cs="Times New Roman"/>
      <w:szCs w:val="21"/>
    </w:rPr>
  </w:style>
  <w:style w:type="paragraph" w:styleId="14">
    <w:name w:val="Body Text First Indent 2"/>
    <w:basedOn w:val="8"/>
    <w:next w:val="1"/>
    <w:qFormat/>
    <w:uiPriority w:val="0"/>
    <w:pPr>
      <w:ind w:firstLine="420" w:firstLineChars="200"/>
    </w:pPr>
    <w:rPr>
      <w:rFonts w:ascii="Times New Roman" w:hAnsi="Times New Roman" w:eastAsia="宋体" w:cs="Times New Roman"/>
    </w:rPr>
  </w:style>
  <w:style w:type="table" w:styleId="16">
    <w:name w:val="Table Grid"/>
    <w:basedOn w:val="15"/>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8">
    <w:name w:val="Hyperlink"/>
    <w:basedOn w:val="17"/>
    <w:unhideWhenUsed/>
    <w:qFormat/>
    <w:uiPriority w:val="99"/>
    <w:rPr>
      <w:color w:val="0000FF" w:themeColor="hyperlink"/>
      <w:u w:val="single"/>
      <w14:textFill>
        <w14:solidFill>
          <w14:schemeClr w14:val="hlink"/>
        </w14:solidFill>
      </w14:textFill>
    </w:rPr>
  </w:style>
  <w:style w:type="table" w:customStyle="1" w:styleId="19">
    <w:name w:val="Table Normal"/>
    <w:semiHidden/>
    <w:unhideWhenUsed/>
    <w:qFormat/>
    <w:uiPriority w:val="0"/>
    <w:tblPr>
      <w:tblCellMar>
        <w:top w:w="0" w:type="dxa"/>
        <w:left w:w="0" w:type="dxa"/>
        <w:bottom w:w="0" w:type="dxa"/>
        <w:right w:w="0" w:type="dxa"/>
      </w:tblCellMar>
    </w:tblPr>
  </w:style>
  <w:style w:type="paragraph" w:customStyle="1" w:styleId="20">
    <w:name w:val="Table Text"/>
    <w:basedOn w:val="1"/>
    <w:semiHidden/>
    <w:qFormat/>
    <w:uiPriority w:val="0"/>
    <w:rPr>
      <w:rFonts w:ascii="宋体" w:hAnsi="宋体" w:eastAsia="宋体" w:cs="宋体"/>
      <w:sz w:val="24"/>
      <w:szCs w:val="24"/>
    </w:rPr>
  </w:style>
  <w:style w:type="character" w:customStyle="1" w:styleId="21">
    <w:name w:val="批注框文本 Char"/>
    <w:basedOn w:val="17"/>
    <w:link w:val="11"/>
    <w:autoRedefine/>
    <w:semiHidden/>
    <w:qFormat/>
    <w:uiPriority w:val="99"/>
    <w:rPr>
      <w:sz w:val="18"/>
      <w:szCs w:val="18"/>
    </w:rPr>
  </w:style>
  <w:style w:type="character" w:customStyle="1" w:styleId="22">
    <w:name w:val="font11"/>
    <w:basedOn w:val="17"/>
    <w:autoRedefine/>
    <w:qFormat/>
    <w:uiPriority w:val="0"/>
    <w:rPr>
      <w:rFonts w:hint="eastAsia" w:ascii="微软雅黑" w:hAnsi="微软雅黑" w:eastAsia="微软雅黑" w:cs="微软雅黑"/>
      <w:color w:val="000000"/>
      <w:sz w:val="18"/>
      <w:szCs w:val="18"/>
      <w:u w:val="none"/>
    </w:rPr>
  </w:style>
  <w:style w:type="character" w:customStyle="1" w:styleId="23">
    <w:name w:val="font31"/>
    <w:basedOn w:val="17"/>
    <w:autoRedefine/>
    <w:qFormat/>
    <w:uiPriority w:val="0"/>
    <w:rPr>
      <w:rFonts w:hint="eastAsia" w:ascii="微软雅黑" w:hAnsi="微软雅黑" w:eastAsia="微软雅黑" w:cs="微软雅黑"/>
      <w:color w:val="FF0000"/>
      <w:sz w:val="20"/>
      <w:szCs w:val="20"/>
      <w:u w:val="none"/>
    </w:rPr>
  </w:style>
  <w:style w:type="paragraph" w:customStyle="1" w:styleId="24">
    <w:name w:val="WPSOffice手动目录 1"/>
    <w:autoRedefine/>
    <w:qFormat/>
    <w:uiPriority w:val="0"/>
    <w:pPr>
      <w:ind w:leftChars="0"/>
    </w:pPr>
    <w:rPr>
      <w:rFonts w:ascii="Times New Roman" w:hAnsi="Times New Roman" w:eastAsia="宋体" w:cs="Times New Roman"/>
      <w:sz w:val="20"/>
      <w:szCs w:val="20"/>
    </w:rPr>
  </w:style>
  <w:style w:type="paragraph" w:customStyle="1" w:styleId="25">
    <w:name w:val="WPSOffice手动目录 2"/>
    <w:autoRedefine/>
    <w:qFormat/>
    <w:uiPriority w:val="0"/>
    <w:pPr>
      <w:ind w:leftChars="200"/>
    </w:pPr>
    <w:rPr>
      <w:rFonts w:ascii="Times New Roman" w:hAnsi="Times New Roman" w:eastAsia="宋体" w:cs="Times New Roman"/>
      <w:sz w:val="20"/>
      <w:szCs w:val="20"/>
    </w:rPr>
  </w:style>
  <w:style w:type="paragraph" w:customStyle="1" w:styleId="26">
    <w:name w:val="WPSOffice手动目录 3"/>
    <w:autoRedefine/>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7.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7" Type="http://schemas.openxmlformats.org/officeDocument/2006/relationships/fontTable" Target="fontTable.xml"/><Relationship Id="rId56" Type="http://schemas.openxmlformats.org/officeDocument/2006/relationships/customXml" Target="../customXml/item1.xml"/><Relationship Id="rId55" Type="http://schemas.openxmlformats.org/officeDocument/2006/relationships/image" Target="media/image17.png"/><Relationship Id="rId54" Type="http://schemas.openxmlformats.org/officeDocument/2006/relationships/image" Target="media/image16.png"/><Relationship Id="rId53" Type="http://schemas.openxmlformats.org/officeDocument/2006/relationships/image" Target="media/image15.png"/><Relationship Id="rId52" Type="http://schemas.openxmlformats.org/officeDocument/2006/relationships/image" Target="media/image14.png"/><Relationship Id="rId51" Type="http://schemas.openxmlformats.org/officeDocument/2006/relationships/image" Target="media/image13.png"/><Relationship Id="rId50" Type="http://schemas.openxmlformats.org/officeDocument/2006/relationships/image" Target="media/image12.png"/><Relationship Id="rId5" Type="http://schemas.openxmlformats.org/officeDocument/2006/relationships/footer" Target="footer3.xml"/><Relationship Id="rId49" Type="http://schemas.openxmlformats.org/officeDocument/2006/relationships/image" Target="media/image11.png"/><Relationship Id="rId48" Type="http://schemas.openxmlformats.org/officeDocument/2006/relationships/image" Target="media/image10.png"/><Relationship Id="rId47" Type="http://schemas.openxmlformats.org/officeDocument/2006/relationships/image" Target="media/image9.png"/><Relationship Id="rId46" Type="http://schemas.openxmlformats.org/officeDocument/2006/relationships/image" Target="media/image8.png"/><Relationship Id="rId45" Type="http://schemas.openxmlformats.org/officeDocument/2006/relationships/image" Target="media/image7.png"/><Relationship Id="rId44" Type="http://schemas.openxmlformats.org/officeDocument/2006/relationships/image" Target="media/image6.png"/><Relationship Id="rId43" Type="http://schemas.openxmlformats.org/officeDocument/2006/relationships/image" Target="media/image5.png"/><Relationship Id="rId42" Type="http://schemas.openxmlformats.org/officeDocument/2006/relationships/image" Target="media/image4.png"/><Relationship Id="rId41" Type="http://schemas.openxmlformats.org/officeDocument/2006/relationships/image" Target="media/image3.png"/><Relationship Id="rId40" Type="http://schemas.openxmlformats.org/officeDocument/2006/relationships/image" Target="media/image2.png"/><Relationship Id="rId4" Type="http://schemas.openxmlformats.org/officeDocument/2006/relationships/footer" Target="footer2.xml"/><Relationship Id="rId39" Type="http://schemas.openxmlformats.org/officeDocument/2006/relationships/image" Target="media/image1.png"/><Relationship Id="rId38" Type="http://schemas.openxmlformats.org/officeDocument/2006/relationships/theme" Target="theme/theme1.xml"/><Relationship Id="rId37" Type="http://schemas.openxmlformats.org/officeDocument/2006/relationships/footer" Target="footer35.xml"/><Relationship Id="rId36" Type="http://schemas.openxmlformats.org/officeDocument/2006/relationships/footer" Target="footer34.xml"/><Relationship Id="rId35" Type="http://schemas.openxmlformats.org/officeDocument/2006/relationships/footer" Target="footer33.xml"/><Relationship Id="rId34" Type="http://schemas.openxmlformats.org/officeDocument/2006/relationships/footer" Target="footer32.xml"/><Relationship Id="rId33" Type="http://schemas.openxmlformats.org/officeDocument/2006/relationships/footer" Target="footer31.xml"/><Relationship Id="rId32" Type="http://schemas.openxmlformats.org/officeDocument/2006/relationships/footer" Target="footer30.xml"/><Relationship Id="rId31" Type="http://schemas.openxmlformats.org/officeDocument/2006/relationships/footer" Target="footer29.xml"/><Relationship Id="rId30" Type="http://schemas.openxmlformats.org/officeDocument/2006/relationships/footer" Target="footer28.xml"/><Relationship Id="rId3" Type="http://schemas.openxmlformats.org/officeDocument/2006/relationships/footer" Target="footer1.xml"/><Relationship Id="rId29" Type="http://schemas.openxmlformats.org/officeDocument/2006/relationships/footer" Target="footer27.xml"/><Relationship Id="rId28" Type="http://schemas.openxmlformats.org/officeDocument/2006/relationships/footer" Target="footer26.xml"/><Relationship Id="rId27" Type="http://schemas.openxmlformats.org/officeDocument/2006/relationships/footer" Target="footer25.xml"/><Relationship Id="rId26" Type="http://schemas.openxmlformats.org/officeDocument/2006/relationships/footer" Target="footer24.xml"/><Relationship Id="rId25" Type="http://schemas.openxmlformats.org/officeDocument/2006/relationships/footer" Target="footer23.xml"/><Relationship Id="rId24" Type="http://schemas.openxmlformats.org/officeDocument/2006/relationships/footer" Target="footer22.xml"/><Relationship Id="rId23" Type="http://schemas.openxmlformats.org/officeDocument/2006/relationships/footer" Target="footer21.xml"/><Relationship Id="rId22" Type="http://schemas.openxmlformats.org/officeDocument/2006/relationships/footer" Target="footer20.xml"/><Relationship Id="rId21" Type="http://schemas.openxmlformats.org/officeDocument/2006/relationships/footer" Target="footer19.xml"/><Relationship Id="rId20" Type="http://schemas.openxmlformats.org/officeDocument/2006/relationships/footer" Target="footer18.xml"/><Relationship Id="rId2" Type="http://schemas.openxmlformats.org/officeDocument/2006/relationships/settings" Target="settings.xml"/><Relationship Id="rId19" Type="http://schemas.openxmlformats.org/officeDocument/2006/relationships/footer" Target="footer17.xml"/><Relationship Id="rId18" Type="http://schemas.openxmlformats.org/officeDocument/2006/relationships/footer" Target="footer16.xml"/><Relationship Id="rId17" Type="http://schemas.openxmlformats.org/officeDocument/2006/relationships/footer" Target="footer15.xml"/><Relationship Id="rId16" Type="http://schemas.openxmlformats.org/officeDocument/2006/relationships/footer" Target="footer14.xml"/><Relationship Id="rId15" Type="http://schemas.openxmlformats.org/officeDocument/2006/relationships/footer" Target="footer13.xml"/><Relationship Id="rId14" Type="http://schemas.openxmlformats.org/officeDocument/2006/relationships/footer" Target="footer12.xml"/><Relationship Id="rId13" Type="http://schemas.openxmlformats.org/officeDocument/2006/relationships/footer" Target="footer11.xml"/><Relationship Id="rId12" Type="http://schemas.openxmlformats.org/officeDocument/2006/relationships/footer" Target="footer10.xml"/><Relationship Id="rId11" Type="http://schemas.openxmlformats.org/officeDocument/2006/relationships/footer" Target="footer9.xml"/><Relationship Id="rId10" Type="http://schemas.openxmlformats.org/officeDocument/2006/relationships/footer" Target="footer8.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Info spid="_x0000_s1035"/>
    <customShpInfo spid="_x0000_s1034"/>
    <customShpInfo spid="_x0000_s1033"/>
    <customShpInfo spid="_x0000_s1032"/>
    <customShpInfo spid="_x0000_s1031"/>
    <customShpInfo spid="_x0000_s1030"/>
    <customShpInfo spid="_x0000_s1029"/>
    <customShpInfo spid="_x0000_s1028"/>
    <customShpInfo spid="_x0000_s10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84</Pages>
  <Words>4137</Words>
  <Characters>4725</Characters>
  <Lines>301</Lines>
  <Paragraphs>84</Paragraphs>
  <TotalTime>9</TotalTime>
  <ScaleCrop>false</ScaleCrop>
  <LinksUpToDate>false</LinksUpToDate>
  <CharactersWithSpaces>4933</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2024-04-23T09:58:00Z</dcterms:created>
  <dc:creator>DELL</dc:creator>
  <cp:lastModifiedBy>嫣然</cp:lastModifiedBy>
  <dcterms:modified xsi:type="dcterms:W3CDTF">2024-11-15T05:24:09Z</dcterms:modified>
  <cp:revision>38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2024-06-04T17:31:32Z</vt:filetime>
  </property>
  <property fmtid="{D5CDD505-2E9C-101B-9397-08002B2CF9AE}" pid="4" name="KSOProductBuildVer">
    <vt:lpwstr>2052-12.1.0.18608</vt:lpwstr>
  </property>
  <property fmtid="{D5CDD505-2E9C-101B-9397-08002B2CF9AE}" pid="5" name="ICV">
    <vt:lpwstr>D7FA81773D7D40EAAA9D416F60FEDB51_13</vt:lpwstr>
  </property>
</Properties>
</file>